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35C"/>
          <w:sz w:val="32"/>
        </w:rPr>
        <w:t>Asset-Centric Temporal Graphs for Crude-Oil Logistics:</w:t>
      </w:r>
    </w:p>
    <w:p>
      <w:pPr>
        <w:jc w:val="center"/>
      </w:pPr>
      <w:r>
        <w:rPr>
          <w:b/>
          <w:color w:val="1F335C"/>
          <w:sz w:val="32"/>
        </w:rPr>
        <w:t>A Scalable, ML-Ready Schema</w:t>
      </w:r>
    </w:p>
    <w:p/>
    <w:p/>
    <w:p/>
    <w:p/>
    <w:p>
      <w:pPr>
        <w:jc w:val="center"/>
      </w:pPr>
      <w:r>
        <w:rPr>
          <w:b/>
          <w:sz w:val="44"/>
        </w:rPr>
        <w:t>Annex A — Implementation</w:t>
      </w:r>
    </w:p>
    <w:p>
      <w:pPr>
        <w:jc w:val="center"/>
      </w:pPr>
      <w:r>
        <w:rPr>
          <w:i/>
          <w:sz w:val="24"/>
        </w:rPr>
        <w:t>US starter inventory, schema, invariants, audits</w:t>
      </w:r>
    </w:p>
    <w:p/>
    <w:p/>
    <w:p/>
    <w:p/>
    <w:p/>
    <w:p/>
    <w:p/>
    <w:p/>
    <w:p>
      <w:pPr>
        <w:jc w:val="center"/>
      </w:pPr>
      <w:r>
        <w:rPr>
          <w:sz w:val="22"/>
        </w:rPr>
        <w:t>Pedro Porfirio</w:t>
      </w:r>
    </w:p>
    <w:p>
      <w:pPr>
        <w:jc w:val="center"/>
      </w:pPr>
      <w:r>
        <w:rPr>
          <w:sz w:val="22"/>
        </w:rPr>
        <w:t>Master Thesis in Information Management Systems</w:t>
      </w:r>
    </w:p>
    <w:p>
      <w:pPr>
        <w:jc w:val="center"/>
      </w:pPr>
      <w:r>
        <w:rPr>
          <w:sz w:val="22"/>
        </w:rPr>
        <w:t>NOVA Information Management School</w:t>
      </w:r>
    </w:p>
    <w:p>
      <w:pPr>
        <w:jc w:val="center"/>
      </w:pPr>
      <w:r>
        <w:rPr>
          <w:sz w:val="22"/>
        </w:rPr>
        <w:t>May 2026  |  Version 1.2</w:t>
      </w:r>
    </w:p>
    <w:p>
      <w:r>
        <w:br w:type="page"/>
      </w:r>
    </w:p>
    <w:p>
      <w:pPr>
        <w:pStyle w:val="Heading1"/>
      </w:pPr>
      <w:r>
        <w:t>A.1 Overview</w:t>
      </w:r>
    </w:p>
    <w:p>
      <w:r>
        <w:t>This annex documents the reference implementation of the schema set out in Chapter 3 and the United States case study reported in Chapter 4. The implementation is a PostgreSQL database (database eia_crude, primary schema oil_network) seeded by a JSON contract that encodes the starter graph (us_crude_starter, 214 nodes covering the contiguous United States and Canadian crude inflow into PADD 2 and PADD 3).</w:t>
      </w:r>
    </w:p>
    <w:p>
      <w:r>
        <w:t>Section A.2 is the descriptive companion to Chapter 4. It walks through the asset inventory, the data sources, the resolution choices and the routing structure of the starter graph in full detail, where Chapter 4 reports only the headline numbers. Section A.3 turns to the database itself and walks through the four schema layers. Section A.4 maps each schema-level invariant to the constraint that defends it. Section A.5 documents the audit suite. Section A.6 documents the notebook pipeline that builds the database end-to-end. Section A.7 records a pending refactor that the main text is consistent with. Section A.8 lists the artefacts the build produces.</w:t>
      </w:r>
    </w:p>
    <w:p>
      <w:pPr>
        <w:pStyle w:val="Heading1"/>
      </w:pPr>
      <w:r>
        <w:t>A.2 The US Starter Graph</w:t>
      </w:r>
    </w:p>
    <w:p>
      <w:r>
        <w:t>This section is the descriptive complement to Chapter 4. It sets out the full asset inventory, the data sources behind the starter scope, the authoritative-level decisions, and a small set of worked routing examples.</w:t>
      </w:r>
    </w:p>
    <w:p>
      <w:pPr>
        <w:pStyle w:val="Heading2"/>
      </w:pPr>
      <w:r>
        <w:t>A.2.1 Geographic and Temporal Frame</w:t>
      </w:r>
    </w:p>
    <w:p>
      <w:r>
        <w:t>The starter scope covers the contiguous United States, the offshore Gulf of America (federal waters under BSEE/BOEM jurisdiction), Alaska, and the Canadian crude inflow into PADD 2 and PADD 3. Mexican imports are included where they affect PADD 3 routing into the Houston and Corpus Christi import terminals. Refined-product distribution downstream of refineries is out of scope; the graph terminates at the refinery transformation node. The temporal scope is January 2015 through December 2025, monthly. The starter scenario is named starter_us_crude_2015_2025.</w:t>
      </w:r>
    </w:p>
    <w:p>
      <w:pPr>
        <w:pStyle w:val="Heading2"/>
      </w:pPr>
      <w:r>
        <w:t>A.2.2 Production Assets</w:t>
      </w:r>
    </w:p>
    <w:p>
      <w:r>
        <w:t>The starter graph models 12 physical US production nodes plus the Canadian oil-sands aggregate. Capacity figures match the project-canonical 2023/24 averages used by coverage_check.py. Total modelled US capacity is 11,690 kbd; Canadian inflow into the US is about 3,700 kbd out of approximately 4,900 kbd of Western Canadian Sedimentary Basin output.</w:t>
      </w:r>
    </w:p>
    <w:tbl>
      <w:tblPr>
        <w:tblStyle w:val="LightGrid-Accent1"/>
        <w:tblW w:type="auto" w:w="0"/>
        <w:jc w:val="center"/>
        <w:tblLook w:firstColumn="1" w:firstRow="1" w:lastColumn="0" w:lastRow="0" w:noHBand="0" w:noVBand="1" w:val="04A0"/>
      </w:tblPr>
      <w:tblGrid>
        <w:gridCol w:w="1758"/>
        <w:gridCol w:w="1758"/>
        <w:gridCol w:w="1758"/>
        <w:gridCol w:w="1758"/>
        <w:gridCol w:w="1758"/>
      </w:tblGrid>
      <w:tr>
        <w:tc>
          <w:tcPr>
            <w:tcW w:type="dxa" w:w="1984"/>
          </w:tcPr>
          <w:p>
            <w:r>
              <w:rPr>
                <w:b/>
                <w:sz w:val="20"/>
              </w:rPr>
              <w:t>asset_id</w:t>
            </w:r>
          </w:p>
        </w:tc>
        <w:tc>
          <w:tcPr>
            <w:tcW w:type="dxa" w:w="2835"/>
          </w:tcPr>
          <w:p>
            <w:r>
              <w:rPr>
                <w:b/>
                <w:sz w:val="20"/>
              </w:rPr>
              <w:t>name</w:t>
            </w:r>
          </w:p>
        </w:tc>
        <w:tc>
          <w:tcPr>
            <w:tcW w:type="dxa" w:w="1701"/>
          </w:tcPr>
          <w:p>
            <w:r>
              <w:rPr>
                <w:b/>
                <w:sz w:val="20"/>
              </w:rPr>
              <w:t>PADD/region</w:t>
            </w:r>
          </w:p>
        </w:tc>
        <w:tc>
          <w:tcPr>
            <w:tcW w:type="dxa" w:w="1701"/>
          </w:tcPr>
          <w:p>
            <w:r>
              <w:rPr>
                <w:b/>
                <w:sz w:val="20"/>
              </w:rPr>
              <w:t>Grade</w:t>
            </w:r>
          </w:p>
        </w:tc>
        <w:tc>
          <w:tcPr>
            <w:tcW w:type="dxa" w:w="1134"/>
          </w:tcPr>
          <w:p>
            <w:r>
              <w:rPr>
                <w:b/>
                <w:sz w:val="20"/>
              </w:rPr>
              <w:t>Capacity (kbd)</w:t>
            </w:r>
          </w:p>
        </w:tc>
      </w:tr>
      <w:tr>
        <w:tc>
          <w:tcPr>
            <w:tcW w:type="dxa" w:w="1984"/>
          </w:tcPr>
          <w:p>
            <w:r>
              <w:rPr>
                <w:sz w:val="19"/>
              </w:rPr>
              <w:t>permian_tx</w:t>
            </w:r>
          </w:p>
        </w:tc>
        <w:tc>
          <w:tcPr>
            <w:tcW w:type="dxa" w:w="2835"/>
          </w:tcPr>
          <w:p>
            <w:r>
              <w:rPr>
                <w:sz w:val="19"/>
              </w:rPr>
              <w:t>Permian (Texas portion)</w:t>
            </w:r>
          </w:p>
        </w:tc>
        <w:tc>
          <w:tcPr>
            <w:tcW w:type="dxa" w:w="1701"/>
          </w:tcPr>
          <w:p>
            <w:r>
              <w:rPr>
                <w:sz w:val="19"/>
              </w:rPr>
              <w:t>PADD 3</w:t>
            </w:r>
          </w:p>
        </w:tc>
        <w:tc>
          <w:tcPr>
            <w:tcW w:type="dxa" w:w="1701"/>
          </w:tcPr>
          <w:p>
            <w:r>
              <w:rPr>
                <w:sz w:val="19"/>
              </w:rPr>
              <w:t>WTI Midland</w:t>
            </w:r>
          </w:p>
        </w:tc>
        <w:tc>
          <w:tcPr>
            <w:tcW w:type="dxa" w:w="1134"/>
          </w:tcPr>
          <w:p>
            <w:r>
              <w:rPr>
                <w:sz w:val="19"/>
              </w:rPr>
              <w:t>4,600</w:t>
            </w:r>
          </w:p>
        </w:tc>
      </w:tr>
      <w:tr>
        <w:tc>
          <w:tcPr>
            <w:tcW w:type="dxa" w:w="1984"/>
          </w:tcPr>
          <w:p>
            <w:r>
              <w:rPr>
                <w:sz w:val="19"/>
              </w:rPr>
              <w:t>permian_nm</w:t>
            </w:r>
          </w:p>
        </w:tc>
        <w:tc>
          <w:tcPr>
            <w:tcW w:type="dxa" w:w="2835"/>
          </w:tcPr>
          <w:p>
            <w:r>
              <w:rPr>
                <w:sz w:val="19"/>
              </w:rPr>
              <w:t>Permian (New Mexico portion)</w:t>
            </w:r>
          </w:p>
        </w:tc>
        <w:tc>
          <w:tcPr>
            <w:tcW w:type="dxa" w:w="1701"/>
          </w:tcPr>
          <w:p>
            <w:r>
              <w:rPr>
                <w:sz w:val="19"/>
              </w:rPr>
              <w:t>PADD 3</w:t>
            </w:r>
          </w:p>
        </w:tc>
        <w:tc>
          <w:tcPr>
            <w:tcW w:type="dxa" w:w="1701"/>
          </w:tcPr>
          <w:p>
            <w:r>
              <w:rPr>
                <w:sz w:val="19"/>
              </w:rPr>
              <w:t>WTI Midland</w:t>
            </w:r>
          </w:p>
        </w:tc>
        <w:tc>
          <w:tcPr>
            <w:tcW w:type="dxa" w:w="1134"/>
          </w:tcPr>
          <w:p>
            <w:r>
              <w:rPr>
                <w:sz w:val="19"/>
              </w:rPr>
              <w:t>1,100</w:t>
            </w:r>
          </w:p>
        </w:tc>
      </w:tr>
      <w:tr>
        <w:tc>
          <w:tcPr>
            <w:tcW w:type="dxa" w:w="1984"/>
          </w:tcPr>
          <w:p>
            <w:r>
              <w:rPr>
                <w:sz w:val="19"/>
              </w:rPr>
              <w:t>bakken_nd</w:t>
            </w:r>
          </w:p>
        </w:tc>
        <w:tc>
          <w:tcPr>
            <w:tcW w:type="dxa" w:w="2835"/>
          </w:tcPr>
          <w:p>
            <w:r>
              <w:rPr>
                <w:sz w:val="19"/>
              </w:rPr>
              <w:t>Bakken (North Dakota portion)</w:t>
            </w:r>
          </w:p>
        </w:tc>
        <w:tc>
          <w:tcPr>
            <w:tcW w:type="dxa" w:w="1701"/>
          </w:tcPr>
          <w:p>
            <w:r>
              <w:rPr>
                <w:sz w:val="19"/>
              </w:rPr>
              <w:t>PADD 2</w:t>
            </w:r>
          </w:p>
        </w:tc>
        <w:tc>
          <w:tcPr>
            <w:tcW w:type="dxa" w:w="1701"/>
          </w:tcPr>
          <w:p>
            <w:r>
              <w:rPr>
                <w:sz w:val="19"/>
              </w:rPr>
              <w:t>Bakken</w:t>
            </w:r>
          </w:p>
        </w:tc>
        <w:tc>
          <w:tcPr>
            <w:tcW w:type="dxa" w:w="1134"/>
          </w:tcPr>
          <w:p>
            <w:r>
              <w:rPr>
                <w:sz w:val="19"/>
              </w:rPr>
              <w:t>1,100</w:t>
            </w:r>
          </w:p>
        </w:tc>
      </w:tr>
      <w:tr>
        <w:tc>
          <w:tcPr>
            <w:tcW w:type="dxa" w:w="1984"/>
          </w:tcPr>
          <w:p>
            <w:r>
              <w:rPr>
                <w:sz w:val="19"/>
              </w:rPr>
              <w:t>bakken_mt</w:t>
            </w:r>
          </w:p>
        </w:tc>
        <w:tc>
          <w:tcPr>
            <w:tcW w:type="dxa" w:w="2835"/>
          </w:tcPr>
          <w:p>
            <w:r>
              <w:rPr>
                <w:sz w:val="19"/>
              </w:rPr>
              <w:t>Bakken (Montana portion)</w:t>
            </w:r>
          </w:p>
        </w:tc>
        <w:tc>
          <w:tcPr>
            <w:tcW w:type="dxa" w:w="1701"/>
          </w:tcPr>
          <w:p>
            <w:r>
              <w:rPr>
                <w:sz w:val="19"/>
              </w:rPr>
              <w:t>PADD 4</w:t>
            </w:r>
          </w:p>
        </w:tc>
        <w:tc>
          <w:tcPr>
            <w:tcW w:type="dxa" w:w="1701"/>
          </w:tcPr>
          <w:p>
            <w:r>
              <w:rPr>
                <w:sz w:val="19"/>
              </w:rPr>
              <w:t>Bakken</w:t>
            </w:r>
          </w:p>
        </w:tc>
        <w:tc>
          <w:tcPr>
            <w:tcW w:type="dxa" w:w="1134"/>
          </w:tcPr>
          <w:p>
            <w:r>
              <w:rPr>
                <w:sz w:val="19"/>
              </w:rPr>
              <w:t>60</w:t>
            </w:r>
          </w:p>
        </w:tc>
      </w:tr>
      <w:tr>
        <w:tc>
          <w:tcPr>
            <w:tcW w:type="dxa" w:w="1984"/>
          </w:tcPr>
          <w:p>
            <w:r>
              <w:rPr>
                <w:sz w:val="19"/>
              </w:rPr>
              <w:t>eagle_ford_tx</w:t>
            </w:r>
          </w:p>
        </w:tc>
        <w:tc>
          <w:tcPr>
            <w:tcW w:type="dxa" w:w="2835"/>
          </w:tcPr>
          <w:p>
            <w:r>
              <w:rPr>
                <w:sz w:val="19"/>
              </w:rPr>
              <w:t>Eagle Ford (Texas)</w:t>
            </w:r>
          </w:p>
        </w:tc>
        <w:tc>
          <w:tcPr>
            <w:tcW w:type="dxa" w:w="1701"/>
          </w:tcPr>
          <w:p>
            <w:r>
              <w:rPr>
                <w:sz w:val="19"/>
              </w:rPr>
              <w:t>PADD 3</w:t>
            </w:r>
          </w:p>
        </w:tc>
        <w:tc>
          <w:tcPr>
            <w:tcW w:type="dxa" w:w="1701"/>
          </w:tcPr>
          <w:p>
            <w:r>
              <w:rPr>
                <w:sz w:val="19"/>
              </w:rPr>
              <w:t>Eagle Ford</w:t>
            </w:r>
          </w:p>
        </w:tc>
        <w:tc>
          <w:tcPr>
            <w:tcW w:type="dxa" w:w="1134"/>
          </w:tcPr>
          <w:p>
            <w:r>
              <w:rPr>
                <w:sz w:val="19"/>
              </w:rPr>
              <w:t>1,200</w:t>
            </w:r>
          </w:p>
        </w:tc>
      </w:tr>
      <w:tr>
        <w:tc>
          <w:tcPr>
            <w:tcW w:type="dxa" w:w="1984"/>
          </w:tcPr>
          <w:p>
            <w:r>
              <w:rPr>
                <w:sz w:val="19"/>
              </w:rPr>
              <w:t>gulf_of_america</w:t>
            </w:r>
          </w:p>
        </w:tc>
        <w:tc>
          <w:tcPr>
            <w:tcW w:type="dxa" w:w="2835"/>
          </w:tcPr>
          <w:p>
            <w:r>
              <w:rPr>
                <w:sz w:val="19"/>
              </w:rPr>
              <w:t>Federal Offshore Gulf</w:t>
            </w:r>
          </w:p>
        </w:tc>
        <w:tc>
          <w:tcPr>
            <w:tcW w:type="dxa" w:w="1701"/>
          </w:tcPr>
          <w:p>
            <w:r>
              <w:rPr>
                <w:sz w:val="19"/>
              </w:rPr>
              <w:t>PADD 3</w:t>
            </w:r>
          </w:p>
        </w:tc>
        <w:tc>
          <w:tcPr>
            <w:tcW w:type="dxa" w:w="1701"/>
          </w:tcPr>
          <w:p>
            <w:r>
              <w:rPr>
                <w:sz w:val="19"/>
              </w:rPr>
              <w:t>Mars Blend</w:t>
            </w:r>
          </w:p>
        </w:tc>
        <w:tc>
          <w:tcPr>
            <w:tcW w:type="dxa" w:w="1134"/>
          </w:tcPr>
          <w:p>
            <w:r>
              <w:rPr>
                <w:sz w:val="19"/>
              </w:rPr>
              <w:t>1,800</w:t>
            </w:r>
          </w:p>
        </w:tc>
      </w:tr>
      <w:tr>
        <w:tc>
          <w:tcPr>
            <w:tcW w:type="dxa" w:w="1984"/>
          </w:tcPr>
          <w:p>
            <w:r>
              <w:rPr>
                <w:sz w:val="19"/>
              </w:rPr>
              <w:t>alaska_north_slope</w:t>
            </w:r>
          </w:p>
        </w:tc>
        <w:tc>
          <w:tcPr>
            <w:tcW w:type="dxa" w:w="2835"/>
          </w:tcPr>
          <w:p>
            <w:r>
              <w:rPr>
                <w:sz w:val="19"/>
              </w:rPr>
              <w:t>Alaska North Slope</w:t>
            </w:r>
          </w:p>
        </w:tc>
        <w:tc>
          <w:tcPr>
            <w:tcW w:type="dxa" w:w="1701"/>
          </w:tcPr>
          <w:p>
            <w:r>
              <w:rPr>
                <w:sz w:val="19"/>
              </w:rPr>
              <w:t>PADD 5</w:t>
            </w:r>
          </w:p>
        </w:tc>
        <w:tc>
          <w:tcPr>
            <w:tcW w:type="dxa" w:w="1701"/>
          </w:tcPr>
          <w:p>
            <w:r>
              <w:rPr>
                <w:sz w:val="19"/>
              </w:rPr>
              <w:t>ANS</w:t>
            </w:r>
          </w:p>
        </w:tc>
        <w:tc>
          <w:tcPr>
            <w:tcW w:type="dxa" w:w="1134"/>
          </w:tcPr>
          <w:p>
            <w:r>
              <w:rPr>
                <w:sz w:val="19"/>
              </w:rPr>
              <w:t>420</w:t>
            </w:r>
          </w:p>
        </w:tc>
      </w:tr>
      <w:tr>
        <w:tc>
          <w:tcPr>
            <w:tcW w:type="dxa" w:w="1984"/>
          </w:tcPr>
          <w:p>
            <w:r>
              <w:rPr>
                <w:sz w:val="19"/>
              </w:rPr>
              <w:t>california_conventional</w:t>
            </w:r>
          </w:p>
        </w:tc>
        <w:tc>
          <w:tcPr>
            <w:tcW w:type="dxa" w:w="2835"/>
          </w:tcPr>
          <w:p>
            <w:r>
              <w:rPr>
                <w:sz w:val="19"/>
              </w:rPr>
              <w:t>California conventional</w:t>
            </w:r>
          </w:p>
        </w:tc>
        <w:tc>
          <w:tcPr>
            <w:tcW w:type="dxa" w:w="1701"/>
          </w:tcPr>
          <w:p>
            <w:r>
              <w:rPr>
                <w:sz w:val="19"/>
              </w:rPr>
              <w:t>PADD 5</w:t>
            </w:r>
          </w:p>
        </w:tc>
        <w:tc>
          <w:tcPr>
            <w:tcW w:type="dxa" w:w="1701"/>
          </w:tcPr>
          <w:p>
            <w:r>
              <w:rPr>
                <w:sz w:val="19"/>
              </w:rPr>
              <w:t>California Heavy</w:t>
            </w:r>
          </w:p>
        </w:tc>
        <w:tc>
          <w:tcPr>
            <w:tcW w:type="dxa" w:w="1134"/>
          </w:tcPr>
          <w:p>
            <w:r>
              <w:rPr>
                <w:sz w:val="19"/>
              </w:rPr>
              <w:t>290</w:t>
            </w:r>
          </w:p>
        </w:tc>
      </w:tr>
      <w:tr>
        <w:tc>
          <w:tcPr>
            <w:tcW w:type="dxa" w:w="1984"/>
          </w:tcPr>
          <w:p>
            <w:r>
              <w:rPr>
                <w:sz w:val="19"/>
              </w:rPr>
              <w:t>oklahoma_conventional</w:t>
            </w:r>
          </w:p>
        </w:tc>
        <w:tc>
          <w:tcPr>
            <w:tcW w:type="dxa" w:w="2835"/>
          </w:tcPr>
          <w:p>
            <w:r>
              <w:rPr>
                <w:sz w:val="19"/>
              </w:rPr>
              <w:t>Oklahoma (SCOOP/STACK + conv.)</w:t>
            </w:r>
          </w:p>
        </w:tc>
        <w:tc>
          <w:tcPr>
            <w:tcW w:type="dxa" w:w="1701"/>
          </w:tcPr>
          <w:p>
            <w:r>
              <w:rPr>
                <w:sz w:val="19"/>
              </w:rPr>
              <w:t>PADD 2</w:t>
            </w:r>
          </w:p>
        </w:tc>
        <w:tc>
          <w:tcPr>
            <w:tcW w:type="dxa" w:w="1701"/>
          </w:tcPr>
          <w:p>
            <w:r>
              <w:rPr>
                <w:sz w:val="19"/>
              </w:rPr>
              <w:t>Oklahoma Sweet</w:t>
            </w:r>
          </w:p>
        </w:tc>
        <w:tc>
          <w:tcPr>
            <w:tcW w:type="dxa" w:w="1134"/>
          </w:tcPr>
          <w:p>
            <w:r>
              <w:rPr>
                <w:sz w:val="19"/>
              </w:rPr>
              <w:t>400</w:t>
            </w:r>
          </w:p>
        </w:tc>
      </w:tr>
      <w:tr>
        <w:tc>
          <w:tcPr>
            <w:tcW w:type="dxa" w:w="1984"/>
          </w:tcPr>
          <w:p>
            <w:r>
              <w:rPr>
                <w:sz w:val="19"/>
              </w:rPr>
              <w:t>wyoming_conventional</w:t>
            </w:r>
          </w:p>
        </w:tc>
        <w:tc>
          <w:tcPr>
            <w:tcW w:type="dxa" w:w="2835"/>
          </w:tcPr>
          <w:p>
            <w:r>
              <w:rPr>
                <w:sz w:val="19"/>
              </w:rPr>
              <w:t>Wyoming (PRB + Niobrara)</w:t>
            </w:r>
          </w:p>
        </w:tc>
        <w:tc>
          <w:tcPr>
            <w:tcW w:type="dxa" w:w="1701"/>
          </w:tcPr>
          <w:p>
            <w:r>
              <w:rPr>
                <w:sz w:val="19"/>
              </w:rPr>
              <w:t>PADD 4</w:t>
            </w:r>
          </w:p>
        </w:tc>
        <w:tc>
          <w:tcPr>
            <w:tcW w:type="dxa" w:w="1701"/>
          </w:tcPr>
          <w:p>
            <w:r>
              <w:rPr>
                <w:sz w:val="19"/>
              </w:rPr>
              <w:t>Wyoming Sweet</w:t>
            </w:r>
          </w:p>
        </w:tc>
        <w:tc>
          <w:tcPr>
            <w:tcW w:type="dxa" w:w="1134"/>
          </w:tcPr>
          <w:p>
            <w:r>
              <w:rPr>
                <w:sz w:val="19"/>
              </w:rPr>
              <w:t>270</w:t>
            </w:r>
          </w:p>
        </w:tc>
      </w:tr>
      <w:tr>
        <w:tc>
          <w:tcPr>
            <w:tcW w:type="dxa" w:w="1984"/>
          </w:tcPr>
          <w:p>
            <w:r>
              <w:rPr>
                <w:sz w:val="19"/>
              </w:rPr>
              <w:t>colorado_conventional</w:t>
            </w:r>
          </w:p>
        </w:tc>
        <w:tc>
          <w:tcPr>
            <w:tcW w:type="dxa" w:w="2835"/>
          </w:tcPr>
          <w:p>
            <w:r>
              <w:rPr>
                <w:sz w:val="19"/>
              </w:rPr>
              <w:t>Colorado (DJ Basin Niobrara)</w:t>
            </w:r>
          </w:p>
        </w:tc>
        <w:tc>
          <w:tcPr>
            <w:tcW w:type="dxa" w:w="1701"/>
          </w:tcPr>
          <w:p>
            <w:r>
              <w:rPr>
                <w:sz w:val="19"/>
              </w:rPr>
              <w:t>PADD 4</w:t>
            </w:r>
          </w:p>
        </w:tc>
        <w:tc>
          <w:tcPr>
            <w:tcW w:type="dxa" w:w="1701"/>
          </w:tcPr>
          <w:p>
            <w:r>
              <w:rPr>
                <w:sz w:val="19"/>
              </w:rPr>
              <w:t>DJ Niobrara</w:t>
            </w:r>
          </w:p>
        </w:tc>
        <w:tc>
          <w:tcPr>
            <w:tcW w:type="dxa" w:w="1134"/>
          </w:tcPr>
          <w:p>
            <w:r>
              <w:rPr>
                <w:sz w:val="19"/>
              </w:rPr>
              <w:t>450</w:t>
            </w:r>
          </w:p>
        </w:tc>
      </w:tr>
      <w:tr>
        <w:tc>
          <w:tcPr>
            <w:tcW w:type="dxa" w:w="1984"/>
          </w:tcPr>
          <w:p>
            <w:r>
              <w:rPr>
                <w:sz w:val="19"/>
              </w:rPr>
              <w:t>canadian_oil_sands</w:t>
            </w:r>
          </w:p>
        </w:tc>
        <w:tc>
          <w:tcPr>
            <w:tcW w:type="dxa" w:w="2835"/>
          </w:tcPr>
          <w:p>
            <w:r>
              <w:rPr>
                <w:sz w:val="19"/>
              </w:rPr>
              <w:t>Canadian WCSB aggregate</w:t>
            </w:r>
          </w:p>
        </w:tc>
        <w:tc>
          <w:tcPr>
            <w:tcW w:type="dxa" w:w="1701"/>
          </w:tcPr>
          <w:p>
            <w:r>
              <w:rPr>
                <w:sz w:val="19"/>
              </w:rPr>
              <w:t>Canada → PADD 2/3/5</w:t>
            </w:r>
          </w:p>
        </w:tc>
        <w:tc>
          <w:tcPr>
            <w:tcW w:type="dxa" w:w="1701"/>
          </w:tcPr>
          <w:p>
            <w:r>
              <w:rPr>
                <w:sz w:val="19"/>
              </w:rPr>
              <w:t>WCS (dilbit)</w:t>
            </w:r>
          </w:p>
        </w:tc>
        <w:tc>
          <w:tcPr>
            <w:tcW w:type="dxa" w:w="1134"/>
          </w:tcPr>
          <w:p>
            <w:r>
              <w:rPr>
                <w:sz w:val="19"/>
              </w:rPr>
              <w:t>4,900</w:t>
            </w:r>
          </w:p>
        </w:tc>
      </w:tr>
    </w:tbl>
    <w:p>
      <w:r>
        <w:t>Two further production rows (texas_other, montana_other) carry the residual conventional production that is not covered by the named tight-oil plays, and one row (rest_of_l48) holds the conventional aggregate that EIA does not split below the lower-48 total at monthly frequency. The starter scope holds the residual rows as collapsed under the parent aggregate.</w:t>
      </w:r>
    </w:p>
    <w:p>
      <w:pPr>
        <w:pStyle w:val="Heading2"/>
      </w:pPr>
      <w:r>
        <w:t>A.2.3 Refineries</w:t>
      </w:r>
    </w:p>
    <w:p>
      <w:r>
        <w:t>The infrastructure layer carries the refinery set that closes US refining capacity to its 2023/24 reference. The starter graph has 115 refinery nodes drawn from the EIA refinery capacity report (refcap25.xlsx in the project data folder), with named operating sites and their PADD allocations recorded in oil_network.assets and the typed configuration block (Nelson Complexity Index, capacity, operator, preferred slate) in the JSONB attributes column. Five PADD-level refining_centre_view nodes and ten refining_district_view nodes appear as observational aggregates above the refinery layer. The five PADD views are derived as sums over their child refineries; the district views are derived as sums over their refineries within a PADD.</w:t>
      </w:r>
    </w:p>
    <w:p>
      <w:r>
        <w:t>Refinery counts and capacities are reported per PADD by the audit script add_refinery_capacity_report.py, which is run alongside coverage_check.py during the build verification step. Refinery names and per-site details are read directly from the JSON contract; the inventory is too long to reproduce in full here.</w:t>
      </w:r>
    </w:p>
    <w:p>
      <w:pPr>
        <w:pStyle w:val="Heading2"/>
      </w:pPr>
      <w:r>
        <w:t>A.2.4 Pipelines</w:t>
      </w:r>
    </w:p>
    <w:p>
      <w:r>
        <w:t>Twenty-four named pipelines are modelled. Each is an authoritative node at the named-pipeline level. Pump stations and intermediate injection points are not yet instantiated; they sit implicitly as collapsed future children in the resolution hierarchy and can be added by extending the JSON contract.</w:t>
      </w:r>
    </w:p>
    <w:tbl>
      <w:tblPr>
        <w:tblStyle w:val="LightGrid-Accent1"/>
        <w:tblW w:type="auto" w:w="0"/>
        <w:jc w:val="center"/>
        <w:tblLook w:firstColumn="1" w:firstRow="1" w:lastColumn="0" w:lastRow="0" w:noHBand="0" w:noVBand="1" w:val="04A0"/>
      </w:tblPr>
      <w:tblGrid>
        <w:gridCol w:w="2929"/>
        <w:gridCol w:w="2929"/>
        <w:gridCol w:w="2929"/>
      </w:tblGrid>
      <w:tr>
        <w:tc>
          <w:tcPr>
            <w:tcW w:type="dxa" w:w="2268"/>
          </w:tcPr>
          <w:p>
            <w:r>
              <w:rPr>
                <w:b/>
                <w:sz w:val="20"/>
              </w:rPr>
              <w:t>asset_id</w:t>
            </w:r>
          </w:p>
        </w:tc>
        <w:tc>
          <w:tcPr>
            <w:tcW w:type="dxa" w:w="3118"/>
          </w:tcPr>
          <w:p>
            <w:r>
              <w:rPr>
                <w:b/>
                <w:sz w:val="20"/>
              </w:rPr>
              <w:t>Name</w:t>
            </w:r>
          </w:p>
        </w:tc>
        <w:tc>
          <w:tcPr>
            <w:tcW w:type="dxa" w:w="3118"/>
          </w:tcPr>
          <w:p>
            <w:r>
              <w:rPr>
                <w:b/>
                <w:sz w:val="20"/>
              </w:rPr>
              <w:t>Function</w:t>
            </w:r>
          </w:p>
        </w:tc>
      </w:tr>
      <w:tr>
        <w:tc>
          <w:tcPr>
            <w:tcW w:type="dxa" w:w="2268"/>
          </w:tcPr>
          <w:p>
            <w:r>
              <w:rPr>
                <w:sz w:val="19"/>
              </w:rPr>
              <w:t>pipe_gray_oak</w:t>
            </w:r>
          </w:p>
        </w:tc>
        <w:tc>
          <w:tcPr>
            <w:tcW w:type="dxa" w:w="3118"/>
          </w:tcPr>
          <w:p>
            <w:r>
              <w:rPr>
                <w:sz w:val="19"/>
              </w:rPr>
              <w:t>Gray Oak Pipeline</w:t>
            </w:r>
          </w:p>
        </w:tc>
        <w:tc>
          <w:tcPr>
            <w:tcW w:type="dxa" w:w="3118"/>
          </w:tcPr>
          <w:p>
            <w:r>
              <w:rPr>
                <w:sz w:val="19"/>
              </w:rPr>
              <w:t>Permian → Corpus Christi</w:t>
            </w:r>
          </w:p>
        </w:tc>
      </w:tr>
      <w:tr>
        <w:tc>
          <w:tcPr>
            <w:tcW w:type="dxa" w:w="2268"/>
          </w:tcPr>
          <w:p>
            <w:r>
              <w:rPr>
                <w:sz w:val="19"/>
              </w:rPr>
              <w:t>pipe_cactus_ii</w:t>
            </w:r>
          </w:p>
        </w:tc>
        <w:tc>
          <w:tcPr>
            <w:tcW w:type="dxa" w:w="3118"/>
          </w:tcPr>
          <w:p>
            <w:r>
              <w:rPr>
                <w:sz w:val="19"/>
              </w:rPr>
              <w:t>Cactus II Pipeline</w:t>
            </w:r>
          </w:p>
        </w:tc>
        <w:tc>
          <w:tcPr>
            <w:tcW w:type="dxa" w:w="3118"/>
          </w:tcPr>
          <w:p>
            <w:r>
              <w:rPr>
                <w:sz w:val="19"/>
              </w:rPr>
              <w:t>Permian → Corpus Christi</w:t>
            </w:r>
          </w:p>
        </w:tc>
      </w:tr>
      <w:tr>
        <w:tc>
          <w:tcPr>
            <w:tcW w:type="dxa" w:w="2268"/>
          </w:tcPr>
          <w:p>
            <w:r>
              <w:rPr>
                <w:sz w:val="19"/>
              </w:rPr>
              <w:t>pipe_midland_to_echo</w:t>
            </w:r>
          </w:p>
        </w:tc>
        <w:tc>
          <w:tcPr>
            <w:tcW w:type="dxa" w:w="3118"/>
          </w:tcPr>
          <w:p>
            <w:r>
              <w:rPr>
                <w:sz w:val="19"/>
              </w:rPr>
              <w:t>Midland-to-ECHO Pipeline</w:t>
            </w:r>
          </w:p>
        </w:tc>
        <w:tc>
          <w:tcPr>
            <w:tcW w:type="dxa" w:w="3118"/>
          </w:tcPr>
          <w:p>
            <w:r>
              <w:rPr>
                <w:sz w:val="19"/>
              </w:rPr>
              <w:t>Permian → Houston ECHO</w:t>
            </w:r>
          </w:p>
        </w:tc>
      </w:tr>
      <w:tr>
        <w:tc>
          <w:tcPr>
            <w:tcW w:type="dxa" w:w="2268"/>
          </w:tcPr>
          <w:p>
            <w:r>
              <w:rPr>
                <w:sz w:val="19"/>
              </w:rPr>
              <w:t>pipe_wink_to_webster</w:t>
            </w:r>
          </w:p>
        </w:tc>
        <w:tc>
          <w:tcPr>
            <w:tcW w:type="dxa" w:w="3118"/>
          </w:tcPr>
          <w:p>
            <w:r>
              <w:rPr>
                <w:sz w:val="19"/>
              </w:rPr>
              <w:t>Wink-to-Webster Pipeline</w:t>
            </w:r>
          </w:p>
        </w:tc>
        <w:tc>
          <w:tcPr>
            <w:tcW w:type="dxa" w:w="3118"/>
          </w:tcPr>
          <w:p>
            <w:r>
              <w:rPr>
                <w:sz w:val="19"/>
              </w:rPr>
              <w:t>Permian → Webster (Houston)</w:t>
            </w:r>
          </w:p>
        </w:tc>
      </w:tr>
      <w:tr>
        <w:tc>
          <w:tcPr>
            <w:tcW w:type="dxa" w:w="2268"/>
          </w:tcPr>
          <w:p>
            <w:r>
              <w:rPr>
                <w:sz w:val="19"/>
              </w:rPr>
              <w:t>pipe_basin</w:t>
            </w:r>
          </w:p>
        </w:tc>
        <w:tc>
          <w:tcPr>
            <w:tcW w:type="dxa" w:w="3118"/>
          </w:tcPr>
          <w:p>
            <w:r>
              <w:rPr>
                <w:sz w:val="19"/>
              </w:rPr>
              <w:t>Basin Pipeline</w:t>
            </w:r>
          </w:p>
        </w:tc>
        <w:tc>
          <w:tcPr>
            <w:tcW w:type="dxa" w:w="3118"/>
          </w:tcPr>
          <w:p>
            <w:r>
              <w:rPr>
                <w:sz w:val="19"/>
              </w:rPr>
              <w:t>Permian → Cushing</w:t>
            </w:r>
          </w:p>
        </w:tc>
      </w:tr>
      <w:tr>
        <w:tc>
          <w:tcPr>
            <w:tcW w:type="dxa" w:w="2268"/>
          </w:tcPr>
          <w:p>
            <w:r>
              <w:rPr>
                <w:sz w:val="19"/>
              </w:rPr>
              <w:t>pipe_longhorn</w:t>
            </w:r>
          </w:p>
        </w:tc>
        <w:tc>
          <w:tcPr>
            <w:tcW w:type="dxa" w:w="3118"/>
          </w:tcPr>
          <w:p>
            <w:r>
              <w:rPr>
                <w:sz w:val="19"/>
              </w:rPr>
              <w:t>Longhorn Pipeline</w:t>
            </w:r>
          </w:p>
        </w:tc>
        <w:tc>
          <w:tcPr>
            <w:tcW w:type="dxa" w:w="3118"/>
          </w:tcPr>
          <w:p>
            <w:r>
              <w:rPr>
                <w:sz w:val="19"/>
              </w:rPr>
              <w:t>Permian → Houston</w:t>
            </w:r>
          </w:p>
        </w:tc>
      </w:tr>
      <w:tr>
        <w:tc>
          <w:tcPr>
            <w:tcW w:type="dxa" w:w="2268"/>
          </w:tcPr>
          <w:p>
            <w:r>
              <w:rPr>
                <w:sz w:val="19"/>
              </w:rPr>
              <w:t>pipe_bridgetex</w:t>
            </w:r>
          </w:p>
        </w:tc>
        <w:tc>
          <w:tcPr>
            <w:tcW w:type="dxa" w:w="3118"/>
          </w:tcPr>
          <w:p>
            <w:r>
              <w:rPr>
                <w:sz w:val="19"/>
              </w:rPr>
              <w:t>BridgeTex Pipeline</w:t>
            </w:r>
          </w:p>
        </w:tc>
        <w:tc>
          <w:tcPr>
            <w:tcW w:type="dxa" w:w="3118"/>
          </w:tcPr>
          <w:p>
            <w:r>
              <w:rPr>
                <w:sz w:val="19"/>
              </w:rPr>
              <w:t>Permian → Houston</w:t>
            </w:r>
          </w:p>
        </w:tc>
      </w:tr>
      <w:tr>
        <w:tc>
          <w:tcPr>
            <w:tcW w:type="dxa" w:w="2268"/>
          </w:tcPr>
          <w:p>
            <w:r>
              <w:rPr>
                <w:sz w:val="19"/>
              </w:rPr>
              <w:t>pipe_dapl_etco</w:t>
            </w:r>
          </w:p>
        </w:tc>
        <w:tc>
          <w:tcPr>
            <w:tcW w:type="dxa" w:w="3118"/>
          </w:tcPr>
          <w:p>
            <w:r>
              <w:rPr>
                <w:sz w:val="19"/>
              </w:rPr>
              <w:t>DAPL / Energy Transfer Crude Oil</w:t>
            </w:r>
          </w:p>
        </w:tc>
        <w:tc>
          <w:tcPr>
            <w:tcW w:type="dxa" w:w="3118"/>
          </w:tcPr>
          <w:p>
            <w:r>
              <w:rPr>
                <w:sz w:val="19"/>
              </w:rPr>
              <w:t>Bakken → Patoka → Nederland</w:t>
            </w:r>
          </w:p>
        </w:tc>
      </w:tr>
      <w:tr>
        <w:tc>
          <w:tcPr>
            <w:tcW w:type="dxa" w:w="2268"/>
          </w:tcPr>
          <w:p>
            <w:r>
              <w:rPr>
                <w:sz w:val="19"/>
              </w:rPr>
              <w:t>pipe_taps</w:t>
            </w:r>
          </w:p>
        </w:tc>
        <w:tc>
          <w:tcPr>
            <w:tcW w:type="dxa" w:w="3118"/>
          </w:tcPr>
          <w:p>
            <w:r>
              <w:rPr>
                <w:sz w:val="19"/>
              </w:rPr>
              <w:t>Trans-Alaska Pipeline System</w:t>
            </w:r>
          </w:p>
        </w:tc>
        <w:tc>
          <w:tcPr>
            <w:tcW w:type="dxa" w:w="3118"/>
          </w:tcPr>
          <w:p>
            <w:r>
              <w:rPr>
                <w:sz w:val="19"/>
              </w:rPr>
              <w:t>Prudhoe Bay → Valdez</w:t>
            </w:r>
          </w:p>
        </w:tc>
      </w:tr>
      <w:tr>
        <w:tc>
          <w:tcPr>
            <w:tcW w:type="dxa" w:w="2268"/>
          </w:tcPr>
          <w:p>
            <w:r>
              <w:rPr>
                <w:sz w:val="19"/>
              </w:rPr>
              <w:t>pipe_harvest_eagle_ford</w:t>
            </w:r>
          </w:p>
        </w:tc>
        <w:tc>
          <w:tcPr>
            <w:tcW w:type="dxa" w:w="3118"/>
          </w:tcPr>
          <w:p>
            <w:r>
              <w:rPr>
                <w:sz w:val="19"/>
              </w:rPr>
              <w:t>Harvest Eagle Ford Pipeline</w:t>
            </w:r>
          </w:p>
        </w:tc>
        <w:tc>
          <w:tcPr>
            <w:tcW w:type="dxa" w:w="3118"/>
          </w:tcPr>
          <w:p>
            <w:r>
              <w:rPr>
                <w:sz w:val="19"/>
              </w:rPr>
              <w:t>Eagle Ford → Corpus Christi</w:t>
            </w:r>
          </w:p>
        </w:tc>
      </w:tr>
      <w:tr>
        <w:tc>
          <w:tcPr>
            <w:tcW w:type="dxa" w:w="2268"/>
          </w:tcPr>
          <w:p>
            <w:r>
              <w:rPr>
                <w:sz w:val="19"/>
              </w:rPr>
              <w:t>pipe_epic_crude</w:t>
            </w:r>
          </w:p>
        </w:tc>
        <w:tc>
          <w:tcPr>
            <w:tcW w:type="dxa" w:w="3118"/>
          </w:tcPr>
          <w:p>
            <w:r>
              <w:rPr>
                <w:sz w:val="19"/>
              </w:rPr>
              <w:t>EPIC Crude Pipeline</w:t>
            </w:r>
          </w:p>
        </w:tc>
        <w:tc>
          <w:tcPr>
            <w:tcW w:type="dxa" w:w="3118"/>
          </w:tcPr>
          <w:p>
            <w:r>
              <w:rPr>
                <w:sz w:val="19"/>
              </w:rPr>
              <w:t>Permian/Eagle Ford → Corpus Christi</w:t>
            </w:r>
          </w:p>
        </w:tc>
      </w:tr>
      <w:tr>
        <w:tc>
          <w:tcPr>
            <w:tcW w:type="dxa" w:w="2268"/>
          </w:tcPr>
          <w:p>
            <w:r>
              <w:rPr>
                <w:sz w:val="19"/>
              </w:rPr>
              <w:t>pipe_kmcc</w:t>
            </w:r>
          </w:p>
        </w:tc>
        <w:tc>
          <w:tcPr>
            <w:tcW w:type="dxa" w:w="3118"/>
          </w:tcPr>
          <w:p>
            <w:r>
              <w:rPr>
                <w:sz w:val="19"/>
              </w:rPr>
              <w:t>Kinder Morgan Crude &amp; Condensate</w:t>
            </w:r>
          </w:p>
        </w:tc>
        <w:tc>
          <w:tcPr>
            <w:tcW w:type="dxa" w:w="3118"/>
          </w:tcPr>
          <w:p>
            <w:r>
              <w:rPr>
                <w:sz w:val="19"/>
              </w:rPr>
              <w:t>Eagle Ford → Houston</w:t>
            </w:r>
          </w:p>
        </w:tc>
      </w:tr>
      <w:tr>
        <w:tc>
          <w:tcPr>
            <w:tcW w:type="dxa" w:w="2268"/>
          </w:tcPr>
          <w:p>
            <w:r>
              <w:rPr>
                <w:sz w:val="19"/>
              </w:rPr>
              <w:t>pipe_seaway</w:t>
            </w:r>
          </w:p>
        </w:tc>
        <w:tc>
          <w:tcPr>
            <w:tcW w:type="dxa" w:w="3118"/>
          </w:tcPr>
          <w:p>
            <w:r>
              <w:rPr>
                <w:sz w:val="19"/>
              </w:rPr>
              <w:t>Seaway Pipeline System</w:t>
            </w:r>
          </w:p>
        </w:tc>
        <w:tc>
          <w:tcPr>
            <w:tcW w:type="dxa" w:w="3118"/>
          </w:tcPr>
          <w:p>
            <w:r>
              <w:rPr>
                <w:sz w:val="19"/>
              </w:rPr>
              <w:t>Cushing → Gulf Coast</w:t>
            </w:r>
          </w:p>
        </w:tc>
      </w:tr>
      <w:tr>
        <w:tc>
          <w:tcPr>
            <w:tcW w:type="dxa" w:w="2268"/>
          </w:tcPr>
          <w:p>
            <w:r>
              <w:rPr>
                <w:sz w:val="19"/>
              </w:rPr>
              <w:t>pipe_marketlink</w:t>
            </w:r>
          </w:p>
        </w:tc>
        <w:tc>
          <w:tcPr>
            <w:tcW w:type="dxa" w:w="3118"/>
          </w:tcPr>
          <w:p>
            <w:r>
              <w:rPr>
                <w:sz w:val="19"/>
              </w:rPr>
              <w:t>MarketLink Pipeline</w:t>
            </w:r>
          </w:p>
        </w:tc>
        <w:tc>
          <w:tcPr>
            <w:tcW w:type="dxa" w:w="3118"/>
          </w:tcPr>
          <w:p>
            <w:r>
              <w:rPr>
                <w:sz w:val="19"/>
              </w:rPr>
              <w:t>Cushing → Gulf Coast</w:t>
            </w:r>
          </w:p>
        </w:tc>
      </w:tr>
      <w:tr>
        <w:tc>
          <w:tcPr>
            <w:tcW w:type="dxa" w:w="2268"/>
          </w:tcPr>
          <w:p>
            <w:r>
              <w:rPr>
                <w:sz w:val="19"/>
              </w:rPr>
              <w:t>pipe_capline</w:t>
            </w:r>
          </w:p>
        </w:tc>
        <w:tc>
          <w:tcPr>
            <w:tcW w:type="dxa" w:w="3118"/>
          </w:tcPr>
          <w:p>
            <w:r>
              <w:rPr>
                <w:sz w:val="19"/>
              </w:rPr>
              <w:t>Capline Pipeline (reversed)</w:t>
            </w:r>
          </w:p>
        </w:tc>
        <w:tc>
          <w:tcPr>
            <w:tcW w:type="dxa" w:w="3118"/>
          </w:tcPr>
          <w:p>
            <w:r>
              <w:rPr>
                <w:sz w:val="19"/>
              </w:rPr>
              <w:t>St. James → Patoka</w:t>
            </w:r>
          </w:p>
        </w:tc>
      </w:tr>
      <w:tr>
        <w:tc>
          <w:tcPr>
            <w:tcW w:type="dxa" w:w="2268"/>
          </w:tcPr>
          <w:p>
            <w:r>
              <w:rPr>
                <w:sz w:val="19"/>
              </w:rPr>
              <w:t>pipe_spearhead</w:t>
            </w:r>
          </w:p>
        </w:tc>
        <w:tc>
          <w:tcPr>
            <w:tcW w:type="dxa" w:w="3118"/>
          </w:tcPr>
          <w:p>
            <w:r>
              <w:rPr>
                <w:sz w:val="19"/>
              </w:rPr>
              <w:t>Spearhead Pipeline</w:t>
            </w:r>
          </w:p>
        </w:tc>
        <w:tc>
          <w:tcPr>
            <w:tcW w:type="dxa" w:w="3118"/>
          </w:tcPr>
          <w:p>
            <w:r>
              <w:rPr>
                <w:sz w:val="19"/>
              </w:rPr>
              <w:t>Flanagan → Cushing</w:t>
            </w:r>
          </w:p>
        </w:tc>
      </w:tr>
      <w:tr>
        <w:tc>
          <w:tcPr>
            <w:tcW w:type="dxa" w:w="2268"/>
          </w:tcPr>
          <w:p>
            <w:r>
              <w:rPr>
                <w:sz w:val="19"/>
              </w:rPr>
              <w:t>pipe_enbridge_mainline</w:t>
            </w:r>
          </w:p>
        </w:tc>
        <w:tc>
          <w:tcPr>
            <w:tcW w:type="dxa" w:w="3118"/>
          </w:tcPr>
          <w:p>
            <w:r>
              <w:rPr>
                <w:sz w:val="19"/>
              </w:rPr>
              <w:t>Enbridge Mainline / Flanagan South (US)</w:t>
            </w:r>
          </w:p>
        </w:tc>
        <w:tc>
          <w:tcPr>
            <w:tcW w:type="dxa" w:w="3118"/>
          </w:tcPr>
          <w:p>
            <w:r>
              <w:rPr>
                <w:sz w:val="19"/>
              </w:rPr>
              <w:t>Clearbrook → Patoka/Cushing</w:t>
            </w:r>
          </w:p>
        </w:tc>
      </w:tr>
      <w:tr>
        <w:tc>
          <w:tcPr>
            <w:tcW w:type="dxa" w:w="2268"/>
          </w:tcPr>
          <w:p>
            <w:r>
              <w:rPr>
                <w:sz w:val="19"/>
              </w:rPr>
              <w:t>pipe_loop_connector</w:t>
            </w:r>
          </w:p>
        </w:tc>
        <w:tc>
          <w:tcPr>
            <w:tcW w:type="dxa" w:w="3118"/>
          </w:tcPr>
          <w:p>
            <w:r>
              <w:rPr>
                <w:sz w:val="19"/>
              </w:rPr>
              <w:t>LOOP Onshore Connector</w:t>
            </w:r>
          </w:p>
        </w:tc>
        <w:tc>
          <w:tcPr>
            <w:tcW w:type="dxa" w:w="3118"/>
          </w:tcPr>
          <w:p>
            <w:r>
              <w:rPr>
                <w:sz w:val="19"/>
              </w:rPr>
              <w:t>Offshore Gulf → Clovelly</w:t>
            </w:r>
          </w:p>
        </w:tc>
      </w:tr>
      <w:tr>
        <w:tc>
          <w:tcPr>
            <w:tcW w:type="dxa" w:w="2268"/>
          </w:tcPr>
          <w:p>
            <w:r>
              <w:rPr>
                <w:sz w:val="19"/>
              </w:rPr>
              <w:t>pipe_locap</w:t>
            </w:r>
          </w:p>
        </w:tc>
        <w:tc>
          <w:tcPr>
            <w:tcW w:type="dxa" w:w="3118"/>
          </w:tcPr>
          <w:p>
            <w:r>
              <w:rPr>
                <w:sz w:val="19"/>
              </w:rPr>
              <w:t>LOCAP / Ship Shoal crude lines</w:t>
            </w:r>
          </w:p>
        </w:tc>
        <w:tc>
          <w:tcPr>
            <w:tcW w:type="dxa" w:w="3118"/>
          </w:tcPr>
          <w:p>
            <w:r>
              <w:rPr>
                <w:sz w:val="19"/>
              </w:rPr>
              <w:t>Offshore Gulf → St. James</w:t>
            </w:r>
          </w:p>
        </w:tc>
      </w:tr>
      <w:tr>
        <w:tc>
          <w:tcPr>
            <w:tcW w:type="dxa" w:w="2268"/>
          </w:tcPr>
          <w:p>
            <w:r>
              <w:rPr>
                <w:sz w:val="19"/>
              </w:rPr>
              <w:t>pipe_pony_express</w:t>
            </w:r>
          </w:p>
        </w:tc>
        <w:tc>
          <w:tcPr>
            <w:tcW w:type="dxa" w:w="3118"/>
          </w:tcPr>
          <w:p>
            <w:r>
              <w:rPr>
                <w:sz w:val="19"/>
              </w:rPr>
              <w:t>Pony Express Pipeline</w:t>
            </w:r>
          </w:p>
        </w:tc>
        <w:tc>
          <w:tcPr>
            <w:tcW w:type="dxa" w:w="3118"/>
          </w:tcPr>
          <w:p>
            <w:r>
              <w:rPr>
                <w:sz w:val="19"/>
              </w:rPr>
              <w:t>Guernsey → Cushing</w:t>
            </w:r>
          </w:p>
        </w:tc>
      </w:tr>
      <w:tr>
        <w:tc>
          <w:tcPr>
            <w:tcW w:type="dxa" w:w="2268"/>
          </w:tcPr>
          <w:p>
            <w:r>
              <w:rPr>
                <w:sz w:val="19"/>
              </w:rPr>
              <w:t>pipe_enbridge_mainline_ca</w:t>
            </w:r>
          </w:p>
        </w:tc>
        <w:tc>
          <w:tcPr>
            <w:tcW w:type="dxa" w:w="3118"/>
          </w:tcPr>
          <w:p>
            <w:r>
              <w:rPr>
                <w:sz w:val="19"/>
              </w:rPr>
              <w:t>Enbridge Mainline (Canadian segment)</w:t>
            </w:r>
          </w:p>
        </w:tc>
        <w:tc>
          <w:tcPr>
            <w:tcW w:type="dxa" w:w="3118"/>
          </w:tcPr>
          <w:p>
            <w:r>
              <w:rPr>
                <w:sz w:val="19"/>
              </w:rPr>
              <w:t>Edmonton → Clearbrook</w:t>
            </w:r>
          </w:p>
        </w:tc>
      </w:tr>
      <w:tr>
        <w:tc>
          <w:tcPr>
            <w:tcW w:type="dxa" w:w="2268"/>
          </w:tcPr>
          <w:p>
            <w:r>
              <w:rPr>
                <w:sz w:val="19"/>
              </w:rPr>
              <w:t>pipe_keystone</w:t>
            </w:r>
          </w:p>
        </w:tc>
        <w:tc>
          <w:tcPr>
            <w:tcW w:type="dxa" w:w="3118"/>
          </w:tcPr>
          <w:p>
            <w:r>
              <w:rPr>
                <w:sz w:val="19"/>
              </w:rPr>
              <w:t>Keystone Pipeline</w:t>
            </w:r>
          </w:p>
        </w:tc>
        <w:tc>
          <w:tcPr>
            <w:tcW w:type="dxa" w:w="3118"/>
          </w:tcPr>
          <w:p>
            <w:r>
              <w:rPr>
                <w:sz w:val="19"/>
              </w:rPr>
              <w:t>Hardisty → Cushing</w:t>
            </w:r>
          </w:p>
        </w:tc>
      </w:tr>
      <w:tr>
        <w:tc>
          <w:tcPr>
            <w:tcW w:type="dxa" w:w="2268"/>
          </w:tcPr>
          <w:p>
            <w:r>
              <w:rPr>
                <w:sz w:val="19"/>
              </w:rPr>
              <w:t>pipe_trans_mountain_tmx</w:t>
            </w:r>
          </w:p>
        </w:tc>
        <w:tc>
          <w:tcPr>
            <w:tcW w:type="dxa" w:w="3118"/>
          </w:tcPr>
          <w:p>
            <w:r>
              <w:rPr>
                <w:sz w:val="19"/>
              </w:rPr>
              <w:t>Trans Mountain + TMX expansion</w:t>
            </w:r>
          </w:p>
        </w:tc>
        <w:tc>
          <w:tcPr>
            <w:tcW w:type="dxa" w:w="3118"/>
          </w:tcPr>
          <w:p>
            <w:r>
              <w:rPr>
                <w:sz w:val="19"/>
              </w:rPr>
              <w:t>Edmonton → Burnaby (BC)</w:t>
            </w:r>
          </w:p>
        </w:tc>
      </w:tr>
      <w:tr>
        <w:tc>
          <w:tcPr>
            <w:tcW w:type="dxa" w:w="2268"/>
          </w:tcPr>
          <w:p>
            <w:r>
              <w:rPr>
                <w:sz w:val="19"/>
              </w:rPr>
              <w:t>pipe_express_platte</w:t>
            </w:r>
          </w:p>
        </w:tc>
        <w:tc>
          <w:tcPr>
            <w:tcW w:type="dxa" w:w="3118"/>
          </w:tcPr>
          <w:p>
            <w:r>
              <w:rPr>
                <w:sz w:val="19"/>
              </w:rPr>
              <w:t>Express + Platte Pipeline</w:t>
            </w:r>
          </w:p>
        </w:tc>
        <w:tc>
          <w:tcPr>
            <w:tcW w:type="dxa" w:w="3118"/>
          </w:tcPr>
          <w:p>
            <w:r>
              <w:rPr>
                <w:sz w:val="19"/>
              </w:rPr>
              <w:t>Hardisty → Casper → Wood River</w:t>
            </w:r>
          </w:p>
        </w:tc>
      </w:tr>
    </w:tbl>
    <w:p>
      <w:pPr>
        <w:pStyle w:val="Heading2"/>
      </w:pPr>
      <w:r>
        <w:t>A.2.5 Storage Hubs, Origin Terminals and Export Terminals</w:t>
      </w:r>
    </w:p>
    <w:p>
      <w:r>
        <w:t>The infrastructure layer also carries ten storage terminals, six origin terminals (the gathering points where regional crude enters long-haul pipelines: Crane, Midland, Wink, Three Rivers, Patoka and Guernsey), seven export terminals on the Gulf and West Coasts (Corpus Christi, Houston ECHO, Webster, Beaumont, Nederland-Sunoco, Mariner-Marcus Hook on the East Coast, and the LOOP offshore terminal), four import terminals (Houston, Corpus Christi, Long Beach and St. James for Mexican and waterborne imports), and five gathering blocks that aggregate per-state feeders into the long-haul pipeline system.</w:t>
      </w:r>
    </w:p>
    <w:p>
      <w:r>
        <w:t>Cushing is modelled as a physical hub with three sub-terminals (cushing_enbridge, cushing_plains, cushing_enterprise). Under the starter scope the sub-terminals are collapsed and the cushing_hub node is authoritative, since EIA publishes Cushing inventory as a single weekly series.</w:t>
      </w:r>
    </w:p>
    <w:p>
      <w:pPr>
        <w:pStyle w:val="Heading2"/>
      </w:pPr>
      <w:r>
        <w:t>A.2.6 Strategic Petroleum Reserve Sites</w:t>
      </w:r>
    </w:p>
    <w:p>
      <w:r>
        <w:t>Four SPR sites appear as physical nodes. The starter scope is site-level authoritative for the SPR, not aggregate-level, since the per-site weekly stock series is the primary observation for this subsystem (Chapter 5 cites it as the validation target for the inventory forecasting study).</w:t>
      </w:r>
    </w:p>
    <w:tbl>
      <w:tblPr>
        <w:tblStyle w:val="LightGrid-Accent1"/>
        <w:tblW w:type="auto" w:w="0"/>
        <w:jc w:val="center"/>
        <w:tblLook w:firstColumn="1" w:firstRow="1" w:lastColumn="0" w:lastRow="0" w:noHBand="0" w:noVBand="1" w:val="04A0"/>
      </w:tblPr>
      <w:tblGrid>
        <w:gridCol w:w="2197"/>
        <w:gridCol w:w="2197"/>
        <w:gridCol w:w="2197"/>
        <w:gridCol w:w="2197"/>
      </w:tblGrid>
      <w:tr>
        <w:tc>
          <w:tcPr>
            <w:tcW w:type="dxa" w:w="2268"/>
          </w:tcPr>
          <w:p>
            <w:r>
              <w:rPr>
                <w:b/>
                <w:sz w:val="20"/>
              </w:rPr>
              <w:t>asset_id</w:t>
            </w:r>
          </w:p>
        </w:tc>
        <w:tc>
          <w:tcPr>
            <w:tcW w:type="dxa" w:w="2268"/>
          </w:tcPr>
          <w:p>
            <w:r>
              <w:rPr>
                <w:b/>
                <w:sz w:val="20"/>
              </w:rPr>
              <w:t>Name</w:t>
            </w:r>
          </w:p>
        </w:tc>
        <w:tc>
          <w:tcPr>
            <w:tcW w:type="dxa" w:w="1417"/>
          </w:tcPr>
          <w:p>
            <w:r>
              <w:rPr>
                <w:b/>
                <w:sz w:val="20"/>
              </w:rPr>
              <w:t>PADD</w:t>
            </w:r>
          </w:p>
        </w:tc>
        <w:tc>
          <w:tcPr>
            <w:tcW w:type="dxa" w:w="2551"/>
          </w:tcPr>
          <w:p>
            <w:r>
              <w:rPr>
                <w:b/>
                <w:sz w:val="20"/>
              </w:rPr>
              <w:t>Capacity (mb)</w:t>
            </w:r>
          </w:p>
        </w:tc>
      </w:tr>
      <w:tr>
        <w:tc>
          <w:tcPr>
            <w:tcW w:type="dxa" w:w="2268"/>
          </w:tcPr>
          <w:p>
            <w:r>
              <w:rPr>
                <w:sz w:val="19"/>
              </w:rPr>
              <w:t>spr_bryan_mound</w:t>
            </w:r>
          </w:p>
        </w:tc>
        <w:tc>
          <w:tcPr>
            <w:tcW w:type="dxa" w:w="2268"/>
          </w:tcPr>
          <w:p>
            <w:r>
              <w:rPr>
                <w:sz w:val="19"/>
              </w:rPr>
              <w:t>Bryan Mound</w:t>
            </w:r>
          </w:p>
        </w:tc>
        <w:tc>
          <w:tcPr>
            <w:tcW w:type="dxa" w:w="1417"/>
          </w:tcPr>
          <w:p>
            <w:r>
              <w:rPr>
                <w:sz w:val="19"/>
              </w:rPr>
              <w:t>PADD 3</w:t>
            </w:r>
          </w:p>
        </w:tc>
        <w:tc>
          <w:tcPr>
            <w:tcW w:type="dxa" w:w="2551"/>
          </w:tcPr>
          <w:p>
            <w:r>
              <w:rPr>
                <w:sz w:val="19"/>
              </w:rPr>
              <w:t>254</w:t>
            </w:r>
          </w:p>
        </w:tc>
      </w:tr>
      <w:tr>
        <w:tc>
          <w:tcPr>
            <w:tcW w:type="dxa" w:w="2268"/>
          </w:tcPr>
          <w:p>
            <w:r>
              <w:rPr>
                <w:sz w:val="19"/>
              </w:rPr>
              <w:t>spr_big_hill</w:t>
            </w:r>
          </w:p>
        </w:tc>
        <w:tc>
          <w:tcPr>
            <w:tcW w:type="dxa" w:w="2268"/>
          </w:tcPr>
          <w:p>
            <w:r>
              <w:rPr>
                <w:sz w:val="19"/>
              </w:rPr>
              <w:t>Big Hill</w:t>
            </w:r>
          </w:p>
        </w:tc>
        <w:tc>
          <w:tcPr>
            <w:tcW w:type="dxa" w:w="1417"/>
          </w:tcPr>
          <w:p>
            <w:r>
              <w:rPr>
                <w:sz w:val="19"/>
              </w:rPr>
              <w:t>PADD 3</w:t>
            </w:r>
          </w:p>
        </w:tc>
        <w:tc>
          <w:tcPr>
            <w:tcW w:type="dxa" w:w="2551"/>
          </w:tcPr>
          <w:p>
            <w:r>
              <w:rPr>
                <w:sz w:val="19"/>
              </w:rPr>
              <w:t>170</w:t>
            </w:r>
          </w:p>
        </w:tc>
      </w:tr>
      <w:tr>
        <w:tc>
          <w:tcPr>
            <w:tcW w:type="dxa" w:w="2268"/>
          </w:tcPr>
          <w:p>
            <w:r>
              <w:rPr>
                <w:sz w:val="19"/>
              </w:rPr>
              <w:t>spr_west_hackberry</w:t>
            </w:r>
          </w:p>
        </w:tc>
        <w:tc>
          <w:tcPr>
            <w:tcW w:type="dxa" w:w="2268"/>
          </w:tcPr>
          <w:p>
            <w:r>
              <w:rPr>
                <w:sz w:val="19"/>
              </w:rPr>
              <w:t>West Hackberry</w:t>
            </w:r>
          </w:p>
        </w:tc>
        <w:tc>
          <w:tcPr>
            <w:tcW w:type="dxa" w:w="1417"/>
          </w:tcPr>
          <w:p>
            <w:r>
              <w:rPr>
                <w:sz w:val="19"/>
              </w:rPr>
              <w:t>PADD 3</w:t>
            </w:r>
          </w:p>
        </w:tc>
        <w:tc>
          <w:tcPr>
            <w:tcW w:type="dxa" w:w="2551"/>
          </w:tcPr>
          <w:p>
            <w:r>
              <w:rPr>
                <w:sz w:val="19"/>
              </w:rPr>
              <w:t>227</w:t>
            </w:r>
          </w:p>
        </w:tc>
      </w:tr>
      <w:tr>
        <w:tc>
          <w:tcPr>
            <w:tcW w:type="dxa" w:w="2268"/>
          </w:tcPr>
          <w:p>
            <w:r>
              <w:rPr>
                <w:sz w:val="19"/>
              </w:rPr>
              <w:t>spr_bayou_choctaw</w:t>
            </w:r>
          </w:p>
        </w:tc>
        <w:tc>
          <w:tcPr>
            <w:tcW w:type="dxa" w:w="2268"/>
          </w:tcPr>
          <w:p>
            <w:r>
              <w:rPr>
                <w:sz w:val="19"/>
              </w:rPr>
              <w:t>Bayou Choctaw</w:t>
            </w:r>
          </w:p>
        </w:tc>
        <w:tc>
          <w:tcPr>
            <w:tcW w:type="dxa" w:w="1417"/>
          </w:tcPr>
          <w:p>
            <w:r>
              <w:rPr>
                <w:sz w:val="19"/>
              </w:rPr>
              <w:t>PADD 3</w:t>
            </w:r>
          </w:p>
        </w:tc>
        <w:tc>
          <w:tcPr>
            <w:tcW w:type="dxa" w:w="2551"/>
          </w:tcPr>
          <w:p>
            <w:r>
              <w:rPr>
                <w:sz w:val="19"/>
              </w:rPr>
              <w:t>73</w:t>
            </w:r>
          </w:p>
        </w:tc>
      </w:tr>
    </w:tbl>
    <w:p>
      <w:r>
        <w:t>The aggregate spr_total is a derived sum_over_children of the four site nodes.</w:t>
      </w:r>
    </w:p>
    <w:p>
      <w:pPr>
        <w:pStyle w:val="Heading2"/>
      </w:pPr>
      <w:r>
        <w:t>A.2.7 Canadian Inflow</w:t>
      </w:r>
    </w:p>
    <w:p>
      <w:r>
        <w:t>Canadian crude reaches the US through four cross-border pipelines, and a residual entry captures the small volumes that move by rail or short-haul truck and are not allocated to any named pipeline.</w:t>
      </w:r>
    </w:p>
    <w:tbl>
      <w:tblPr>
        <w:tblStyle w:val="LightGrid-Accent1"/>
        <w:tblW w:type="auto" w:w="0"/>
        <w:jc w:val="center"/>
        <w:tblLook w:firstColumn="1" w:firstRow="1" w:lastColumn="0" w:lastRow="0" w:noHBand="0" w:noVBand="1" w:val="04A0"/>
      </w:tblPr>
      <w:tblGrid>
        <w:gridCol w:w="1758"/>
        <w:gridCol w:w="1758"/>
        <w:gridCol w:w="1758"/>
        <w:gridCol w:w="1758"/>
        <w:gridCol w:w="1758"/>
      </w:tblGrid>
      <w:tr>
        <w:tc>
          <w:tcPr>
            <w:tcW w:type="dxa" w:w="2551"/>
          </w:tcPr>
          <w:p>
            <w:r>
              <w:rPr>
                <w:b/>
                <w:sz w:val="20"/>
              </w:rPr>
              <w:t>asset_id</w:t>
            </w:r>
          </w:p>
        </w:tc>
        <w:tc>
          <w:tcPr>
            <w:tcW w:type="dxa" w:w="2835"/>
          </w:tcPr>
          <w:p>
            <w:r>
              <w:rPr>
                <w:b/>
                <w:sz w:val="20"/>
              </w:rPr>
              <w:t>Pipeline</w:t>
            </w:r>
          </w:p>
        </w:tc>
        <w:tc>
          <w:tcPr>
            <w:tcW w:type="dxa" w:w="1417"/>
          </w:tcPr>
          <w:p>
            <w:r>
              <w:rPr>
                <w:b/>
                <w:sz w:val="20"/>
              </w:rPr>
              <w:t>From</w:t>
            </w:r>
          </w:p>
        </w:tc>
        <w:tc>
          <w:tcPr>
            <w:tcW w:type="dxa" w:w="2268"/>
          </w:tcPr>
          <w:p>
            <w:r>
              <w:rPr>
                <w:b/>
                <w:sz w:val="20"/>
              </w:rPr>
              <w:t>To</w:t>
            </w:r>
          </w:p>
        </w:tc>
        <w:tc>
          <w:tcPr>
            <w:tcW w:type="dxa" w:w="1417"/>
          </w:tcPr>
          <w:p>
            <w:r>
              <w:rPr>
                <w:b/>
                <w:sz w:val="20"/>
              </w:rPr>
              <w:t>Approx. share</w:t>
            </w:r>
          </w:p>
        </w:tc>
      </w:tr>
      <w:tr>
        <w:tc>
          <w:tcPr>
            <w:tcW w:type="dxa" w:w="2551"/>
          </w:tcPr>
          <w:p>
            <w:r>
              <w:rPr>
                <w:sz w:val="19"/>
              </w:rPr>
              <w:t>pipe_enbridge_mainline_ca</w:t>
            </w:r>
          </w:p>
        </w:tc>
        <w:tc>
          <w:tcPr>
            <w:tcW w:type="dxa" w:w="2835"/>
          </w:tcPr>
          <w:p>
            <w:r>
              <w:rPr>
                <w:sz w:val="19"/>
              </w:rPr>
              <w:t>Enbridge Mainline (CA)</w:t>
            </w:r>
          </w:p>
        </w:tc>
        <w:tc>
          <w:tcPr>
            <w:tcW w:type="dxa" w:w="1417"/>
          </w:tcPr>
          <w:p>
            <w:r>
              <w:rPr>
                <w:sz w:val="19"/>
              </w:rPr>
              <w:t>Edmonton</w:t>
            </w:r>
          </w:p>
        </w:tc>
        <w:tc>
          <w:tcPr>
            <w:tcW w:type="dxa" w:w="2268"/>
          </w:tcPr>
          <w:p>
            <w:r>
              <w:rPr>
                <w:sz w:val="19"/>
              </w:rPr>
              <w:t>Clearbrook (US)</w:t>
            </w:r>
          </w:p>
        </w:tc>
        <w:tc>
          <w:tcPr>
            <w:tcW w:type="dxa" w:w="1417"/>
          </w:tcPr>
          <w:p>
            <w:r>
              <w:rPr>
                <w:sz w:val="19"/>
              </w:rPr>
              <w:t>~2,800 kbd</w:t>
            </w:r>
          </w:p>
        </w:tc>
      </w:tr>
      <w:tr>
        <w:tc>
          <w:tcPr>
            <w:tcW w:type="dxa" w:w="2551"/>
          </w:tcPr>
          <w:p>
            <w:r>
              <w:rPr>
                <w:sz w:val="19"/>
              </w:rPr>
              <w:t>pipe_keystone</w:t>
            </w:r>
          </w:p>
        </w:tc>
        <w:tc>
          <w:tcPr>
            <w:tcW w:type="dxa" w:w="2835"/>
          </w:tcPr>
          <w:p>
            <w:r>
              <w:rPr>
                <w:sz w:val="19"/>
              </w:rPr>
              <w:t>Keystone</w:t>
            </w:r>
          </w:p>
        </w:tc>
        <w:tc>
          <w:tcPr>
            <w:tcW w:type="dxa" w:w="1417"/>
          </w:tcPr>
          <w:p>
            <w:r>
              <w:rPr>
                <w:sz w:val="19"/>
              </w:rPr>
              <w:t>Hardisty</w:t>
            </w:r>
          </w:p>
        </w:tc>
        <w:tc>
          <w:tcPr>
            <w:tcW w:type="dxa" w:w="2268"/>
          </w:tcPr>
          <w:p>
            <w:r>
              <w:rPr>
                <w:sz w:val="19"/>
              </w:rPr>
              <w:t>Cushing (PADD 2)</w:t>
            </w:r>
          </w:p>
        </w:tc>
        <w:tc>
          <w:tcPr>
            <w:tcW w:type="dxa" w:w="1417"/>
          </w:tcPr>
          <w:p>
            <w:r>
              <w:rPr>
                <w:sz w:val="19"/>
              </w:rPr>
              <w:t>~600 kbd</w:t>
            </w:r>
          </w:p>
        </w:tc>
      </w:tr>
      <w:tr>
        <w:tc>
          <w:tcPr>
            <w:tcW w:type="dxa" w:w="2551"/>
          </w:tcPr>
          <w:p>
            <w:r>
              <w:rPr>
                <w:sz w:val="19"/>
              </w:rPr>
              <w:t>pipe_trans_mountain_tmx</w:t>
            </w:r>
          </w:p>
        </w:tc>
        <w:tc>
          <w:tcPr>
            <w:tcW w:type="dxa" w:w="2835"/>
          </w:tcPr>
          <w:p>
            <w:r>
              <w:rPr>
                <w:sz w:val="19"/>
              </w:rPr>
              <w:t>Trans Mountain + TMX</w:t>
            </w:r>
          </w:p>
        </w:tc>
        <w:tc>
          <w:tcPr>
            <w:tcW w:type="dxa" w:w="1417"/>
          </w:tcPr>
          <w:p>
            <w:r>
              <w:rPr>
                <w:sz w:val="19"/>
              </w:rPr>
              <w:t>Edmonton</w:t>
            </w:r>
          </w:p>
        </w:tc>
        <w:tc>
          <w:tcPr>
            <w:tcW w:type="dxa" w:w="2268"/>
          </w:tcPr>
          <w:p>
            <w:r>
              <w:rPr>
                <w:sz w:val="19"/>
              </w:rPr>
              <w:t>Burnaby (BC, exits to Asia)</w:t>
            </w:r>
          </w:p>
        </w:tc>
        <w:tc>
          <w:tcPr>
            <w:tcW w:type="dxa" w:w="1417"/>
          </w:tcPr>
          <w:p>
            <w:r>
              <w:rPr>
                <w:sz w:val="19"/>
              </w:rPr>
              <w:t>(re-export)</w:t>
            </w:r>
          </w:p>
        </w:tc>
      </w:tr>
      <w:tr>
        <w:tc>
          <w:tcPr>
            <w:tcW w:type="dxa" w:w="2551"/>
          </w:tcPr>
          <w:p>
            <w:r>
              <w:rPr>
                <w:sz w:val="19"/>
              </w:rPr>
              <w:t>pipe_express_platte</w:t>
            </w:r>
          </w:p>
        </w:tc>
        <w:tc>
          <w:tcPr>
            <w:tcW w:type="dxa" w:w="2835"/>
          </w:tcPr>
          <w:p>
            <w:r>
              <w:rPr>
                <w:sz w:val="19"/>
              </w:rPr>
              <w:t>Express + Platte</w:t>
            </w:r>
          </w:p>
        </w:tc>
        <w:tc>
          <w:tcPr>
            <w:tcW w:type="dxa" w:w="1417"/>
          </w:tcPr>
          <w:p>
            <w:r>
              <w:rPr>
                <w:sz w:val="19"/>
              </w:rPr>
              <w:t>Hardisty</w:t>
            </w:r>
          </w:p>
        </w:tc>
        <w:tc>
          <w:tcPr>
            <w:tcW w:type="dxa" w:w="2268"/>
          </w:tcPr>
          <w:p>
            <w:r>
              <w:rPr>
                <w:sz w:val="19"/>
              </w:rPr>
              <w:t>Wood River (PADD 2)</w:t>
            </w:r>
          </w:p>
        </w:tc>
        <w:tc>
          <w:tcPr>
            <w:tcW w:type="dxa" w:w="1417"/>
          </w:tcPr>
          <w:p>
            <w:r>
              <w:rPr>
                <w:sz w:val="19"/>
              </w:rPr>
              <w:t>~280 kbd</w:t>
            </w:r>
          </w:p>
        </w:tc>
      </w:tr>
    </w:tbl>
    <w:p>
      <w:r>
        <w:t>The TMX line re-exports to the Pacific; only the portion that lands in PADD 5 via Anacortes is allocated to the US flow. The Canadian inflow is summed against the US production total to produce the supply-side balance against US refining and exports.</w:t>
      </w:r>
    </w:p>
    <w:p>
      <w:pPr>
        <w:pStyle w:val="Heading2"/>
      </w:pPr>
      <w:r>
        <w:t>A.2.8 Authoritative Resolution Levels Under the Starter Scope</w:t>
      </w:r>
    </w:p>
    <w:p>
      <w:r>
        <w:t>Chapter 4 lists the headline resolution choices. The full table reproduces the starter coverage contract committed in the JSON and used by the loader.</w:t>
      </w:r>
    </w:p>
    <w:tbl>
      <w:tblPr>
        <w:tblStyle w:val="LightGrid-Accent1"/>
        <w:tblW w:type="auto" w:w="0"/>
        <w:jc w:val="center"/>
        <w:tblLook w:firstColumn="1" w:firstRow="1" w:lastColumn="0" w:lastRow="0" w:noHBand="0" w:noVBand="1" w:val="04A0"/>
      </w:tblPr>
      <w:tblGrid>
        <w:gridCol w:w="2929"/>
        <w:gridCol w:w="2929"/>
        <w:gridCol w:w="2929"/>
      </w:tblGrid>
      <w:tr>
        <w:tc>
          <w:tcPr>
            <w:tcW w:type="dxa" w:w="2268"/>
          </w:tcPr>
          <w:p>
            <w:r>
              <w:rPr>
                <w:b/>
                <w:sz w:val="20"/>
              </w:rPr>
              <w:t>Subsystem</w:t>
            </w:r>
          </w:p>
        </w:tc>
        <w:tc>
          <w:tcPr>
            <w:tcW w:type="dxa" w:w="2835"/>
          </w:tcPr>
          <w:p>
            <w:r>
              <w:rPr>
                <w:b/>
                <w:sz w:val="20"/>
              </w:rPr>
              <w:t>Authoritative level</w:t>
            </w:r>
          </w:p>
        </w:tc>
        <w:tc>
          <w:tcPr>
            <w:tcW w:type="dxa" w:w="3402"/>
          </w:tcPr>
          <w:p>
            <w:r>
              <w:rPr>
                <w:b/>
                <w:sz w:val="20"/>
              </w:rPr>
              <w:t>Collapsed under starter scope</w:t>
            </w:r>
          </w:p>
        </w:tc>
      </w:tr>
      <w:tr>
        <w:tc>
          <w:tcPr>
            <w:tcW w:type="dxa" w:w="2268"/>
          </w:tcPr>
          <w:p>
            <w:r>
              <w:rPr>
                <w:sz w:val="19"/>
              </w:rPr>
              <w:t>permian_subsystem</w:t>
            </w:r>
          </w:p>
        </w:tc>
        <w:tc>
          <w:tcPr>
            <w:tcW w:type="dxa" w:w="2835"/>
          </w:tcPr>
          <w:p>
            <w:r>
              <w:rPr>
                <w:sz w:val="19"/>
              </w:rPr>
              <w:t>permian (basin aggregate)</w:t>
            </w:r>
          </w:p>
        </w:tc>
        <w:tc>
          <w:tcPr>
            <w:tcW w:type="dxa" w:w="3402"/>
          </w:tcPr>
          <w:p>
            <w:r>
              <w:rPr>
                <w:sz w:val="19"/>
              </w:rPr>
              <w:t>permian_tx, permian_nm, permian_tx_gathering, permian_nm_gathering</w:t>
            </w:r>
          </w:p>
        </w:tc>
      </w:tr>
      <w:tr>
        <w:tc>
          <w:tcPr>
            <w:tcW w:type="dxa" w:w="2268"/>
          </w:tcPr>
          <w:p>
            <w:r>
              <w:rPr>
                <w:sz w:val="19"/>
              </w:rPr>
              <w:t>bakken_subsystem</w:t>
            </w:r>
          </w:p>
        </w:tc>
        <w:tc>
          <w:tcPr>
            <w:tcW w:type="dxa" w:w="2835"/>
          </w:tcPr>
          <w:p>
            <w:r>
              <w:rPr>
                <w:sz w:val="19"/>
              </w:rPr>
              <w:t>bakken (basin aggregate)</w:t>
            </w:r>
          </w:p>
        </w:tc>
        <w:tc>
          <w:tcPr>
            <w:tcW w:type="dxa" w:w="3402"/>
          </w:tcPr>
          <w:p>
            <w:r>
              <w:rPr>
                <w:sz w:val="19"/>
              </w:rPr>
              <w:t>bakken_nd, bakken_mt, bakken_nd_gathering</w:t>
            </w:r>
          </w:p>
        </w:tc>
      </w:tr>
      <w:tr>
        <w:tc>
          <w:tcPr>
            <w:tcW w:type="dxa" w:w="2268"/>
          </w:tcPr>
          <w:p>
            <w:r>
              <w:rPr>
                <w:sz w:val="19"/>
              </w:rPr>
              <w:t>eagle_ford_subsystem</w:t>
            </w:r>
          </w:p>
        </w:tc>
        <w:tc>
          <w:tcPr>
            <w:tcW w:type="dxa" w:w="2835"/>
          </w:tcPr>
          <w:p>
            <w:r>
              <w:rPr>
                <w:sz w:val="19"/>
              </w:rPr>
              <w:t>eagle_ford_tx (state, single-state basin)</w:t>
            </w:r>
          </w:p>
        </w:tc>
        <w:tc>
          <w:tcPr>
            <w:tcW w:type="dxa" w:w="3402"/>
          </w:tcPr>
          <w:p>
            <w:r>
              <w:rPr>
                <w:sz w:val="19"/>
              </w:rPr>
              <w:t>(none — eagle_ford aggregate is derived as sum over the single child)</w:t>
            </w:r>
          </w:p>
        </w:tc>
      </w:tr>
      <w:tr>
        <w:tc>
          <w:tcPr>
            <w:tcW w:type="dxa" w:w="2268"/>
          </w:tcPr>
          <w:p>
            <w:r>
              <w:rPr>
                <w:sz w:val="19"/>
              </w:rPr>
              <w:t>alaska</w:t>
            </w:r>
          </w:p>
        </w:tc>
        <w:tc>
          <w:tcPr>
            <w:tcW w:type="dxa" w:w="2835"/>
          </w:tcPr>
          <w:p>
            <w:r>
              <w:rPr>
                <w:sz w:val="19"/>
              </w:rPr>
              <w:t>alaska_north_slope</w:t>
            </w:r>
          </w:p>
        </w:tc>
        <w:tc>
          <w:tcPr>
            <w:tcW w:type="dxa" w:w="3402"/>
          </w:tcPr>
          <w:p>
            <w:r>
              <w:rPr>
                <w:sz w:val="19"/>
              </w:rPr>
              <w:t>ans_gathering</w:t>
            </w:r>
          </w:p>
        </w:tc>
      </w:tr>
      <w:tr>
        <w:tc>
          <w:tcPr>
            <w:tcW w:type="dxa" w:w="2268"/>
          </w:tcPr>
          <w:p>
            <w:r>
              <w:rPr>
                <w:sz w:val="19"/>
              </w:rPr>
              <w:t>gulf_of_america</w:t>
            </w:r>
          </w:p>
        </w:tc>
        <w:tc>
          <w:tcPr>
            <w:tcW w:type="dxa" w:w="2835"/>
          </w:tcPr>
          <w:p>
            <w:r>
              <w:rPr>
                <w:sz w:val="19"/>
              </w:rPr>
              <w:t>gulf_of_america</w:t>
            </w:r>
          </w:p>
        </w:tc>
        <w:tc>
          <w:tcPr>
            <w:tcW w:type="dxa" w:w="3402"/>
          </w:tcPr>
          <w:p>
            <w:r>
              <w:rPr>
                <w:sz w:val="19"/>
              </w:rPr>
              <w:t>(none)</w:t>
            </w:r>
          </w:p>
        </w:tc>
      </w:tr>
      <w:tr>
        <w:tc>
          <w:tcPr>
            <w:tcW w:type="dxa" w:w="2268"/>
          </w:tcPr>
          <w:p>
            <w:r>
              <w:rPr>
                <w:sz w:val="19"/>
              </w:rPr>
              <w:t>rest_of_l48</w:t>
            </w:r>
          </w:p>
        </w:tc>
        <w:tc>
          <w:tcPr>
            <w:tcW w:type="dxa" w:w="2835"/>
          </w:tcPr>
          <w:p>
            <w:r>
              <w:rPr>
                <w:sz w:val="19"/>
              </w:rPr>
              <w:t>rest_of_l48 (lower-48 conventional aggregate)</w:t>
            </w:r>
          </w:p>
        </w:tc>
        <w:tc>
          <w:tcPr>
            <w:tcW w:type="dxa" w:w="3402"/>
          </w:tcPr>
          <w:p>
            <w:r>
              <w:rPr>
                <w:sz w:val="19"/>
              </w:rPr>
              <w:t>california_conventional, oklahoma_conventional, wyoming_conventional, colorado_conventional</w:t>
            </w:r>
          </w:p>
        </w:tc>
      </w:tr>
      <w:tr>
        <w:tc>
          <w:tcPr>
            <w:tcW w:type="dxa" w:w="2268"/>
          </w:tcPr>
          <w:p>
            <w:r>
              <w:rPr>
                <w:sz w:val="19"/>
              </w:rPr>
              <w:t>spr_subsystem</w:t>
            </w:r>
          </w:p>
        </w:tc>
        <w:tc>
          <w:tcPr>
            <w:tcW w:type="dxa" w:w="2835"/>
          </w:tcPr>
          <w:p>
            <w:r>
              <w:rPr>
                <w:sz w:val="19"/>
              </w:rPr>
              <w:t>spr_sites (per-site)</w:t>
            </w:r>
          </w:p>
        </w:tc>
        <w:tc>
          <w:tcPr>
            <w:tcW w:type="dxa" w:w="3402"/>
          </w:tcPr>
          <w:p>
            <w:r>
              <w:rPr>
                <w:sz w:val="19"/>
              </w:rPr>
              <w:t>(none — site-level authoritative)</w:t>
            </w:r>
          </w:p>
        </w:tc>
      </w:tr>
      <w:tr>
        <w:tc>
          <w:tcPr>
            <w:tcW w:type="dxa" w:w="2268"/>
          </w:tcPr>
          <w:p>
            <w:r>
              <w:rPr>
                <w:sz w:val="19"/>
              </w:rPr>
              <w:t>cushing_hub</w:t>
            </w:r>
          </w:p>
        </w:tc>
        <w:tc>
          <w:tcPr>
            <w:tcW w:type="dxa" w:w="2835"/>
          </w:tcPr>
          <w:p>
            <w:r>
              <w:rPr>
                <w:sz w:val="19"/>
              </w:rPr>
              <w:t>cushing_hub</w:t>
            </w:r>
          </w:p>
        </w:tc>
        <w:tc>
          <w:tcPr>
            <w:tcW w:type="dxa" w:w="3402"/>
          </w:tcPr>
          <w:p>
            <w:r>
              <w:rPr>
                <w:sz w:val="19"/>
              </w:rPr>
              <w:t>cushing_enbridge, cushing_plains, cushing_enterprise</w:t>
            </w:r>
          </w:p>
        </w:tc>
      </w:tr>
      <w:tr>
        <w:tc>
          <w:tcPr>
            <w:tcW w:type="dxa" w:w="2268"/>
          </w:tcPr>
          <w:p>
            <w:r>
              <w:rPr>
                <w:sz w:val="19"/>
              </w:rPr>
              <w:t>houston_export</w:t>
            </w:r>
          </w:p>
        </w:tc>
        <w:tc>
          <w:tcPr>
            <w:tcW w:type="dxa" w:w="2835"/>
          </w:tcPr>
          <w:p>
            <w:r>
              <w:rPr>
                <w:sz w:val="19"/>
              </w:rPr>
              <w:t>houston_export</w:t>
            </w:r>
          </w:p>
        </w:tc>
        <w:tc>
          <w:tcPr>
            <w:tcW w:type="dxa" w:w="3402"/>
          </w:tcPr>
          <w:p>
            <w:r>
              <w:rPr>
                <w:sz w:val="19"/>
              </w:rPr>
              <w:t>3 sub-terminals (Houston-ECHO, Webster, Beaumont)</w:t>
            </w:r>
          </w:p>
        </w:tc>
      </w:tr>
      <w:tr>
        <w:tc>
          <w:tcPr>
            <w:tcW w:type="dxa" w:w="2268"/>
          </w:tcPr>
          <w:p>
            <w:r>
              <w:rPr>
                <w:sz w:val="19"/>
              </w:rPr>
              <w:t>padd_views</w:t>
            </w:r>
          </w:p>
        </w:tc>
        <w:tc>
          <w:tcPr>
            <w:tcW w:type="dxa" w:w="2835"/>
          </w:tcPr>
          <w:p>
            <w:r>
              <w:rPr>
                <w:sz w:val="19"/>
              </w:rPr>
              <w:t>padd_view per PADD (5 nodes)</w:t>
            </w:r>
          </w:p>
        </w:tc>
        <w:tc>
          <w:tcPr>
            <w:tcW w:type="dxa" w:w="3402"/>
          </w:tcPr>
          <w:p>
            <w:r>
              <w:rPr>
                <w:sz w:val="19"/>
              </w:rPr>
              <w:t>(derived sums over physical children — no collapse)</w:t>
            </w:r>
          </w:p>
        </w:tc>
      </w:tr>
      <w:tr>
        <w:tc>
          <w:tcPr>
            <w:tcW w:type="dxa" w:w="2268"/>
          </w:tcPr>
          <w:p>
            <w:r>
              <w:rPr>
                <w:sz w:val="19"/>
              </w:rPr>
              <w:t>refining_centre_views</w:t>
            </w:r>
          </w:p>
        </w:tc>
        <w:tc>
          <w:tcPr>
            <w:tcW w:type="dxa" w:w="2835"/>
          </w:tcPr>
          <w:p>
            <w:r>
              <w:rPr>
                <w:sz w:val="19"/>
              </w:rPr>
              <w:t>refining_centre_view per PADD (5)</w:t>
            </w:r>
          </w:p>
        </w:tc>
        <w:tc>
          <w:tcPr>
            <w:tcW w:type="dxa" w:w="3402"/>
          </w:tcPr>
          <w:p>
            <w:r>
              <w:rPr>
                <w:sz w:val="19"/>
              </w:rPr>
              <w:t>(derived sums over refineries — no collapse)</w:t>
            </w:r>
          </w:p>
        </w:tc>
      </w:tr>
    </w:tbl>
    <w:p>
      <w:r>
        <w:t>The notes attached to the contract record three project-specific decisions. SPR is authoritative at the site level, not the aggregate level, so spr_total is derived. The 19 named pipelines (later expanded to 24 with the Canadian layer) are authoritative at the named-pipeline level; intermediate injection points are modelled as collapsed future children. Refinery layer authority follows the same pattern: refineries are authoritative at the site level, the PADD-level refining_centre_view nodes are derived sums.</w:t>
      </w:r>
    </w:p>
    <w:p>
      <w:pPr>
        <w:pStyle w:val="Heading2"/>
      </w:pPr>
      <w:r>
        <w:t>A.2.9 Routing Examples</w:t>
      </w:r>
    </w:p>
    <w:p>
      <w:r>
        <w:t>Three short routing walk-throughs illustrate how a basin's output reaches a refinery through the modelled topology.</w:t>
      </w:r>
    </w:p>
    <w:p>
      <w:r>
        <w:t>Permian to the Gulf Coast. Under the starter scope, permian (basin aggregate) is authoritative and carries the production variable bound to STEO COPRPM. The downstream physical chain is collapsed: permian_tx and permian_nm have zero-bound production, their gathering nodes have zero outflows, and the origin terminals at Crane, Midland and Wink carry no observed flows. The pipeline outflows from those origin terminals (Gray Oak, Cactus II, BridgeTex, Longhorn, Wink-to-Webster, EPIC and Midland-to-ECHO) feed the Houston ECHO, Webster, Corpus Christi and Beaumont terminals, from which the Gulf Coast refineries draw. Volumes along this chain are unobserved under the starter scope; this is the latent-allocation tension named in Chapter 3, principle 2.11.</w:t>
      </w:r>
    </w:p>
    <w:p>
      <w:r>
        <w:t>Bakken to PADD 2. Bakken (basin aggregate) is authoritative. Production routes through bakken_nd_gathering to two trunks: DAPL (Energy Transfer) east to Patoka and Nederland, and the Enbridge Mainline through Clearbrook to Patoka and Cushing. The Bakken-MT side feeds either DAPL or short-haul into Wyoming origin terminals.</w:t>
      </w:r>
    </w:p>
    <w:p>
      <w:r>
        <w:t>Alaska to the West Coast. Alaska North Slope is authoritative. TAPS carries production from Prudhoe Bay to Valdez, which then loads tanker shipments to Anacortes and the Bay Area. Anacortes and the Bay Area refineries draw from the West Coast tanker port subsystem; the tanker leg is modelled as a single outflow on Valdez to keep the topology readable.</w:t>
      </w:r>
    </w:p>
    <w:p>
      <w:pPr>
        <w:pStyle w:val="Heading1"/>
      </w:pPr>
      <w:r>
        <w:t>A.3 The Four Schema Layers</w:t>
      </w:r>
    </w:p>
    <w:p>
      <w:r>
        <w:t>The schema is partitioned into four layers, each answering a different question. Layer 1 (Reality) records what physically exists. Layer 2 (Topology) defines the graph itself: nodes, variables and the relational variables that double as edges. Layer 3 (Catalog) holds the time-series catalogue and the values themselves. Layer 4 (Per-Scenario Binding) binds variables to time series, formulas or zero, scoped by a chosen scenario. Figure A.1 shows the full map.</w:t>
      </w:r>
    </w:p>
    <w:p>
      <w:r>
        <w:t>[Insert: C:\Users\PedroPorfirio\OneDrive - Jabuticaba\Oil Network Project\Thesis\Code\asset_graph\schema_map.svg]</w:t>
      </w:r>
    </w:p>
    <w:p>
      <w:pPr>
        <w:jc w:val="center"/>
      </w:pPr>
      <w:r>
        <w:rPr>
          <w:i/>
          <w:sz w:val="20"/>
        </w:rPr>
        <w:t>Figure A.1 — oil_network schema map across the four layers. Source: Code\asset_graph\schema_map.svg.</w:t>
      </w:r>
    </w:p>
    <w:p>
      <w:pPr>
        <w:pStyle w:val="Heading2"/>
      </w:pPr>
      <w:r>
        <w:t>A.3.1 Layer 1 — Reality</w:t>
      </w:r>
    </w:p>
    <w:p>
      <w:r>
        <w:t>Layer 1 has two tables. The locations table records geography: latitude, longitude, region labels and a JSONB field for endpoint references used by line objects such as pipelines. The assets table records identity. Each row carries a stable string asset_id, a foreign key to locations, a kind of physical or abstract (where abstract denotes regional aggregates like basin views and PADD-level views) and a JSONB attributes column carrying class-specific configuration. Assets do not change with the scenario; they are the persistent facts about what exists.</w:t>
      </w:r>
    </w:p>
    <w:p>
      <w:r>
        <w:t>The seeded starter graph has 214 nodes, of which 189 are physical and 25 are abstract. The abstract count includes 4 basin aggregates (permian, bakken, eagle_ford, rest_of_l48), 5 PADD views, 5 refining_centre_view nodes, 10 refining_district_view nodes and a small set of further observational aggregates (a Canadian inflow view, two state views, a USA subtotal view). Typed metadata for production assets lives in the sister schema oil_network_metadata, with a strict JSONB-to-typed migration direction (Section A.6).</w:t>
      </w:r>
    </w:p>
    <w:p>
      <w:pPr>
        <w:pStyle w:val="Heading2"/>
      </w:pPr>
      <w:r>
        <w:t>A.3.2 Layer 2 — Topology</w:t>
      </w:r>
    </w:p>
    <w:p>
      <w:r>
        <w:t>Layer 2 defines the graph. The graphs table is a thin container; the starter graph row has graph_id 'us_crude_starter'. The nodes table is the join of an asset with a graph. Each row carries the asset_id, the graph_id and a node_type from a small enumerated table (basin_aggregate, refinery, pipeline, terminal, hub, gathering, and a few others). A same-graph trigger ensures that any relationship referencing two nodes references nodes from the same graph.</w:t>
      </w:r>
    </w:p>
    <w:p>
      <w:r>
        <w:t>The variables table is the working primitive of the schema. Each row is a quantity defined on a node, with a node_id, a variable_type (production, consumption, inventory, balancing_item, outflow, inflow), a commodity (crude only at present) and, for relational variables, a related_node_id pointing to the destination of the flow. Relational variables play a double role: they are variables and they are edges. Following principle 2.4, this is the only place in the schema where topology is recorded. There is no separate edges table.</w:t>
      </w:r>
    </w:p>
    <w:p>
      <w:r>
        <w:t>The starter graph carries 1,646 variables, of which 856 are non-relational and 790 are relational. The relational variables project to 395 directed flow edges. Two partial unique indexes enforce principle 2.8: at most one variable per (variable_type, commodity, node_id, ref_node_id) tuple.</w:t>
      </w:r>
    </w:p>
    <w:p>
      <w:pPr>
        <w:pStyle w:val="Heading2"/>
      </w:pPr>
      <w:r>
        <w:t>A.3.3 Layer 3 — Catalog</w:t>
      </w:r>
    </w:p>
    <w:p>
      <w:r>
        <w:t>Layer 3 holds the time-series catalogue. The timeseries_types table is a small enumeration that mirrors variable_types. The timeseries table is one row per externally published series, tagged with a source label. The current source label is 'eia'; loaders for the Canada Energy Regulator and the Alberta Energy Regulator are listed as future sources in Section A.6. The timeseries_data table holds the values themselves: triples of (timeseries_id, period_start, value), monthly under the starter scope, with the original-frequency catalogue preserved in the sister schema oil_network_data_loader.</w:t>
      </w:r>
    </w:p>
    <w:p>
      <w:pPr>
        <w:pStyle w:val="Heading2"/>
      </w:pPr>
      <w:r>
        <w:t>A.3.4 Layer 4 — Per-Scenario Binding</w:t>
      </w:r>
    </w:p>
    <w:p>
      <w:r>
        <w:t>Layer 4 binds variables to data. The scenarios table is a thin container, with one row per scenario carrying graph_id, time-range start and end, and frequency. The starter scenario has scenario_id 'starter_us_crude_2015_2025', covers 2015 to 2025 monthly, and is the only scenario seeded today. A second scenario at PADD-only resolution is admissible without any change to the asset graph or the variable catalogue.</w:t>
      </w:r>
    </w:p>
    <w:p>
      <w:r>
        <w:t>The variable_assignments table is the second working table of the schema. Its primary key is (scenario_id, variable_id, effective_from). Each row carries an assignment_kind in {timeseries, formula, zero} and either a timeseries_id when TS-bound, a formula sentinel and a formula_inputs[] array when formula-bound, or nothing when zero-bound. A CHECK constraint enforces the exclusivity. The formula_inputs array is the explicit dependency list, used by the evaluator for cycle detection and topological ordering.</w:t>
      </w:r>
    </w:p>
    <w:p>
      <w:r>
        <w:t>The node_type_default_formulas table holds the fallback assignments that fill in when no explicit row exists. The four node_scope_* tables (node_scopes plus three satellites) currently encode the per-scenario authoritative-level decision. They are slated for a refactor that collapses three of them into derived views over variable_assignments and keeps only a notes table. Section A.7 documents the refactor; the underlying model is unchanged.</w:t>
      </w:r>
    </w:p>
    <w:p>
      <w:r>
        <w:t>[Insert: C:\Users\PedroPorfirio\OneDrive - Jabuticaba\Oil Network Project\Thesis\Code\asset_graph\concept_chain.svg]</w:t>
      </w:r>
    </w:p>
    <w:p>
      <w:pPr>
        <w:jc w:val="center"/>
      </w:pPr>
      <w:r>
        <w:rPr>
          <w:i/>
          <w:sz w:val="20"/>
        </w:rPr>
        <w:t>Figure A.2 — Asset → Node → Variable → Assignment chain, with a worked Permian-production example. Source: Code\asset_graph\concept_chain.svg.</w:t>
      </w:r>
    </w:p>
    <w:p>
      <w:pPr>
        <w:pStyle w:val="Heading2"/>
      </w:pPr>
      <w:r>
        <w:t>A.3.5 Derived View: resolution_hierarchy</w:t>
      </w:r>
    </w:p>
    <w:p>
      <w:r>
        <w:t>The parent–child resolution hierarchy is not stored as a primary table. It is exposed as a VIEW that joins variable_assignments to variables. Where the formula is sum_over_children, the row's formula_inputs array names the child variables of an aggregate parent variable, and the view returns the resulting parent → child node pairs. By principle 2.4, this means the hierarchy falls out of the variable layer rather than being asserted on its own. Aggregations not in use under the active scope simply do not appear in the view; switching scopes re-derives it.</w:t>
      </w:r>
    </w:p>
    <w:p>
      <w:r>
        <w:rPr>
          <w:rFonts w:ascii="Consolas" w:hAnsi="Consolas"/>
          <w:sz w:val="19"/>
        </w:rPr>
        <w:t>CREATE VIEW resolution_hierarchy AS</w:t>
        <w:br/>
        <w:t>SELECT DISTINCT</w:t>
        <w:br/>
        <w:t xml:space="preserve">    va.scenario_id,</w:t>
        <w:br/>
        <w:t xml:space="preserve">    v_parent.node_id AS parent_id,</w:t>
        <w:br/>
        <w:t xml:space="preserve">    v_child.node_id  AS child_id</w:t>
        <w:br/>
        <w:t>FROM variable_assignments va</w:t>
        <w:br/>
        <w:t>JOIN variables v_parent ON v_parent.variable_id = va.variable_id</w:t>
        <w:br/>
        <w:t>CROSS JOIN LATERAL unnest(va.formula_inputs) AS f(input_vid)</w:t>
        <w:br/>
        <w:t>JOIN variables v_child  ON v_child.variable_id = f.input_vid</w:t>
        <w:br/>
        <w:t>WHERE va.formula = 'sum_over_children'</w:t>
        <w:br/>
        <w:t xml:space="preserve">  AND v_parent.node_id &lt;&gt; v_child.node_id;</w:t>
      </w:r>
    </w:p>
    <w:p>
      <w:pPr>
        <w:pStyle w:val="Heading1"/>
      </w:pPr>
      <w:r>
        <w:t>A.4 Schema-Level Invariants</w:t>
      </w:r>
    </w:p>
    <w:p>
      <w:r>
        <w:t>The design principles named in Chapter 3 are enforced at the schema layer rather than left to the application layer. The subsections below map each principle to the constraint that defends it.</w:t>
      </w:r>
    </w:p>
    <w:p>
      <w:pPr>
        <w:pStyle w:val="Heading2"/>
      </w:pPr>
      <w:r>
        <w:t>A.4.1 Edges Derive From Variables (principle 2.4)</w:t>
      </w:r>
    </w:p>
    <w:p>
      <w:r>
        <w:t>There is no edges table. The adjacency is a projection: SELECT node_id, related_node_id FROM variables WHERE variable_type = 'outflow' AND commodity = 'crude'. The starter graph projects to 395 directed edges. The projection is exposed as a VIEW so downstream queries can read it as if it were a table.</w:t>
      </w:r>
    </w:p>
    <w:p>
      <w:pPr>
        <w:pStyle w:val="Heading2"/>
      </w:pPr>
      <w:r>
        <w:t>A.4.2 Aggregates Carry No Outflows (principle 2.6)</w:t>
      </w:r>
    </w:p>
    <w:p>
      <w:r>
        <w:t>Abstract nodes (basins, PADD views) have no rows in the variables table with variable_type 'outflow'. This is a soft invariant rather than a CHECK; it is enforced by the seed loader and validated by the source/sink audit (Section A.5). The audit fails if any abstract node has an outflow variable, since that would mean an aggregate is participating in the flow network rather than acting as a view.</w:t>
      </w:r>
    </w:p>
    <w:p>
      <w:pPr>
        <w:pStyle w:val="Heading2"/>
      </w:pPr>
      <w:r>
        <w:t>A.4.3 At Most One Variable Per Slot (principle 2.8)</w:t>
      </w:r>
    </w:p>
    <w:p>
      <w:r>
        <w:t>Two partial unique indexes on the variables table enforce that no two variables share the (variable_type, commodity, node_id, ref_node_id) tuple. Non-relational variables (where ref_node_id IS NULL) and relational variables (where ref_node_id IS NOT NULL) are handled by separate partial indexes so the NULL semantics stay clean.</w:t>
      </w:r>
    </w:p>
    <w:p>
      <w:pPr>
        <w:pStyle w:val="Heading2"/>
      </w:pPr>
      <w:r>
        <w:t>A.4.4 Assignment Exclusivity (principle 2.7)</w:t>
      </w:r>
    </w:p>
    <w:p>
      <w:r>
        <w:t>The variable_assignments table has a CHECK constraint enforcing that exactly one of timeseries_id and formula is populated, depending on assignment_kind. A row with kind 'timeseries' has a timeseries_id and no formula. A row with kind 'formula' has a formula and no timeseries_id. A row with kind 'zero' has neither.</w:t>
      </w:r>
    </w:p>
    <w:p>
      <w:pPr>
        <w:pStyle w:val="Heading2"/>
      </w:pPr>
      <w:r>
        <w:t>A.4.5 Bidirectional Pipelines as Paired Slots (principle 2.12)</w:t>
      </w:r>
    </w:p>
    <w:p>
      <w:r>
        <w:t>A bidirectional pipeline is represented as two outflow rows on the pipeline node, one per downstream destination. A single signed-flow row is not allowed. The schema does not enforce this at the CHECK level. It is enforced by convention in the loader and validated by the routing audit, which reports any pipeline node whose outflow count is below the connectivity its declared endpoints admit.</w:t>
      </w:r>
    </w:p>
    <w:p>
      <w:pPr>
        <w:pStyle w:val="Heading2"/>
      </w:pPr>
      <w:r>
        <w:t>A.4.6 Same-Graph Triggers</w:t>
      </w:r>
    </w:p>
    <w:p>
      <w:r>
        <w:t>Two trigger functions enforce that all (node_id, related_node_id) pairs reference nodes from the same graph_id, and that variables reference nodes from the graph their parent table is conventionally associated with. The triggers prevent accidental cross-graph wiring.</w:t>
      </w:r>
    </w:p>
    <w:p>
      <w:pPr>
        <w:pStyle w:val="Heading1"/>
      </w:pPr>
      <w:r>
        <w:t>A.5 Audit Suite</w:t>
      </w:r>
    </w:p>
    <w:p>
      <w:r>
        <w:t>Schema-level invariants are necessary but not sufficient. The loader produces a graph that is structurally valid by construction, but consistency with the wider design (coverage of real assets, balanced source-and-sink reachability, mass-balance sanity) needs separate checks. Five Python audit scripts run against the loaded database and write textual reports.</w:t>
      </w:r>
    </w:p>
    <w:p>
      <w:r>
        <w:t>coverage_check.py confirms that the modelled assets cover the project-canonical 2023/24 production averages. Total modelled US production capacity is 11,690 kbd; the audit fails if any basin or state-level aggregate departs from the canonical figure. Canadian inflow of about 3,700 kbd (out of total WCSB ~4,900 kbd) is checked against the four cross-border pipelines plus a residual.</w:t>
      </w:r>
    </w:p>
    <w:p>
      <w:r>
        <w:t>mass_balance_check.py confirms, for every physical node, that production minus consumption minus net outflow minus inventory delta equals the balancing item under the starter scope. Since the starter scope leaves most variables unbound, the audit reports zero residuals where bindings are not yet in place. That is the expected state today; the audit's role is to fail loudly once bindings are added and the residuals exceed a configured threshold.</w:t>
      </w:r>
    </w:p>
    <w:p>
      <w:r>
        <w:t>node_audit.py confirms that every node has the expected complement of variables for its node_type, drawing on the node_type → variable_type mapping defined alongside the seed loader. A refinery, for example, has to carry production, consumption (the inflow of crude), inventory, balancing_item and one outflow per pipeline it feeds. A missing variable on any node, such as an inventory variable on a basin aggregate that should have one, fails the audit.</w:t>
      </w:r>
    </w:p>
    <w:p>
      <w:r>
        <w:t>source_sink_audit.py confirms that every source node (production class) reaches at least one sink node (refinery), and that every sink node is reachable from at least one source. The audit produces a reachability matrix and flags orphan nodes. The matrix is also useful for documentation, since it makes the routing structure of the graph inspectable at a glance.</w:t>
      </w:r>
    </w:p>
    <w:p>
      <w:r>
        <w:t>verify_routing_fixes.py is a regression audit. It confirms that the routing fixes applied during the build (Permian sub-routing, Cushing hub fan-out, Houston export terminal feed-in, Canadian cross-border pipeline allocations) are still in place after any subsequent edit. It reads from a checked-in expected-routing file and reports any deviations.</w:t>
      </w:r>
    </w:p>
    <w:p>
      <w:pPr>
        <w:pStyle w:val="Heading1"/>
      </w:pPr>
      <w:r>
        <w:t>A.6 Notebook Pipeline</w:t>
      </w:r>
    </w:p>
    <w:p>
      <w:r>
        <w:t>The database is built end-to-end from a clean machine by running one orchestrator notebook, initialize_oil_network.ipynb. The orchestrator runs four sub-orchestrators in dependency order. Cold-run time is about five to ten minutes, dominated by the EIA fetch in stage 3.</w:t>
      </w:r>
    </w:p>
    <w:p>
      <w:pPr>
        <w:pStyle w:val="Heading2"/>
      </w:pPr>
      <w:r>
        <w:t>A.6.1 Stage 1 — Asset Graph</w:t>
      </w:r>
    </w:p>
    <w:p>
      <w:r>
        <w:t>initialize_oil_logistics_network.ipynb drops and rebuilds the oil_network schema (14 core tables plus 4 node-scope tables, with the schema-collapse refactor pending; see Section A.7) and then UPSERTs asset_graph.json into the schema. Verification queries report row counts per table. The stage also renders two interactive Plotly maps as standalone HTML files: crude_logistics_map.html (nodes) and crude_logistics_edges.html (edges with hover-able bindings).</w:t>
      </w:r>
    </w:p>
    <w:p>
      <w:pPr>
        <w:pStyle w:val="Heading2"/>
      </w:pPr>
      <w:r>
        <w:t>A.6.2 Stage 2 — Typed Metadata</w:t>
      </w:r>
    </w:p>
    <w:p>
      <w:r>
        <w:t>initialize_oil_network_metadata.ipynb builds the sister schema oil_network_metadata. The convention for this schema is strict: typed columns only, no JSONB. The current state has one table, metadata_production_assets, with curated grade, capacity, Nelson index, operator and vintage notes for the 12 physical production assets plus the Canadian aggregate. The migration direction from the parent schema's JSONB is monotonic: JSON to typed, and never the other way.</w:t>
      </w:r>
    </w:p>
    <w:p>
      <w:pPr>
        <w:pStyle w:val="Heading2"/>
      </w:pPr>
      <w:r>
        <w:t>A.6.3 Stage 3 — Source-Data Loaders</w:t>
      </w:r>
    </w:p>
    <w:p>
      <w:r>
        <w:t>initialize_oil_network_data_loader.ipynb is a thin orchestrator over per-source loader notebooks that write to the sister schema oil_network_data_loader. The current state runs load_eia.ipynb, which pulls 27 datasets across petroleum/* and steo from the EIA Open Data API v2 (about five to ten minutes wall time). Future loaders (load_cer.ipynb for Canada Energy Regulator pipeline flows, load_aer.ipynb for Alberta production by play) drop in next to the existing one and append to the LOADERS list.</w:t>
      </w:r>
    </w:p>
    <w:p>
      <w:pPr>
        <w:pStyle w:val="Heading2"/>
      </w:pPr>
      <w:r>
        <w:t>A.6.4 Stage 4 — Variable Assignments</w:t>
      </w:r>
    </w:p>
    <w:p>
      <w:r>
        <w:t>initialize_oil_network_assignments.ipynb is a thin orchestrator over per-source assigner notebooks. Order matters here. TS-bound notebooks run first, formula-bound notebooks run last, since formulas may reference TS-bound variable IDs. The current state runs assign_eia.ipynb (which writes timeseries rows with source 'eia', the timeseries_data behind them, and the corresponding TS-bound rows in variable_assignments) and then assign_formulas.ipynb (which writes the formula-bound and zero-bound rows: derived aggregates, inert collapsed nodes, latent placeholders).</w:t>
      </w:r>
    </w:p>
    <w:p>
      <w:pPr>
        <w:pStyle w:val="Heading1"/>
      </w:pPr>
      <w:r>
        <w:t>A.7 Pending Schema Refactor</w:t>
      </w:r>
    </w:p>
    <w:p>
      <w:r>
        <w:t>The four node_scope_* tables (node_scopes, node_scope_authorisations, node_scope_collapsed_nodes, node_scope_notes) carry facts that are already implicit in variable_assignments. Authoritative nodes are the ones whose production-side variable is TS-bound. Collapsed nodes are the ones whose variables are zero-bound and that have a TS-bound ancestor in resolution_hierarchy. The subsystem identifier is a label for the subtree rooted at each TS-bound aggregate.</w:t>
      </w:r>
    </w:p>
    <w:p>
      <w:r>
        <w:t>The pending refactor collapses three of the four tables into derived views (mirroring the resolution_hierarchy treatment) and keeps only node_scope_notes (renamed scenario_notes) as a primary table, since narrative commentary does not derive from variables. The net effect is to take the four tables down to one table and two views, with the same expressive power and fewer integrity hazards.</w:t>
      </w:r>
    </w:p>
    <w:p>
      <w:r>
        <w:t>The refactor is documented on a worktree branch in the project repo and is staged for the next development cycle. It is named here for completeness, because the main thesis text (Section 3.6.5 and Chapter 5) is consistent with either form. The schema's principles are unchanged; only the table layout becomes tighter.</w:t>
      </w:r>
    </w:p>
    <w:p>
      <w:pPr>
        <w:pStyle w:val="Heading1"/>
      </w:pPr>
      <w:r>
        <w:t>A.8 Artefacts Produced by the Build</w:t>
      </w:r>
    </w:p>
    <w:p>
      <w:r>
        <w:t>A clean run of the four-stage pipeline produces, in addition to the loaded Postgres schema, the following inspectable artefacts.</w:t>
      </w:r>
    </w:p>
    <w:p>
      <w:r>
        <w:t>crude_logistics_map.html. An interactive Plotly map of the starter graph on a North America projection. Hover tooltips carry refinery capacity, Nelson index and operator where available. Legend toggles per node_type.</w:t>
      </w:r>
    </w:p>
    <w:p>
      <w:r>
        <w:t>crude_logistics_edges.html. A second interactive map, with hover-able flow edges. Each edge is annotated with the relational variables that define it and their bindings under the starter scope.</w:t>
      </w:r>
    </w:p>
    <w:p>
      <w:r>
        <w:t>schema_map.svg, concept_chain.svg. The schema diagrams reproduced as Figures A.1 and A.2 of this annex.</w:t>
      </w:r>
    </w:p>
    <w:p>
      <w:r>
        <w:t>Audit reports. Coverage, mass-balance, node, source/sink and routing-regression reports, written to console under the audit scripts and persisted alongside the codebase.</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35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3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