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AE724" w14:textId="77777777" w:rsidR="00223D82" w:rsidRDefault="00B95D7D">
      <w:pPr>
        <w:spacing w:after="120"/>
        <w:jc w:val="center"/>
      </w:pPr>
      <w:r>
        <w:rPr>
          <w:b/>
          <w:bCs/>
          <w:color w:val="2C2C2A"/>
          <w:sz w:val="36"/>
          <w:szCs w:val="36"/>
        </w:rPr>
        <w:t>Annex B</w:t>
      </w:r>
    </w:p>
    <w:p w14:paraId="38F238AE" w14:textId="77777777" w:rsidR="00223D82" w:rsidRDefault="00B95D7D">
      <w:pPr>
        <w:spacing w:after="80"/>
        <w:jc w:val="center"/>
      </w:pPr>
      <w:r>
        <w:rPr>
          <w:b/>
          <w:bCs/>
          <w:color w:val="3C3489"/>
          <w:sz w:val="28"/>
          <w:szCs w:val="28"/>
        </w:rPr>
        <w:t>Location-Centric vs Asset-Centric Graph Representations</w:t>
      </w:r>
    </w:p>
    <w:p w14:paraId="3F753491" w14:textId="77777777" w:rsidR="00223D82" w:rsidRDefault="00B95D7D">
      <w:pPr>
        <w:spacing w:after="80"/>
        <w:jc w:val="center"/>
      </w:pPr>
      <w:r>
        <w:rPr>
          <w:i/>
          <w:iCs/>
          <w:color w:val="5F5E5A"/>
        </w:rPr>
        <w:t>With the Cushing Terminal as a Worked Example and the Balancing Item in the Mass Balance Equation</w:t>
      </w:r>
    </w:p>
    <w:p w14:paraId="0E6E71D9" w14:textId="77777777" w:rsidR="00223D82" w:rsidRDefault="00B95D7D">
      <w:pPr>
        <w:spacing w:after="400"/>
        <w:jc w:val="center"/>
      </w:pPr>
      <w:r>
        <w:rPr>
          <w:i/>
          <w:iCs/>
          <w:color w:val="888780"/>
          <w:sz w:val="20"/>
          <w:szCs w:val="20"/>
        </w:rPr>
        <w:t>Supporting material for Section 2.1 of the thesis</w:t>
      </w:r>
    </w:p>
    <w:p w14:paraId="6D90B1DC" w14:textId="77777777" w:rsidR="00223D82" w:rsidRDefault="00B95D7D">
      <w:pPr>
        <w:pStyle w:val="Heading1"/>
        <w:spacing w:before="400" w:after="200"/>
      </w:pPr>
      <w:r>
        <w:rPr>
          <w:b/>
          <w:bCs/>
          <w:color w:val="2C2C2A"/>
        </w:rPr>
        <w:t xml:space="preserve">Summary</w:t>
      </w:r>
    </w:p>
    <w:p w14:paraId="1ABE5D69" w14:textId="77777777" w:rsidR="00223D82" w:rsidRDefault="00B95D7D">
      <w:pPr>
        <w:spacing w:after="160"/>
      </w:pPr>
      <w:r>
        <w:t xml:space="preserve">This annex develops the graph-representation framework used throughout the thesis, with the Cushing, Oklahoma crude-oil hub as a running example. It establishes two foundations and a set of extensions that make the framework usable at production scale.</w:t>
      </w:r>
    </w:p>
    <w:p w14:paraId="0E6D4B4A" w14:textId="77777777" w:rsidR="00223D82" w:rsidRDefault="00B95D7D">
      <w:pPr>
        <w:spacing w:after="160"/>
      </w:pPr>
      <w:r>
        <w:t xml:space="preserve">The foundations, covered in Sections B.1 through B.6, are the </w:t>
      </w:r>
      <w:r>
        <w:rPr>
          <w:b/>
          <w:bCs/>
        </w:rPr>
        <w:t xml:space="preserve">asset-centric convention</w:t>
      </w:r>
      <w:r>
        <w:t xml:space="preserve"> — every physical asset, including pipelines and vessels, is a node with its own inventory — and the </w:t>
      </w:r>
      <w:r>
        <w:rPr>
          <w:b/>
          <w:bCs/>
        </w:rPr>
        <w:t xml:space="preserve">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6BB4EDB6" w14:textId="77777777" w:rsidR="00223D82" w:rsidRDefault="00B95D7D">
      <w:pPr>
        <w:spacing w:after="160"/>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 xml:space="preserve">persistent asset graph</w:t>
      </w:r>
      <w:r>
        <w:t xml:space="preserve"> from the </w:t>
      </w:r>
      <w:r>
        <w:rPr>
          <w:b/>
          <w:bCs/>
        </w:rPr>
        <w:t xml:space="preserve">scenario graph</w:t>
      </w:r>
      <w:r>
        <w:t xml:space="preserve"> derived at load time; distinguishes </w:t>
      </w:r>
      <w:r>
        <w:rPr>
          <w:b/>
          <w:bCs/>
        </w:rPr>
        <w:t xml:space="preserve">geography metadata</w:t>
      </w:r>
      <w:r>
        <w:t xml:space="preserve">, which labels physical nodes, from the </w:t>
      </w:r>
      <w:r>
        <w:rPr>
          <w:b/>
          <w:bCs/>
        </w:rPr>
        <w:t xml:space="preserve">resolution hierarchy</w:t>
      </w:r>
      <w:r>
        <w:t xml:space="preserve">, which relates nodes representing the same physical system at different granularities; and enforces an </w:t>
      </w:r>
      <w:r>
        <w:rPr>
          <w:b/>
          <w:bCs/>
        </w:rPr>
        <w:t xml:space="preserve">observed/derived invariant</w:t>
      </w:r>
      <w:r>
        <w:t xml:space="preserve"> that makes aggregation double-counting structurally impossible rather than merely detectable. The invariant is supported by </w:t>
      </w:r>
      <w:r>
        <w:rPr>
          <w:b/>
          <w:bCs/>
        </w:rPr>
        <w:t xml:space="preserve">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 xml:space="preserve">collapsed</w:t>
      </w:r>
      <w:r>
        <w:t xml:space="preserve"> by the scenario loader, and the latent allocation of flows across such nodes becomes a concrete use case for attention-based temporal graph models.</w:t>
      </w:r>
    </w:p>
    <w:p w14:paraId="54BAB66B" w14:textId="77777777" w:rsidR="00223D82" w:rsidRDefault="00B95D7D">
      <w:pPr>
        <w:spacing w:after="160"/>
      </w:pPr>
      <w:r>
        <w:t xml:space="preserve">The annex closes (B.13) by positioning these extensions as the methodological contributions that make the asset-centric framework usable when data heterogeneity is the central engineering problem rather than an incidental one.</w:t>
      </w:r>
    </w:p>
    <w:p w14:paraId="2D5DE769" w14:textId="77777777" w:rsidR="00223D82" w:rsidRDefault="00223D82">
      <w:pPr>
        <w:spacing w:after="120"/>
      </w:pPr>
    </w:p>
    <w:p w14:paraId="3E125D23" w14:textId="77777777" w:rsidR="00223D82" w:rsidRDefault="00B95D7D">
      <w:pPr>
        <w:pStyle w:val="Heading1"/>
        <w:spacing w:before="400" w:after="200"/>
      </w:pPr>
      <w:r>
        <w:rPr>
          <w:b/>
          <w:bCs/>
          <w:color w:val="2C2C2A"/>
        </w:rPr>
        <w:t>B.1 Overview</w:t>
      </w:r>
    </w:p>
    <w:p w14:paraId="618BD03E" w14:textId="77777777" w:rsidR="00223D82" w:rsidRDefault="00B95D7D">
      <w:pPr>
        <w:spacing w:after="160"/>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4BC0D422" w14:textId="77777777" w:rsidR="00223D82" w:rsidRDefault="00B95D7D">
      <w:pPr>
        <w:spacing w:after="160"/>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F96EEA0" w14:textId="77777777" w:rsidR="00223D82" w:rsidRDefault="00B95D7D">
      <w:pPr>
        <w:spacing w:after="160"/>
      </w:pPr>
      <w:r>
        <w:t>The annex is structured as follows:</w:t>
      </w:r>
    </w:p>
    <w:p w14:paraId="33248916" w14:textId="77777777" w:rsidR="00223D82" w:rsidRDefault="00B95D7D">
      <w:pPr>
        <w:pStyle w:val="ListParagraph"/>
        <w:numPr>
          <w:ilvl w:val="0"/>
          <w:numId w:val="2"/>
        </w:numPr>
        <w:spacing w:before="40" w:after="100"/>
      </w:pPr>
      <w:r>
        <w:t xml:space="preserve">B.2 — Location-centric representation: pipelines as edges.</w:t>
      </w:r>
    </w:p>
    <w:p w14:paraId="7A988AF3" w14:textId="77777777" w:rsidR="00223D82" w:rsidRDefault="00B95D7D">
      <w:pPr>
        <w:pStyle w:val="ListParagraph"/>
        <w:numPr>
          <w:ilvl w:val="0"/>
          <w:numId w:val="2"/>
        </w:numPr>
        <w:spacing w:before="40" w:after="100"/>
      </w:pPr>
      <w:r>
        <w:t xml:space="preserve">B.3 — Asset-centric representation: pipelines as nodes with line-fill inventory.</w:t>
      </w:r>
    </w:p>
    <w:p w14:paraId="686AA6CA" w14:textId="77777777" w:rsidR="00223D82" w:rsidRDefault="00B95D7D">
      <w:pPr>
        <w:pStyle w:val="ListParagraph"/>
        <w:numPr>
          <w:ilvl w:val="0"/>
          <w:numId w:val="2"/>
        </w:numPr>
        <w:spacing w:before="40" w:after="100"/>
      </w:pPr>
      <w:r>
        <w:t xml:space="preserve">B.4 — Comparison: when each convention is appropriate.</w:t>
      </w:r>
    </w:p>
    <w:p w14:paraId="7AD64DEE" w14:textId="77777777" w:rsidR="00223D82" w:rsidRDefault="00B95D7D">
      <w:pPr>
        <w:pStyle w:val="ListParagraph"/>
        <w:numPr>
          <w:ilvl w:val="0"/>
          <w:numId w:val="2"/>
        </w:numPr>
        <w:spacing w:before="40" w:after="100"/>
      </w:pPr>
      <w:r>
        <w:t xml:space="preserve">B.5 — The mass balance equation and the balancing item.</w:t>
      </w:r>
    </w:p>
    <w:p w14:paraId="5A957851" w14:textId="77777777" w:rsidR="00223D82" w:rsidRDefault="00B95D7D">
      <w:pPr>
        <w:pStyle w:val="ListParagraph"/>
        <w:numPr>
          <w:ilvl w:val="0"/>
          <w:numId w:val="2"/>
        </w:numPr>
        <w:spacing w:before="40" w:after="100"/>
      </w:pPr>
      <w:r>
        <w:t xml:space="preserve">B.6 — Implications for the GNN model in this thesis.</w:t>
      </w:r>
    </w:p>
    <w:p w14:paraId="6D081428" w14:textId="77777777" w:rsidR="00223D82" w:rsidRDefault="00B95D7D">
      <w:pPr>
        <w:pStyle w:val="ListParagraph"/>
        <w:numPr>
          <w:ilvl w:val="0"/>
          <w:numId w:val="2"/>
        </w:numPr>
        <w:spacing w:before="40" w:after="100"/>
      </w:pPr>
      <w:r>
        <w:t xml:space="preserve">B.7 — Persistent asset graph and scenario graph separation.</w:t>
      </w:r>
    </w:p>
    <w:p w14:paraId="6519B015" w14:textId="77777777" w:rsidR="00223D82" w:rsidRDefault="00B95D7D">
      <w:pPr>
        <w:pStyle w:val="ListParagraph"/>
        <w:numPr>
          <w:ilvl w:val="0"/>
          <w:numId w:val="2"/>
        </w:numPr>
        <w:spacing w:before="40" w:after="100"/>
      </w:pPr>
      <w:r>
        <w:t xml:space="preserve">B.8 — The observational aggregation layer.</w:t>
      </w:r>
    </w:p>
    <w:p w14:paraId="7AD8432C" w14:textId="77777777" w:rsidR="00223D82" w:rsidRDefault="00B95D7D">
      <w:pPr>
        <w:pStyle w:val="ListParagraph"/>
        <w:numPr>
          <w:ilvl w:val="0"/>
          <w:numId w:val="2"/>
        </w:numPr>
        <w:spacing w:before="40" w:after="100"/>
      </w:pPr>
      <w:r>
        <w:t xml:space="preserve">B.9 — Geography metadata and administrative aggregations.</w:t>
      </w:r>
    </w:p>
    <w:p w14:paraId="5DDE712C" w14:textId="77777777" w:rsidR="00223D82" w:rsidRDefault="00B95D7D">
      <w:pPr>
        <w:pStyle w:val="ListParagraph"/>
        <w:numPr>
          <w:ilvl w:val="0"/>
          <w:numId w:val="2"/>
        </w:numPr>
        <w:spacing w:before="40" w:after="100"/>
      </w:pPr>
      <w:r>
        <w:t xml:space="preserve">B.10 — Resolution hierarchy and forward compatibility.</w:t>
      </w:r>
    </w:p>
    <w:p w14:paraId="61E13409" w14:textId="77777777" w:rsidR="00223D82" w:rsidRDefault="00B95D7D">
      <w:pPr>
        <w:pStyle w:val="ListParagraph"/>
        <w:numPr>
          <w:ilvl w:val="0"/>
          <w:numId w:val="2"/>
        </w:numPr>
        <w:spacing w:before="40" w:after="100"/>
      </w:pPr>
      <w:r>
        <w:t xml:space="preserve">B.11 — Assignment tables, the observed/derived invariant, and coverage contracts.</w:t>
      </w:r>
    </w:p>
    <w:p w14:paraId="64535C04" w14:textId="77777777" w:rsidR="00223D82" w:rsidRDefault="00B95D7D">
      <w:pPr>
        <w:pStyle w:val="ListParagraph"/>
        <w:numPr>
          <w:ilvl w:val="0"/>
          <w:numId w:val="2"/>
        </w:numPr>
        <w:spacing w:before="40" w:after="100"/>
      </w:pPr>
      <w:r>
        <w:t xml:space="preserve">B.12 — Junction nodes, collapsed states, and latent allocation.</w:t>
      </w:r>
    </w:p>
    <w:p w14:paraId="040078D4" w14:textId="77777777" w:rsidR="00223D82" w:rsidRDefault="00B95D7D">
      <w:pPr>
        <w:pStyle w:val="ListParagraph"/>
        <w:numPr>
          <w:ilvl w:val="0"/>
          <w:numId w:val="2"/>
        </w:numPr>
        <w:spacing w:before="40" w:after="100"/>
      </w:pPr>
      <w:r>
        <w:t xml:space="preserve">B.13 — Summary and position in the thesis.</w:t>
      </w:r>
    </w:p>
    <w:p w14:paraId="6DE3D32B" w14:textId="77777777" w:rsidR="00223D82" w:rsidRDefault="00223D82">
      <w:pPr>
        <w:spacing w:after="120"/>
      </w:pPr>
    </w:p>
    <w:p w14:paraId="582918F9" w14:textId="77777777" w:rsidR="00223D82" w:rsidRDefault="00B95D7D">
      <w:pPr>
        <w:pStyle w:val="Heading1"/>
        <w:spacing w:before="400" w:after="200"/>
      </w:pPr>
      <w:r>
        <w:rPr>
          <w:b/>
          <w:bCs/>
          <w:color w:val="2C2C2A"/>
        </w:rPr>
        <w:t>B.2 Location-Centric Representation</w:t>
      </w:r>
    </w:p>
    <w:p w14:paraId="3BAFE824" w14:textId="77777777" w:rsidR="00223D82" w:rsidRDefault="00B95D7D">
      <w:pPr>
        <w:spacing w:after="160"/>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66698531" w14:textId="77777777" w:rsidR="00223D82" w:rsidRDefault="00B95D7D">
      <w:pPr>
        <w:spacing w:before="160" w:after="80"/>
        <w:jc w:val="center"/>
      </w:pPr>
      <w:r>
        <w:rPr>
          <w:noProof/>
        </w:rPr>
        <w:lastRenderedPageBreak/>
        <w:drawing>
          <wp:inline distT="0" distB="0" distL="0" distR="0" wp14:anchorId="18A1CEC9" wp14:editId="1286A61A">
            <wp:extent cx="5334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67000"/>
                    </a:xfrm>
                    <a:prstGeom prst="rect">
                      <a:avLst/>
                    </a:prstGeom>
                  </pic:spPr>
                </pic:pic>
              </a:graphicData>
            </a:graphic>
          </wp:inline>
        </w:drawing>
      </w:r>
    </w:p>
    <w:p w14:paraId="79279A04" w14:textId="77777777" w:rsidR="00223D82" w:rsidRDefault="00B95D7D">
      <w:pPr>
        <w:spacing w:after="240"/>
        <w:jc w:val="center"/>
      </w:pPr>
      <w:r>
        <w:rPr>
          <w:i/>
          <w:iCs/>
          <w:color w:val="5F5E5A"/>
          <w:sz w:val="18"/>
          <w:szCs w:val="18"/>
        </w:rPr>
        <w:t>Figure B.1 — Location-centric graph of the Cushing subnetwork. Nodes are fixed sites; pipelines are edges carrying flow and transit-time attributes. Dashed edge indicates the SPR release route, which is inactive in normal operations.</w:t>
      </w:r>
    </w:p>
    <w:p w14:paraId="7F4C76E6" w14:textId="77777777" w:rsidR="00223D82" w:rsidRDefault="00B95D7D">
      <w:pPr>
        <w:spacing w:after="160"/>
      </w:pPr>
      <w:r>
        <w:t>This is the dominant convention in the traffic forecasting literature. DCRNN and STGCN, for example, represent road sensor networks with sensors as nodes and road segments as edges. It is also the convention used in the SupplyGraph benchmark for supply chain GNNs.</w:t>
      </w:r>
    </w:p>
    <w:p w14:paraId="337A41AD" w14:textId="77777777" w:rsidR="00223D82" w:rsidRDefault="00B95D7D">
      <w:pPr>
        <w:spacing w:before="200" w:after="100"/>
      </w:pPr>
      <w:r>
        <w:rPr>
          <w:b/>
          <w:bCs/>
          <w:color w:val="3C3489"/>
        </w:rPr>
        <w:t>What is captured</w:t>
      </w:r>
    </w:p>
    <w:p w14:paraId="743667E1" w14:textId="77777777" w:rsidR="00223D82" w:rsidRDefault="00B95D7D">
      <w:pPr>
        <w:pStyle w:val="ListParagraph"/>
        <w:numPr>
          <w:ilvl w:val="0"/>
          <w:numId w:val="2"/>
        </w:numPr>
        <w:spacing w:before="40" w:after="100"/>
      </w:pPr>
      <w:r>
        <w:t>Inventory at fixed sites (Cushing stock level, SPR reserves).</w:t>
      </w:r>
    </w:p>
    <w:p w14:paraId="663C215D" w14:textId="77777777" w:rsidR="00223D82" w:rsidRDefault="00B95D7D">
      <w:pPr>
        <w:pStyle w:val="ListParagraph"/>
        <w:numPr>
          <w:ilvl w:val="0"/>
          <w:numId w:val="2"/>
        </w:numPr>
        <w:spacing w:before="40" w:after="100"/>
      </w:pPr>
      <w:r>
        <w:t>Flow rates on each pipeline (barrels per day arriving and departing).</w:t>
      </w:r>
    </w:p>
    <w:p w14:paraId="2BD8EC17" w14:textId="77777777" w:rsidR="00223D82" w:rsidRDefault="00B95D7D">
      <w:pPr>
        <w:pStyle w:val="ListParagraph"/>
        <w:numPr>
          <w:ilvl w:val="0"/>
          <w:numId w:val="2"/>
        </w:numPr>
        <w:spacing w:before="40" w:after="100"/>
      </w:pPr>
      <w:r>
        <w:t>Transit time as an edge attribute — crude dispatched today arrives at Cushing after the pipeline transit delay.</w:t>
      </w:r>
    </w:p>
    <w:p w14:paraId="3BE5F922" w14:textId="77777777" w:rsidR="00223D82" w:rsidRDefault="00B95D7D">
      <w:pPr>
        <w:pStyle w:val="ListParagraph"/>
        <w:numPr>
          <w:ilvl w:val="0"/>
          <w:numId w:val="2"/>
        </w:numPr>
        <w:spacing w:before="40" w:after="100"/>
      </w:pPr>
      <w:r>
        <w:t>Capacity constraints on each route.</w:t>
      </w:r>
    </w:p>
    <w:p w14:paraId="009371D6" w14:textId="77777777" w:rsidR="00223D82" w:rsidRDefault="00B95D7D">
      <w:pPr>
        <w:spacing w:before="200" w:after="100"/>
      </w:pPr>
      <w:r>
        <w:rPr>
          <w:b/>
          <w:bCs/>
          <w:color w:val="3C3489"/>
        </w:rPr>
        <w:t>What is not captured</w:t>
      </w:r>
    </w:p>
    <w:p w14:paraId="3382C21C" w14:textId="1725AA69" w:rsidR="00223D82" w:rsidRDefault="00B95D7D" w:rsidP="00FB402A">
      <w:pPr>
        <w:spacing w:after="160"/>
      </w:pPr>
      <w:r>
        <w:t xml:space="preserve">The crude oil physically inside the pipeline at any given moment — the line-fill — has no node. </w:t>
      </w:r>
      <w:r>
        <w:rPr>
          <w:color w:val="000000"/>
        </w:rPr>
        <w:t xml:space="preserve">The Longhorn pipeline, operating at 800 b/d with a two-day transit time, contains about 1,600 barrels at any given moment. </w:t>
      </w:r>
      <w:r>
        <w:t xml:space="preserve"> In the location-centric model, these barrels are invisible: they have left Permian (an outflow) but have not yet arrived at Cushing (no inflow yet). They exist only implicitly in the transit-time edge attribute.</w:t>
      </w:r>
    </w:p>
    <w:p w14:paraId="3A5D7BD3" w14:textId="77777777" w:rsidR="00223D82" w:rsidRDefault="00B95D7D">
      <w:pPr>
        <w:spacing w:after="160"/>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2F640FDA" w14:textId="77777777" w:rsidR="00223D82" w:rsidRDefault="00223D82">
      <w:pPr>
        <w:spacing w:after="120"/>
      </w:pPr>
    </w:p>
    <w:p w14:paraId="2CC0F736" w14:textId="77777777" w:rsidR="00223D82" w:rsidRDefault="00B95D7D">
      <w:pPr>
        <w:pStyle w:val="Heading1"/>
        <w:spacing w:before="400" w:after="200"/>
      </w:pPr>
      <w:r>
        <w:rPr>
          <w:b/>
          <w:bCs/>
          <w:color w:val="2C2C2A"/>
        </w:rPr>
        <w:t>B.3 Asset-Centric Representation</w:t>
      </w:r>
    </w:p>
    <w:p w14:paraId="01D8A45E" w14:textId="77777777" w:rsidR="00223D82" w:rsidRDefault="00B95D7D">
      <w:pPr>
        <w:spacing w:after="160"/>
      </w:pPr>
      <w:r>
        <w:t xml:space="preserve">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w:t>
        <w:lastRenderedPageBreak/>
        <w:t>connections between assets: loading events connect a terminal node to a vessel node; discharge events connect a vessel node to a destination terminal.</w:t>
      </w:r>
    </w:p>
    <w:p w14:paraId="6F266424" w14:textId="77777777" w:rsidR="00223D82" w:rsidRDefault="00B95D7D">
      <w:pPr>
        <w:spacing w:before="160" w:after="80"/>
        <w:jc w:val="center"/>
      </w:pPr>
      <w:r>
        <w:rPr>
          <w:noProof/>
        </w:rPr>
        <w:drawing>
          <wp:inline distT="0" distB="0" distL="0" distR="0" wp14:anchorId="529EE5F2" wp14:editId="34E85F17">
            <wp:extent cx="5334000" cy="2809875"/>
            <wp:effectExtent l="0" t="0" r="0" b="0"/>
            <wp:docPr id="1375784147" name="Picture 137578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809875"/>
                    </a:xfrm>
                    <a:prstGeom prst="rect">
                      <a:avLst/>
                    </a:prstGeom>
                  </pic:spPr>
                </pic:pic>
              </a:graphicData>
            </a:graphic>
          </wp:inline>
        </w:drawing>
      </w:r>
    </w:p>
    <w:p w14:paraId="2EDCA98D" w14:textId="77777777" w:rsidR="00223D82" w:rsidRDefault="00B95D7D">
      <w:pPr>
        <w:spacing w:after="240"/>
        <w:jc w:val="center"/>
      </w:pPr>
      <w:r>
        <w:rPr>
          <w:i/>
          <w:iCs/>
          <w:color w:val="5F5E5A"/>
          <w:sz w:val="18"/>
          <w:szCs w:val="18"/>
        </w:rPr>
        <w:t>Figure B.2 — Asset-centric graph of the Cushing subnetwork. Pipelines become nodes (amber) with their own line-fill inventory. Edges represent flow connections between assets. The SPR pipeline node has S = 0 (inactive, zero-flow edge).</w:t>
      </w:r>
    </w:p>
    <w:p w14:paraId="626142FD" w14:textId="77777777" w:rsidR="00223D82" w:rsidRDefault="00B95D7D">
      <w:pPr>
        <w:spacing w:before="200" w:after="100"/>
      </w:pPr>
      <w:r>
        <w:rPr>
          <w:b/>
          <w:bCs/>
          <w:color w:val="3C3489"/>
        </w:rPr>
        <w:t>Stable topology through zero-flow edges</w:t>
      </w:r>
    </w:p>
    <w:p w14:paraId="4853C9AA" w14:textId="77777777" w:rsidR="00223D82" w:rsidRDefault="00B95D7D">
      <w:pPr>
        <w:spacing w:after="160"/>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516C4BDC" w14:textId="77777777" w:rsidR="00223D82" w:rsidRDefault="00B95D7D">
      <w:pPr>
        <w:spacing w:before="160" w:after="80"/>
        <w:jc w:val="center"/>
      </w:pPr>
      <w:r>
        <w:rPr>
          <w:noProof/>
        </w:rPr>
        <w:drawing>
          <wp:inline distT="0" distB="0" distL="0" distR="0" wp14:anchorId="5194B797" wp14:editId="51540B93">
            <wp:extent cx="5334000" cy="2286000"/>
            <wp:effectExtent l="0" t="0" r="0" b="0"/>
            <wp:docPr id="1460656361" name="Picture 146065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86000"/>
                    </a:xfrm>
                    <a:prstGeom prst="rect">
                      <a:avLst/>
                    </a:prstGeom>
                  </pic:spPr>
                </pic:pic>
              </a:graphicData>
            </a:graphic>
          </wp:inline>
        </w:drawing>
      </w:r>
    </w:p>
    <w:p w14:paraId="42A70D3D" w14:textId="77777777" w:rsidR="00223D82" w:rsidRDefault="00B95D7D">
      <w:pPr>
        <w:spacing w:after="240"/>
        <w:jc w:val="center"/>
      </w:pPr>
      <w:r>
        <w:rPr>
          <w:i/>
          <w:iCs/>
          <w:color w:val="5F5E5A"/>
          <w:sz w:val="18"/>
          <w:szCs w:val="18"/>
        </w:rPr>
        <w:t>Figure B.3 — Topology stability under the zero-flow convention. In Week 1, VLCC-01 carries active flows on its loading and discharge edges. In Week 2, the vessel is in transit and all edge flows are zero. The graph structure — nodes and edges — is identical in both weeks. Only the flow values change.</w:t>
      </w:r>
    </w:p>
    <w:p w14:paraId="1DB3C098" w14:textId="77777777" w:rsidR="00223D82" w:rsidRDefault="00B95D7D">
      <w:pPr>
        <w:spacing w:after="160"/>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13F03C1F" w14:textId="77777777" w:rsidR="00223D82" w:rsidRDefault="00B95D7D">
      <w:pPr>
        <w:spacing w:before="200" w:after="100"/>
      </w:pPr>
      <w:r>
        <w:rPr>
          <w:b/>
          <w:bCs/>
          <w:color w:val="3C3489"/>
        </w:rPr>
        <w:lastRenderedPageBreak/>
        <w:t>What the asset-centric model additionally captures</w:t>
      </w:r>
    </w:p>
    <w:p w14:paraId="023F2DE2" w14:textId="77777777" w:rsidR="00223D82" w:rsidRDefault="00B95D7D">
      <w:pPr>
        <w:pStyle w:val="ListParagraph"/>
        <w:numPr>
          <w:ilvl w:val="0"/>
          <w:numId w:val="2"/>
        </w:numPr>
        <w:spacing w:before="40" w:after="100"/>
      </w:pPr>
      <w:r>
        <w:rPr>
          <w:b/>
          <w:bCs/>
        </w:rPr>
        <w:t>Line-fill inventory</w:t>
      </w:r>
      <w:r>
        <w:t xml:space="preserve"> — the crude inside the Longhorn pipe (1,600 barrels at 800 b/d × 2 days) is a first-class tracked variable, subject to the mass balance constraint.</w:t>
      </w:r>
    </w:p>
    <w:p w14:paraId="4CCFE88E" w14:textId="77777777" w:rsidR="00223D82" w:rsidRDefault="00B95D7D">
      <w:pPr>
        <w:pStyle w:val="ListParagraph"/>
        <w:numPr>
          <w:ilvl w:val="0"/>
          <w:numId w:val="2"/>
        </w:numPr>
        <w:spacing w:before="40" w:after="100"/>
      </w:pPr>
      <w:r>
        <w:rPr>
          <w:b/>
          <w:bCs/>
        </w:rPr>
        <w:t>Maritime cargo</w:t>
      </w:r>
      <w:r>
        <w:t xml:space="preserve"> — a VLCC carrying 2 million barrels is a node with its own inventory, tracked from loading through transit to discharge.</w:t>
      </w:r>
    </w:p>
    <w:p w14:paraId="5F1964EE" w14:textId="77777777" w:rsidR="00223D82" w:rsidRDefault="00B95D7D">
      <w:pPr>
        <w:pStyle w:val="ListParagraph"/>
        <w:numPr>
          <w:ilvl w:val="0"/>
          <w:numId w:val="2"/>
        </w:numPr>
        <w:spacing w:before="40" w:after="100"/>
      </w:pPr>
      <w:r>
        <w:rPr>
          <w:b/>
          <w:bCs/>
        </w:rPr>
        <w:t>Extensibility</w:t>
      </w:r>
      <w:r>
        <w:t xml:space="preserve"> — adding a new pipeline route or vessel class requires only introducing new nodes with zero-valued edges until the asset becomes active. No schema change is needed.</w:t>
      </w:r>
    </w:p>
    <w:p w14:paraId="6C41EB08" w14:textId="77777777" w:rsidR="00223D82" w:rsidRDefault="00B95D7D">
      <w:pPr>
        <w:pStyle w:val="ListParagraph"/>
        <w:numPr>
          <w:ilvl w:val="0"/>
          <w:numId w:val="2"/>
        </w:numPr>
        <w:spacing w:before="40" w:after="100"/>
      </w:pPr>
      <w:r>
        <w:rPr>
          <w:b/>
          <w:bCs/>
        </w:rPr>
        <w:t>Grade-level tracking</w:t>
      </w:r>
      <w:r>
        <w:t xml:space="preserve"> — in future extensions, different crude grades can be treated as separate variable instances on each node, including pipeline and vessel nodes, consistent with the formula-implies-edge framework in Section 3.6.</w:t>
      </w:r>
    </w:p>
    <w:p w14:paraId="37E27350" w14:textId="77777777" w:rsidR="00223D82" w:rsidRDefault="00223D82">
      <w:pPr>
        <w:spacing w:after="120"/>
      </w:pPr>
    </w:p>
    <w:p w14:paraId="056EA300" w14:textId="77777777" w:rsidR="00223D82" w:rsidRDefault="00B95D7D">
      <w:pPr>
        <w:pStyle w:val="Heading1"/>
        <w:spacing w:before="400" w:after="200"/>
      </w:pPr>
      <w:r>
        <w:rPr>
          <w:b/>
          <w:bCs/>
          <w:color w:val="2C2C2A"/>
        </w:rPr>
        <w:t>B.4 Comparison</w:t>
      </w:r>
    </w:p>
    <w:p w14:paraId="006FEFCD" w14:textId="77777777" w:rsidR="00223D82" w:rsidRDefault="00B95D7D">
      <w:pPr>
        <w:spacing w:after="160"/>
      </w:pPr>
      <w:r>
        <w:t>The table below summarises the key differences between the two conventions across the dimensions most relevant to this thesis.</w:t>
      </w:r>
    </w:p>
    <w:p w14:paraId="614F32CF" w14:textId="77777777" w:rsidR="00223D82" w:rsidRDefault="00223D8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3385"/>
        <w:gridCol w:w="3385"/>
      </w:tblGrid>
      <w:tr w:rsidR="00223D82" w14:paraId="4A8777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365D16E7" w14:textId="77777777" w:rsidR="00223D82" w:rsidRDefault="00B95D7D">
            <w:r>
              <w:rPr>
                <w:b/>
                <w:bCs/>
                <w:color w:val="2C2C2A"/>
                <w:sz w:val="18"/>
                <w:szCs w:val="18"/>
              </w:rPr>
              <w:t>Dimension</w:t>
            </w:r>
          </w:p>
        </w:tc>
        <w:tc>
          <w:tcPr>
            <w:tcW w:w="33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2C4469D8" w14:textId="77777777" w:rsidR="00223D82" w:rsidRDefault="00B95D7D">
            <w:r>
              <w:rPr>
                <w:b/>
                <w:bCs/>
                <w:color w:val="2C2C2A"/>
                <w:sz w:val="18"/>
                <w:szCs w:val="18"/>
              </w:rPr>
              <w:t>Location-centric</w:t>
            </w:r>
          </w:p>
        </w:tc>
        <w:tc>
          <w:tcPr>
            <w:tcW w:w="33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579D59B6" w14:textId="77777777" w:rsidR="00223D82" w:rsidRDefault="00B95D7D">
            <w:r>
              <w:rPr>
                <w:b/>
                <w:bCs/>
                <w:color w:val="2C2C2A"/>
                <w:sz w:val="18"/>
                <w:szCs w:val="18"/>
              </w:rPr>
              <w:t>Asset-centric</w:t>
            </w:r>
          </w:p>
        </w:tc>
      </w:tr>
      <w:tr w:rsidR="00223D82" w14:paraId="7216CF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34826" w14:textId="77777777" w:rsidR="00223D82" w:rsidRDefault="00B95D7D">
            <w:r>
              <w:rPr>
                <w:b/>
                <w:bCs/>
                <w:color w:val="444441"/>
                <w:sz w:val="18"/>
                <w:szCs w:val="18"/>
              </w:rPr>
              <w:t>Node definition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3BC68" w14:textId="77777777" w:rsidR="00223D82" w:rsidRDefault="00B95D7D">
            <w:r>
              <w:rPr>
                <w:color w:val="444441"/>
                <w:sz w:val="18"/>
                <w:szCs w:val="18"/>
              </w:rPr>
              <w:t>Geographic site or facility</w:t>
            </w:r>
          </w:p>
        </w:tc>
        <w:tc>
          <w:tcPr>
            <w:tcW w:w="33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738FE37B" w14:textId="77777777" w:rsidR="00223D82" w:rsidRDefault="00B95D7D">
            <w:r>
              <w:rPr>
                <w:color w:val="3C3489"/>
                <w:sz w:val="18"/>
                <w:szCs w:val="18"/>
              </w:rPr>
              <w:t>Individual physical asset</w:t>
            </w:r>
          </w:p>
        </w:tc>
      </w:tr>
      <w:tr w:rsidR="00223D82" w14:paraId="3900E6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B2D7D" w14:textId="77777777" w:rsidR="00223D82" w:rsidRDefault="00B95D7D">
            <w:r>
              <w:rPr>
                <w:b/>
                <w:bCs/>
                <w:color w:val="444441"/>
                <w:sz w:val="18"/>
                <w:szCs w:val="18"/>
              </w:rPr>
              <w:t>Pipeline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D136A" w14:textId="77777777" w:rsidR="00223D82" w:rsidRDefault="00B95D7D">
            <w:r>
              <w:rPr>
                <w:color w:val="444441"/>
                <w:sz w:val="18"/>
                <w:szCs w:val="18"/>
              </w:rPr>
              <w:t>Edge with flow attribute</w:t>
            </w:r>
          </w:p>
        </w:tc>
        <w:tc>
          <w:tcPr>
            <w:tcW w:w="33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305E9EDA" w14:textId="77777777" w:rsidR="00223D82" w:rsidRDefault="00B95D7D">
            <w:r>
              <w:rPr>
                <w:color w:val="3C3489"/>
                <w:sz w:val="18"/>
                <w:szCs w:val="18"/>
              </w:rPr>
              <w:t>Node with line-fill inventory</w:t>
            </w:r>
          </w:p>
        </w:tc>
      </w:tr>
      <w:tr w:rsidR="00223D82" w14:paraId="4C74DC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1B14F" w14:textId="77777777" w:rsidR="00223D82" w:rsidRDefault="00B95D7D">
            <w:r>
              <w:rPr>
                <w:b/>
                <w:bCs/>
                <w:color w:val="444441"/>
                <w:sz w:val="18"/>
                <w:szCs w:val="18"/>
              </w:rPr>
              <w:t>VLCC tanker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C282C" w14:textId="77777777" w:rsidR="00223D82" w:rsidRDefault="00B95D7D">
            <w:r>
              <w:rPr>
                <w:color w:val="444441"/>
                <w:sz w:val="18"/>
                <w:szCs w:val="18"/>
              </w:rPr>
              <w:t>Implicit in shipping route edge</w:t>
            </w:r>
          </w:p>
        </w:tc>
        <w:tc>
          <w:tcPr>
            <w:tcW w:w="33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133DFF39" w14:textId="77777777" w:rsidR="00223D82" w:rsidRDefault="00B95D7D">
            <w:r>
              <w:rPr>
                <w:color w:val="3C3489"/>
                <w:sz w:val="18"/>
                <w:szCs w:val="18"/>
              </w:rPr>
              <w:t>Node with cargo inventory</w:t>
            </w:r>
          </w:p>
        </w:tc>
      </w:tr>
      <w:tr w:rsidR="00223D82" w14:paraId="6E6002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942AC" w14:textId="77777777" w:rsidR="00223D82" w:rsidRDefault="00B95D7D">
            <w:r>
              <w:rPr>
                <w:b/>
                <w:bCs/>
                <w:color w:val="444441"/>
                <w:sz w:val="18"/>
                <w:szCs w:val="18"/>
              </w:rPr>
              <w:t>Topology</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F8352" w14:textId="77777777" w:rsidR="00223D82" w:rsidRDefault="00B95D7D">
            <w:r>
              <w:rPr>
                <w:color w:val="444441"/>
                <w:sz w:val="18"/>
                <w:szCs w:val="18"/>
              </w:rPr>
              <w:t>Fixed (locations don't move)</w:t>
            </w:r>
          </w:p>
        </w:tc>
        <w:tc>
          <w:tcPr>
            <w:tcW w:w="33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0E8DBB88" w14:textId="77777777" w:rsidR="00223D82" w:rsidRDefault="00B95D7D">
            <w:r>
              <w:rPr>
                <w:color w:val="3C3489"/>
                <w:sz w:val="18"/>
                <w:szCs w:val="18"/>
              </w:rPr>
              <w:t>Fixed (zero-flow inactive edges)</w:t>
            </w:r>
          </w:p>
        </w:tc>
      </w:tr>
      <w:tr w:rsidR="00223D82" w14:paraId="792264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0E8F8" w14:textId="77777777" w:rsidR="00223D82" w:rsidRDefault="00B95D7D">
            <w:r>
              <w:rPr>
                <w:b/>
                <w:bCs/>
                <w:color w:val="444441"/>
                <w:sz w:val="18"/>
                <w:szCs w:val="18"/>
              </w:rPr>
              <w:t>New asset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66B40" w14:textId="77777777" w:rsidR="00223D82" w:rsidRDefault="00B95D7D">
            <w:r>
              <w:rPr>
                <w:color w:val="444441"/>
                <w:sz w:val="18"/>
                <w:szCs w:val="18"/>
              </w:rPr>
              <w:t>New node or edge added</w:t>
            </w:r>
          </w:p>
        </w:tc>
        <w:tc>
          <w:tcPr>
            <w:tcW w:w="33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144D6B84" w14:textId="77777777" w:rsidR="00223D82" w:rsidRDefault="00B95D7D">
            <w:r>
              <w:rPr>
                <w:color w:val="3C3489"/>
                <w:sz w:val="18"/>
                <w:szCs w:val="18"/>
              </w:rPr>
              <w:t>New node, edges exist at zero</w:t>
            </w:r>
          </w:p>
        </w:tc>
      </w:tr>
      <w:tr w:rsidR="00223D82" w14:paraId="26DC10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DCDEA" w14:textId="77777777" w:rsidR="00223D82" w:rsidRDefault="00B95D7D">
            <w:r>
              <w:rPr>
                <w:b/>
                <w:bCs/>
                <w:color w:val="444441"/>
                <w:sz w:val="18"/>
                <w:szCs w:val="18"/>
              </w:rPr>
              <w:t>In-transit cargo</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16E56" w14:textId="77777777" w:rsidR="00223D82" w:rsidRDefault="00B95D7D">
            <w:r>
              <w:rPr>
                <w:color w:val="444441"/>
                <w:sz w:val="18"/>
                <w:szCs w:val="18"/>
              </w:rPr>
              <w:t>Not trackable</w:t>
            </w:r>
          </w:p>
        </w:tc>
        <w:tc>
          <w:tcPr>
            <w:tcW w:w="33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7F02BB65" w14:textId="77777777" w:rsidR="00223D82" w:rsidRDefault="00B95D7D">
            <w:r>
              <w:rPr>
                <w:color w:val="3C3489"/>
                <w:sz w:val="18"/>
                <w:szCs w:val="18"/>
              </w:rPr>
              <w:t>First-class inventory variable</w:t>
            </w:r>
          </w:p>
        </w:tc>
      </w:tr>
      <w:tr w:rsidR="00223D82" w14:paraId="708A2D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530A" w14:textId="77777777" w:rsidR="00223D82" w:rsidRDefault="00B95D7D">
            <w:r>
              <w:rPr>
                <w:b/>
                <w:bCs/>
                <w:color w:val="444441"/>
                <w:sz w:val="18"/>
                <w:szCs w:val="18"/>
              </w:rPr>
              <w:t>GNN compatibility</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89D2B" w14:textId="77777777" w:rsidR="00223D82" w:rsidRDefault="00B95D7D">
            <w:r>
              <w:rPr>
                <w:color w:val="444441"/>
                <w:sz w:val="18"/>
                <w:szCs w:val="18"/>
              </w:rPr>
              <w:t>Standard architectures</w:t>
            </w:r>
          </w:p>
        </w:tc>
        <w:tc>
          <w:tcPr>
            <w:tcW w:w="33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21526219" w14:textId="77777777" w:rsidR="00223D82" w:rsidRDefault="00B95D7D">
            <w:r>
              <w:rPr>
                <w:color w:val="3C3489"/>
                <w:sz w:val="18"/>
                <w:szCs w:val="18"/>
              </w:rPr>
              <w:t>Standard architectures</w:t>
            </w:r>
          </w:p>
        </w:tc>
      </w:tr>
      <w:tr w:rsidR="00223D82" w14:paraId="71CBA8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D439F" w14:textId="77777777" w:rsidR="00223D82" w:rsidRDefault="00B95D7D">
            <w:r>
              <w:rPr>
                <w:b/>
                <w:bCs/>
                <w:color w:val="444441"/>
                <w:sz w:val="18"/>
                <w:szCs w:val="18"/>
              </w:rPr>
              <w:t>Data source match</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816E2" w14:textId="77777777" w:rsidR="00223D82" w:rsidRDefault="00B95D7D">
            <w:r>
              <w:rPr>
                <w:color w:val="444441"/>
                <w:sz w:val="18"/>
                <w:szCs w:val="18"/>
              </w:rPr>
              <w:t>EIA regional aggregates</w:t>
            </w:r>
          </w:p>
        </w:tc>
        <w:tc>
          <w:tcPr>
            <w:tcW w:w="33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04A2BA24" w14:textId="77777777" w:rsidR="00223D82" w:rsidRDefault="00B95D7D">
            <w:r>
              <w:rPr>
                <w:color w:val="3C3489"/>
                <w:sz w:val="18"/>
                <w:szCs w:val="18"/>
              </w:rPr>
              <w:t>EIA + AIS for full resolution</w:t>
            </w:r>
          </w:p>
        </w:tc>
      </w:tr>
      <w:tr w:rsidR="00223D82" w14:paraId="450E6D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E7DFA" w14:textId="77777777" w:rsidR="00223D82" w:rsidRDefault="00B95D7D">
            <w:r>
              <w:rPr>
                <w:b/>
                <w:bCs/>
                <w:color w:val="444441"/>
                <w:sz w:val="18"/>
                <w:szCs w:val="18"/>
              </w:rPr>
              <w:t>Extensibility</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39CBE" w14:textId="77777777" w:rsidR="00223D82" w:rsidRDefault="00B95D7D">
            <w:r>
              <w:rPr>
                <w:color w:val="444441"/>
                <w:sz w:val="18"/>
                <w:szCs w:val="18"/>
              </w:rPr>
              <w:t>Limited by location granularity</w:t>
            </w:r>
          </w:p>
        </w:tc>
        <w:tc>
          <w:tcPr>
            <w:tcW w:w="33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2230CBFD" w14:textId="77777777" w:rsidR="00223D82" w:rsidRDefault="00B95D7D">
            <w:r>
              <w:rPr>
                <w:color w:val="3C3489"/>
                <w:sz w:val="18"/>
                <w:szCs w:val="18"/>
              </w:rPr>
              <w:t>Extends to any asset type</w:t>
            </w:r>
          </w:p>
        </w:tc>
      </w:tr>
    </w:tbl>
    <w:p w14:paraId="5595F5A2" w14:textId="77777777" w:rsidR="00223D82" w:rsidRDefault="00223D82">
      <w:pPr>
        <w:spacing w:after="120"/>
      </w:pPr>
    </w:p>
    <w:p w14:paraId="74FD243C" w14:textId="77777777" w:rsidR="00223D82" w:rsidRDefault="00B95D7D">
      <w:pPr>
        <w:spacing w:after="160"/>
      </w:pPr>
      <w:r>
        <w:t>The asset-centric convention is adopted in this thesis because it is more principled, more extensible, and better suited to the physical structure of the crude-oil supply chain. The crude-oil network is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making the asset-centric graph fully compatible with standard GNN architectures.</w:t>
      </w:r>
    </w:p>
    <w:p w14:paraId="2E641094" w14:textId="77777777" w:rsidR="00223D82" w:rsidRDefault="00B95D7D">
      <w:pPr>
        <w:spacing w:after="160"/>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4FDCBE21" w14:textId="77777777" w:rsidR="00223D82" w:rsidRDefault="00223D82">
      <w:pPr>
        <w:spacing w:after="120"/>
      </w:pPr>
    </w:p>
    <w:p w14:paraId="6276D2F3" w14:textId="77777777" w:rsidR="00223D82" w:rsidRDefault="00B95D7D">
      <w:pPr>
        <w:pStyle w:val="Heading1"/>
        <w:spacing w:before="400" w:after="200"/>
      </w:pPr>
      <w:r>
        <w:rPr>
          <w:b/>
          <w:bCs/>
          <w:color w:val="2C2C2A"/>
        </w:rPr>
        <w:t>B.5 The Mass Balance Equation and the Balancing Item</w:t>
      </w:r>
    </w:p>
    <w:p w14:paraId="0387A1C0" w14:textId="77777777" w:rsidR="00223D82" w:rsidRDefault="00B95D7D">
      <w:pPr>
        <w:spacing w:after="160"/>
      </w:pPr>
      <w:r>
        <w:lastRenderedPageBreak/>
        <w:t>Every node in the asset-centric graph — whether a production field, a storage terminal, a pipeline segment, or a vessel — must satisfy the same universal mass balance constraint. The change in inventory at node i over time period t must equal the net of all flows into and out of that node:</w:t>
      </w:r>
    </w:p>
    <w:p w14:paraId="055504B1" w14:textId="77777777" w:rsidR="00223D82" w:rsidRDefault="00223D82">
      <w:pPr>
        <w:spacing w:after="120"/>
      </w:pPr>
    </w:p>
    <w:p w14:paraId="29A1A7C9" w14:textId="77777777" w:rsidR="00223D82" w:rsidRDefault="00B95D7D">
      <w:pPr>
        <w:spacing w:before="80" w:after="80"/>
        <w:jc w:val="center"/>
      </w:pPr>
      <w:r>
        <w:rPr>
          <w:rFonts w:ascii="Courier New" w:eastAsia="Courier New" w:hAnsi="Courier New" w:cs="Courier New"/>
          <w:b/>
          <w:bCs/>
          <w:color w:val="26215C"/>
          <w:sz w:val="24"/>
          <w:szCs w:val="24"/>
        </w:rPr>
        <w:t>ΔS(i,t) = P(i,t) + F_in(i,t) − C(i,t) − F_out(i,t)</w:t>
      </w:r>
    </w:p>
    <w:p w14:paraId="39AE8750" w14:textId="77777777" w:rsidR="00223D82" w:rsidRDefault="00223D82">
      <w:pPr>
        <w:spacing w:after="120"/>
      </w:pPr>
    </w:p>
    <w:p w14:paraId="7789D1DD" w14:textId="77777777" w:rsidR="00223D82" w:rsidRDefault="00B95D7D">
      <w:pPr>
        <w:spacing w:after="160"/>
      </w:pPr>
      <w:r>
        <w:t>where ΔS(i,t) = S(i,t) − S(i,t−1) is the change in stock, P(i,t) is production (non-zero only at wellhead and field nodes), C(i,t) is consumption (non-zero only at refinery and end-use nodes), F_in(i,t) is the sum of all inflows, and F_out(i,t) is the sum of all outflows.</w:t>
      </w:r>
    </w:p>
    <w:p w14:paraId="7D450843" w14:textId="77777777" w:rsidR="00223D82" w:rsidRDefault="00B95D7D">
      <w:pPr>
        <w:spacing w:before="200" w:after="100"/>
      </w:pPr>
      <w:r>
        <w:rPr>
          <w:b/>
          <w:bCs/>
          <w:color w:val="3C3489"/>
        </w:rPr>
        <w:t>B.5.1 The Cushing example</w:t>
      </w:r>
    </w:p>
    <w:p w14:paraId="5C5AF1A4" w14:textId="77777777" w:rsidR="00223D82" w:rsidRDefault="00B95D7D">
      <w:pPr>
        <w:spacing w:after="160"/>
      </w:pPr>
      <w:r>
        <w:t>For Cushing terminal in a given week, the reported EIA data gives:</w:t>
      </w:r>
    </w:p>
    <w:p w14:paraId="27F511CC" w14:textId="77777777" w:rsidR="00223D82" w:rsidRDefault="00B95D7D">
      <w:pPr>
        <w:pStyle w:val="ListParagraph"/>
        <w:numPr>
          <w:ilvl w:val="0"/>
          <w:numId w:val="2"/>
        </w:numPr>
        <w:spacing w:before="40" w:after="100"/>
      </w:pPr>
      <w:r>
        <w:t>Opening stock S(t−1) = 45,000 barrels</w:t>
      </w:r>
    </w:p>
    <w:p w14:paraId="7FB88431" w14:textId="77777777" w:rsidR="00223D82" w:rsidRDefault="00B95D7D">
      <w:pPr>
        <w:pStyle w:val="ListParagraph"/>
        <w:numPr>
          <w:ilvl w:val="0"/>
          <w:numId w:val="2"/>
        </w:numPr>
        <w:spacing w:before="40" w:after="100"/>
      </w:pPr>
      <w:r>
        <w:t>Inflow from Longhorn pipeline: 800 b/d × 7 days = 5,600 barrels</w:t>
      </w:r>
    </w:p>
    <w:p w14:paraId="64B437C5" w14:textId="77777777" w:rsidR="00223D82" w:rsidRDefault="00B95D7D">
      <w:pPr>
        <w:pStyle w:val="ListParagraph"/>
        <w:numPr>
          <w:ilvl w:val="0"/>
          <w:numId w:val="2"/>
        </w:numPr>
        <w:spacing w:before="40" w:after="100"/>
      </w:pPr>
      <w:r>
        <w:t>Inflow from Seaway pipeline: 600 b/d × 7 days = 4,200 barrels</w:t>
      </w:r>
    </w:p>
    <w:p w14:paraId="70CC7706" w14:textId="77777777" w:rsidR="00223D82" w:rsidRDefault="00B95D7D">
      <w:pPr>
        <w:pStyle w:val="ListParagraph"/>
        <w:numPr>
          <w:ilvl w:val="0"/>
          <w:numId w:val="2"/>
        </w:numPr>
        <w:spacing w:before="40" w:after="100"/>
      </w:pPr>
      <w:r>
        <w:t>Outflow to Ozark pipeline (refinery): 950 b/d × 7 days = 6,650 barrels</w:t>
      </w:r>
    </w:p>
    <w:p w14:paraId="6EFF280C" w14:textId="77777777" w:rsidR="00223D82" w:rsidRDefault="00B95D7D">
      <w:pPr>
        <w:pStyle w:val="ListParagraph"/>
        <w:numPr>
          <w:ilvl w:val="0"/>
          <w:numId w:val="2"/>
        </w:numPr>
        <w:spacing w:before="40" w:after="100"/>
      </w:pPr>
      <w:r>
        <w:t>Outflow to SPR: 0 barrels</w:t>
      </w:r>
    </w:p>
    <w:p w14:paraId="4DB052C3" w14:textId="77777777" w:rsidR="00223D82" w:rsidRDefault="00B95D7D">
      <w:pPr>
        <w:pStyle w:val="ListParagraph"/>
        <w:numPr>
          <w:ilvl w:val="0"/>
          <w:numId w:val="2"/>
        </w:numPr>
        <w:spacing w:before="40" w:after="100"/>
      </w:pPr>
      <w:r>
        <w:t>Closing stock S(t) reported by EIA = 45,300 barrels</w:t>
      </w:r>
    </w:p>
    <w:p w14:paraId="0063ED2B" w14:textId="77777777" w:rsidR="00223D82" w:rsidRDefault="00223D82">
      <w:pPr>
        <w:spacing w:after="120"/>
      </w:pPr>
    </w:p>
    <w:p w14:paraId="148E346F" w14:textId="77777777" w:rsidR="00223D82" w:rsidRDefault="00B95D7D">
      <w:pPr>
        <w:spacing w:after="160"/>
      </w:pPr>
      <w:r>
        <w:t>The calculated stock change is:</w:t>
      </w:r>
    </w:p>
    <w:p w14:paraId="2E7E4771" w14:textId="77777777" w:rsidR="00223D82" w:rsidRDefault="00B95D7D">
      <w:pPr>
        <w:spacing w:before="60" w:after="60"/>
        <w:ind w:left="720"/>
      </w:pPr>
      <w:r>
        <w:rPr>
          <w:rFonts w:ascii="Courier New" w:eastAsia="Courier New" w:hAnsi="Courier New" w:cs="Courier New"/>
          <w:color w:val="26215C"/>
          <w:sz w:val="20"/>
          <w:szCs w:val="20"/>
        </w:rPr>
        <w:t>ΔS(calc) = F_in − F_out = (5,600 + 4,200) − (6,650 + 0) = +3,150 barrels</w:t>
      </w:r>
    </w:p>
    <w:p w14:paraId="3D8775FA" w14:textId="77777777" w:rsidR="00223D82" w:rsidRDefault="00B95D7D">
      <w:pPr>
        <w:spacing w:after="160"/>
      </w:pPr>
      <w:r>
        <w:t>The observed stock change from the EIA weekly report is:</w:t>
      </w:r>
    </w:p>
    <w:p w14:paraId="10C5BF28" w14:textId="77777777" w:rsidR="00223D82" w:rsidRDefault="00B95D7D">
      <w:pPr>
        <w:spacing w:before="60" w:after="60"/>
        <w:ind w:left="720"/>
      </w:pPr>
      <w:r>
        <w:rPr>
          <w:rFonts w:ascii="Courier New" w:eastAsia="Courier New" w:hAnsi="Courier New" w:cs="Courier New"/>
          <w:color w:val="26215C"/>
          <w:sz w:val="20"/>
          <w:szCs w:val="20"/>
        </w:rPr>
        <w:t>ΔS(obs) = 45,300 − 45,000 = +300 barrels</w:t>
      </w:r>
    </w:p>
    <w:p w14:paraId="0D431203" w14:textId="77777777" w:rsidR="00223D82" w:rsidRDefault="00B95D7D">
      <w:pPr>
        <w:spacing w:after="160"/>
      </w:pPr>
      <w:r>
        <w:t>These do not match. The balancing item is the residual:</w:t>
      </w:r>
    </w:p>
    <w:p w14:paraId="6116C492" w14:textId="77777777" w:rsidR="00223D82" w:rsidRDefault="00B95D7D">
      <w:pPr>
        <w:spacing w:before="80" w:after="80"/>
        <w:jc w:val="center"/>
      </w:pPr>
      <w:r>
        <w:rPr>
          <w:rFonts w:ascii="Courier New" w:eastAsia="Courier New" w:hAnsi="Courier New" w:cs="Courier New"/>
          <w:b/>
          <w:bCs/>
          <w:color w:val="A32D2D"/>
        </w:rPr>
        <w:t>B(i,t) = ΔS(obs) − ΔS(calc) = 300 − 3,150 = −2,850 barrels</w:t>
      </w:r>
    </w:p>
    <w:p w14:paraId="417FF9D1" w14:textId="77777777" w:rsidR="00223D82" w:rsidRDefault="00B95D7D">
      <w:pPr>
        <w:spacing w:before="160" w:after="80"/>
        <w:jc w:val="center"/>
      </w:pPr>
      <w:r>
        <w:rPr>
          <w:noProof/>
        </w:rPr>
        <w:drawing>
          <wp:inline distT="0" distB="0" distL="0" distR="0" wp14:anchorId="204CD993" wp14:editId="3F43A7B5">
            <wp:extent cx="5334000" cy="2762250"/>
            <wp:effectExtent l="0" t="0" r="0" b="0"/>
            <wp:docPr id="821721423" name="Picture 82172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62250"/>
                    </a:xfrm>
                    <a:prstGeom prst="rect">
                      <a:avLst/>
                    </a:prstGeom>
                  </pic:spPr>
                </pic:pic>
              </a:graphicData>
            </a:graphic>
          </wp:inline>
        </w:drawing>
      </w:r>
    </w:p>
    <w:p w14:paraId="659FAC87" w14:textId="77777777" w:rsidR="00223D82" w:rsidRDefault="00B95D7D">
      <w:pPr>
        <w:spacing w:after="240"/>
        <w:jc w:val="center"/>
      </w:pPr>
      <w:r>
        <w:rPr>
          <w:i/>
          <w:iCs/>
          <w:color w:val="5F5E5A"/>
          <w:sz w:val="18"/>
          <w:szCs w:val="18"/>
        </w:rPr>
        <w:lastRenderedPageBreak/>
        <w:t>Figure B.4 — Mass balance at Cushing terminal. Inflows (green) and outflows (red) sum to a calculated ΔS of +450 b/d, but the observed ΔS from EIA data is only +300 b/d. The balancing item B = −150 b/d absorbs the discrepancy.</w:t>
      </w:r>
    </w:p>
    <w:p w14:paraId="39AA9C92" w14:textId="77777777" w:rsidR="00223D82" w:rsidRDefault="00B95D7D">
      <w:pPr>
        <w:spacing w:before="200" w:after="100"/>
      </w:pPr>
      <w:r>
        <w:rPr>
          <w:b/>
          <w:bCs/>
          <w:color w:val="3C3489"/>
        </w:rPr>
        <w:t>B.5.2 Why the balancing item exists</w:t>
      </w:r>
    </w:p>
    <w:p w14:paraId="61456B99" w14:textId="77777777" w:rsidR="00223D82" w:rsidRDefault="00B95D7D">
      <w:pPr>
        <w:spacing w:after="160"/>
      </w:pPr>
      <w:r>
        <w:t>The discrepancy between calculated and observed inventory changes is endemic to commodity reporting and arises from several structural causes:</w:t>
      </w:r>
    </w:p>
    <w:p w14:paraId="3F3DAF43" w14:textId="77777777" w:rsidR="00223D82" w:rsidRDefault="00B95D7D">
      <w:pPr>
        <w:pStyle w:val="ListParagraph"/>
        <w:numPr>
          <w:ilvl w:val="0"/>
          <w:numId w:val="2"/>
        </w:numPr>
        <w:spacing w:before="40" w:after="100"/>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C797FA5" w14:textId="77777777" w:rsidR="00223D82" w:rsidRDefault="00B95D7D">
      <w:pPr>
        <w:pStyle w:val="ListParagraph"/>
        <w:numPr>
          <w:ilvl w:val="0"/>
          <w:numId w:val="2"/>
        </w:numPr>
        <w:spacing w:before="40" w:after="100"/>
      </w:pPr>
      <w:r>
        <w:rPr>
          <w:b/>
          <w:bCs/>
        </w:rPr>
        <w:t>Rounding and aggregation</w:t>
      </w:r>
      <w:r>
        <w:t xml:space="preserve"> — EIA aggregates data from multiple operators and reporting entities. Each rounds independently before submitting, so the sum of rounded components differs from the rounded total.</w:t>
      </w:r>
    </w:p>
    <w:p w14:paraId="1C22C2C5" w14:textId="77777777" w:rsidR="00223D82" w:rsidRDefault="00B95D7D">
      <w:pPr>
        <w:pStyle w:val="ListParagraph"/>
        <w:numPr>
          <w:ilvl w:val="0"/>
          <w:numId w:val="2"/>
        </w:numPr>
        <w:spacing w:before="40" w:after="100"/>
      </w:pPr>
      <w:r>
        <w:rPr>
          <w:b/>
          <w:bCs/>
        </w:rPr>
        <w:t>Unreported or delayed reports</w:t>
      </w:r>
      <w:r>
        <w:t xml:space="preserve"> — some operators file revisions to prior weeks. The current week's stock change may reflect prior-period revisions not captured in the current-week flow data.</w:t>
      </w:r>
    </w:p>
    <w:p w14:paraId="7C96D3A2" w14:textId="77777777" w:rsidR="00223D82" w:rsidRDefault="00B95D7D">
      <w:pPr>
        <w:pStyle w:val="ListParagraph"/>
        <w:numPr>
          <w:ilvl w:val="0"/>
          <w:numId w:val="2"/>
        </w:numPr>
        <w:spacing w:before="40" w:after="100"/>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4141E669" w14:textId="77777777" w:rsidR="00223D82" w:rsidRDefault="00B95D7D">
      <w:pPr>
        <w:pStyle w:val="ListParagraph"/>
        <w:numPr>
          <w:ilvl w:val="0"/>
          <w:numId w:val="2"/>
        </w:numPr>
        <w:spacing w:before="40" w:after="100"/>
      </w:pPr>
      <w:r>
        <w:rPr>
          <w:b/>
          <w:bCs/>
        </w:rPr>
        <w:t>Grade and quality adjustments</w:t>
      </w:r>
      <w:r>
        <w:t xml:space="preserve"> — blending of different crude grades at a terminal can produce apparent volume gains or losses due to density differences that are not separately accounted for.</w:t>
      </w:r>
    </w:p>
    <w:p w14:paraId="18312E07" w14:textId="77777777" w:rsidR="00223D82" w:rsidRDefault="00B95D7D">
      <w:pPr>
        <w:spacing w:before="200" w:after="100"/>
      </w:pPr>
      <w:r>
        <w:rPr>
          <w:b/>
          <w:bCs/>
          <w:color w:val="3C3489"/>
        </w:rPr>
        <w:t>B.5.3 The full mass balance equation with balancing item</w:t>
      </w:r>
    </w:p>
    <w:p w14:paraId="31BF7AE4" w14:textId="77777777" w:rsidR="00223D82" w:rsidRDefault="00B95D7D">
      <w:pPr>
        <w:spacing w:after="160"/>
      </w:pPr>
      <w:r>
        <w:t>The complete equation used in this thesis is:</w:t>
      </w:r>
    </w:p>
    <w:p w14:paraId="19DA4716" w14:textId="77777777" w:rsidR="00223D82" w:rsidRDefault="00223D82">
      <w:pPr>
        <w:spacing w:after="120"/>
      </w:pPr>
    </w:p>
    <w:p w14:paraId="21BB17FC" w14:textId="77777777" w:rsidR="00D443F1" w:rsidRDefault="00B95D7D">
      <w:pPr>
        <w:spacing w:before="80" w:after="80"/>
        <w:jc w:val="center"/>
        <w:rPr>
          <w:rFonts w:ascii="Courier New" w:eastAsia="Courier New" w:hAnsi="Courier New" w:cs="Courier New"/>
          <w:b/>
          <w:bCs/>
          <w:color w:val="26215C"/>
        </w:rPr>
      </w:pPr>
      <w:r>
        <w:rPr>
          <w:rFonts w:ascii="Courier New" w:eastAsia="Courier New" w:hAnsi="Courier New" w:cs="Courier New"/>
          <w:b/>
          <w:bCs/>
          <w:color w:val="26215C"/>
        </w:rPr>
        <w:t xml:space="preserve">S(i,t) = S(i,t−1) + P(i,t) + F_in(i,t) </w:t>
      </w:r>
    </w:p>
    <w:p w14:paraId="65E5CAB1" w14:textId="48528B69" w:rsidR="00223D82" w:rsidRDefault="00B95D7D">
      <w:pPr>
        <w:spacing w:before="80" w:after="80"/>
        <w:jc w:val="center"/>
      </w:pPr>
      <w:r>
        <w:rPr>
          <w:rFonts w:ascii="Courier New" w:eastAsia="Courier New" w:hAnsi="Courier New" w:cs="Courier New"/>
          <w:b/>
          <w:bCs/>
          <w:color w:val="26215C"/>
        </w:rPr>
        <w:t>− C(i,t) − F_out(i,t) + B(i,t)</w:t>
      </w:r>
    </w:p>
    <w:p w14:paraId="3B9DCEE1" w14:textId="77777777" w:rsidR="00223D82" w:rsidRDefault="00223D82">
      <w:pPr>
        <w:spacing w:after="120"/>
      </w:pPr>
    </w:p>
    <w:p w14:paraId="30165AC4" w14:textId="77777777" w:rsidR="00223D82" w:rsidRDefault="00B95D7D">
      <w:pPr>
        <w:spacing w:after="160"/>
      </w:pPr>
      <w:r>
        <w:t>where B(i,t)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64A4E08D" w14:textId="77777777" w:rsidR="00223D82" w:rsidRDefault="00B95D7D">
      <w:pPr>
        <w:spacing w:after="160"/>
      </w:pPr>
      <w:r>
        <w:t>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predicting the expected balancing item for a future period based on historical patterns. The choice of role is a modelling decision addressed in Chapter 5.</w:t>
      </w:r>
    </w:p>
    <w:p w14:paraId="244768C7" w14:textId="77777777" w:rsidR="00223D82" w:rsidRDefault="00223D82">
      <w:pPr>
        <w:spacing w:after="120"/>
      </w:pPr>
    </w:p>
    <w:p w14:paraId="628B4ED1" w14:textId="77777777" w:rsidR="00223D82" w:rsidRDefault="00B95D7D">
      <w:pPr>
        <w:pStyle w:val="Heading1"/>
        <w:spacing w:before="400" w:after="200"/>
      </w:pPr>
      <w:r>
        <w:rPr>
          <w:b/>
          <w:bCs/>
          <w:color w:val="2C2C2A"/>
        </w:rPr>
        <w:t>B.6 Implications for the GNN Model</w:t>
      </w:r>
    </w:p>
    <w:p w14:paraId="155B8E6E" w14:textId="77777777" w:rsidR="00223D82" w:rsidRDefault="00B95D7D">
      <w:pPr>
        <w:spacing w:after="160"/>
      </w:pPr>
      <w:r>
        <w:t>The asset-centric convention combined with the zero-flow edge design and the balancing item produces a graph framework with several properties that directly support the forecasting objective of this thesis:</w:t>
      </w:r>
    </w:p>
    <w:p w14:paraId="7473D804" w14:textId="77777777" w:rsidR="00223D82" w:rsidRDefault="00B95D7D">
      <w:pPr>
        <w:pStyle w:val="ListParagraph"/>
        <w:numPr>
          <w:ilvl w:val="0"/>
          <w:numId w:val="2"/>
        </w:numPr>
        <w:spacing w:before="40" w:after="100"/>
      </w:pPr>
      <w:r>
        <w:rPr>
          <w:b/>
          <w:bCs/>
        </w:rPr>
        <w:lastRenderedPageBreak/>
        <w:t>Universal mass balance</w:t>
      </w:r>
      <w:r>
        <w:t xml:space="preserve"> — the same equation S(i,t) = S(i,t−1) + P + F_in − C − F_out + B applies to every node type without special cases. Pipeline nodes have P = 0 and C = 0; vessel nodes have P = 0 and C = 0 with F_in = cargo loaded and F_out = cargo discharged.</w:t>
      </w:r>
    </w:p>
    <w:p w14:paraId="1B330B4A" w14:textId="77777777" w:rsidR="00223D82" w:rsidRDefault="00B95D7D">
      <w:pPr>
        <w:pStyle w:val="ListParagraph"/>
        <w:numPr>
          <w:ilvl w:val="0"/>
          <w:numId w:val="2"/>
        </w:numPr>
        <w:spacing w:before="40" w:after="100"/>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GraphSAGE, DCRNN, and STGCN.</w:t>
      </w:r>
    </w:p>
    <w:p w14:paraId="1044D6D9" w14:textId="77777777" w:rsidR="00223D82" w:rsidRDefault="00B95D7D">
      <w:pPr>
        <w:pStyle w:val="ListParagraph"/>
        <w:numPr>
          <w:ilvl w:val="0"/>
          <w:numId w:val="2"/>
        </w:numPr>
        <w:spacing w:before="40" w:after="100"/>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BF308D1" w14:textId="77777777" w:rsidR="00223D82" w:rsidRDefault="00B95D7D">
      <w:pPr>
        <w:pStyle w:val="ListParagraph"/>
        <w:numPr>
          <w:ilvl w:val="0"/>
          <w:numId w:val="2"/>
        </w:numPr>
        <w:spacing w:before="40" w:after="100"/>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75A6066D" w14:textId="77777777" w:rsidR="00223D82" w:rsidRDefault="00223D82">
      <w:pPr>
        <w:spacing w:after="120"/>
      </w:pPr>
    </w:p>
    <w:p w14:paraId="07F8D07A" w14:textId="77777777" w:rsidR="00223D82" w:rsidRDefault="00B95D7D">
      <w:pPr>
        <w:pStyle w:val="Heading1"/>
        <w:spacing w:before="400" w:after="200"/>
      </w:pPr>
      <w:r>
        <w:rPr>
          <w:b/>
          <w:bCs/>
          <w:color w:val="2C2C2A"/>
        </w:rPr>
        <w:t xml:space="preserve">B.7 Persistent Asset Graph and Scenario Graph</w:t>
      </w:r>
    </w:p>
    <w:p w14:paraId="65E8200C" w14:textId="77777777" w:rsidR="00223D82" w:rsidRDefault="00B95D7D">
      <w:pPr>
        <w:spacing w:after="160"/>
      </w:pPr>
      <w:r>
        <w:t xml:space="preserve">Sections B.1 through B.6 describe what the graph looks like. In practice, the graph a model trains on is not a single object — it is produced on demand from three inputs: a </w:t>
      </w:r>
      <w:r>
        <w:rPr>
          <w:b/>
          <w:bCs/>
        </w:rPr>
        <w:t xml:space="preserve">persistent asset graph</w:t>
      </w:r>
      <w:r>
        <w:t xml:space="preserve"> defining the full physical topology, an </w:t>
      </w:r>
      <w:r>
        <w:rPr>
          <w:b/>
          <w:bCs/>
        </w:rPr>
        <w:t xml:space="preserve">assignment table</w:t>
      </w:r>
      <w:r>
        <w:t xml:space="preserve"> recording which time series is attached to which node, and a </w:t>
      </w:r>
      <w:r>
        <w:rPr>
          <w:b/>
          <w:bCs/>
        </w:rPr>
        <w:t xml:space="preserve">coverage contract</w:t>
      </w:r>
      <w:r>
        <w:t xml:space="preserve"> declaring the authoritative level of resolution for each part of the system. This section establishes the separation between these layers.</w:t>
      </w:r>
    </w:p>
    <w:p w14:paraId="0A014A92" w14:textId="77777777" w:rsidR="00223D82" w:rsidRDefault="00B95D7D">
      <w:pPr>
        <w:spacing w:after="160"/>
      </w:pPr>
      <w:r>
        <w:t xml:space="preserve">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5F7F4500" w14:textId="77777777" w:rsidR="00223D82" w:rsidRDefault="00B95D7D">
      <w:pPr>
        <w:spacing w:after="160"/>
      </w:pPr>
      <w:r>
        <w:t xml:space="preserve">The scenario graph is what a model actually trains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1A012B6A" w14:textId="77777777" w:rsidR="00223D82" w:rsidRDefault="00B95D7D">
      <w:pPr>
        <w:spacing w:after="160"/>
      </w:pPr>
      <w:r>
        <w:t xml:space="preserve">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A53FD60" w14:textId="77777777" w:rsidR="00223D82" w:rsidRDefault="00B95D7D">
      <w:pPr>
        <w:spacing w:after="160"/>
      </w:pPr>
      <w:r>
        <w:rPr>
          <w:i/>
          <w:iCs/>
        </w:rPr>
        <w:t xml:space="preserve">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16E006D0" w14:textId="77777777" w:rsidR="00223D82" w:rsidRDefault="00B95D7D">
      <w:pPr>
        <w:pStyle w:val="Heading1"/>
        <w:spacing w:before="400" w:after="200"/>
      </w:pPr>
      <w:r>
        <w:rPr>
          <w:b/>
          <w:bCs/>
          <w:color w:val="2C2C2A"/>
        </w:rPr>
        <w:t xml:space="preserve">B.8 The Observational Aggregation Layer</w:t>
      </w:r>
    </w:p>
    <w:p w14:paraId="0835A155" w14:textId="77777777" w:rsidR="00223D82" w:rsidRDefault="00B95D7D">
      <w:pPr>
        <w:spacing w:after="160"/>
      </w:pPr>
      <w:r>
        <w:t xml:space="preserve">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564EABBD" w14:textId="77777777" w:rsidR="00223D82" w:rsidRDefault="00B95D7D">
      <w:pPr>
        <w:spacing w:after="160"/>
      </w:pPr>
      <w:r>
        <w:t xml:space="preserve">The framework handles this cleanly by separating the physical layer — the nodes and edges in the asset graph that represent real assets with real flows — from the </w:t>
      </w:r>
      <w:r>
        <w:rPr>
          <w:b/>
          <w:bCs/>
        </w:rPr>
        <w:t xml:space="preserve">observational aggregation layer</w:t>
      </w:r>
      <w:r>
        <w:t xml:space="preserve">, which provides formula-defined views over the physical layer. A PADD-level production variable is defined as a formula: P(PADD_3, t) equals the sum of P(i, t) over all physical nodes i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125AD160" w14:textId="77777777" w:rsidR="00223D82" w:rsidRDefault="00B95D7D">
      <w:pPr>
        <w:spacing w:after="160"/>
      </w:pPr>
      <w:r>
        <w:t xml:space="preserve">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1CC988A4" w14:textId="77777777" w:rsidR="00223D82" w:rsidRDefault="00B95D7D">
      <w:pPr>
        <w:spacing w:after="160"/>
      </w:pPr>
      <w:r>
        <w:t xml:space="preserve">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50E8D3FB" w14:textId="77777777" w:rsidR="00223D82" w:rsidRDefault="00B95D7D">
      <w:pPr>
        <w:pStyle w:val="Heading1"/>
        <w:spacing w:before="400" w:after="200"/>
      </w:pPr>
      <w:r>
        <w:rPr>
          <w:b/>
          <w:bCs/>
          <w:color w:val="2C2C2A"/>
        </w:rPr>
        <w:t xml:space="preserve">B.9 Geography Metadata and Administrative Aggregations</w:t>
      </w:r>
    </w:p>
    <w:p w14:paraId="39B388B8" w14:textId="77777777" w:rsidR="00223D82" w:rsidRDefault="00B95D7D">
      <w:pPr>
        <w:spacing w:after="160"/>
      </w:pPr>
      <w:r>
        <w:t xml:space="preserve">The observational aggregations of Section B.8 need an implementation. This section describes it. Every physical node in the asset graph carries a block of </w:t>
      </w:r>
      <w:r>
        <w:rPr>
          <w:b/>
          <w:bCs/>
        </w:rPr>
        <w:t xml:space="preserve">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node in itself.</w:t>
      </w:r>
    </w:p>
    <w:p w14:paraId="58DD85DB" w14:textId="77777777" w:rsidR="00223D82" w:rsidRDefault="00B95D7D">
      <w:pPr>
        <w:spacing w:after="160"/>
      </w:pPr>
      <w:r>
        <w:t xml:space="preserve">Administrative aggregations from Section B.8 are implemented as queries that filter physical nodes by their geography metadata. The expression P(PADD_3, t) = sum of P(i, t) where i.location.padd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5C8F9942" w14:textId="77777777" w:rsidR="00223D82" w:rsidRDefault="00B95D7D">
      <w:pPr>
        <w:spacing w:after="160"/>
      </w:pPr>
      <w:r>
        <w:t xml:space="preserve">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53A96300" w14:textId="77777777" w:rsidR="00223D82" w:rsidRDefault="00B95D7D">
      <w:pPr>
        <w:spacing w:after="160"/>
      </w:pPr>
      <w:r>
        <w:t xml:space="preserve">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BD1AD91" w14:textId="77777777" w:rsidR="00223D82" w:rsidRDefault="00B95D7D">
      <w:pPr>
        <w:spacing w:after="160"/>
      </w:pPr>
      <w:r>
        <w:t xml:space="preserve">The distinction between geography and resolution hierarchy is summarised in Figure B.6.</w:t>
      </w:r>
    </w:p>
    <w:p w14:paraId="36DE2DAB" w14:textId="77777777" w:rsidR="00223D82" w:rsidRDefault="00B95D7D">
      <w:pPr>
        <w:spacing w:after="160"/>
      </w:pPr>
      <w:r>
        <w:rPr>
          <w:i/>
          <w:iCs/>
        </w:rPr>
        <w:t xml:space="preserve">Figure B.6 — Geography metadata (labels on nodes) and resolution hierarchy (relationships between nodes). A well has a geography label and also belongs to a resolution hierarchy through its basin and county sub-node parents. The geography labels support administrative aggregations; the resolution hierarchy supports granularity upgrades as finer data becomes available.</w:t>
      </w:r>
    </w:p>
    <w:p w14:paraId="4CD28117" w14:textId="77777777" w:rsidR="00223D82" w:rsidRDefault="00B95D7D">
      <w:pPr>
        <w:pStyle w:val="Heading1"/>
        <w:spacing w:before="400" w:after="200"/>
      </w:pPr>
      <w:r>
        <w:rPr>
          <w:b/>
          <w:bCs/>
          <w:color w:val="2C2C2A"/>
        </w:rPr>
        <w:t xml:space="preserve">B.10 Resolution Hierarchy and Forward Compatibility</w:t>
      </w:r>
    </w:p>
    <w:p w14:paraId="022AC133" w14:textId="77777777" w:rsidR="00223D82" w:rsidRDefault="00B95D7D">
      <w:pPr>
        <w:spacing w:after="160"/>
      </w:pPr>
      <w:r>
        <w:t xml:space="preserve">Every node class in the asset graph has an associated </w:t>
      </w:r>
      <w:r>
        <w:rPr>
          <w:b/>
          <w:bCs/>
        </w:rPr>
        <w:t xml:space="preserve">resolution hierarchy</w:t>
      </w:r>
      <w:r>
        <w:t xml:space="preserve">: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62871DDC" w14:textId="77777777" w:rsidR="00223D82" w:rsidRDefault="00B95D7D">
      <w:pPr>
        <w:spacing w:after="160"/>
      </w:pPr>
      <w:r>
        <w:t xml:space="preserve">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2605CBA3" w14:textId="77777777" w:rsidR="00223D82" w:rsidRDefault="00B95D7D">
      <w:pPr>
        <w:spacing w:after="160"/>
      </w:pPr>
      <w:r>
        <w:t xml:space="preserve">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41BA1564" w14:textId="77777777" w:rsidR="00223D82" w:rsidRDefault="00B95D7D">
      <w:pPr>
        <w:spacing w:after="160"/>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 xml:space="preserve">promoted</w:t>
      </w:r>
      <w:r>
        <w:t xml:space="preserve"> from a pure-view status to the authoritative representation of production for the duration of that scenario. The basins that would normally be authoritative in its place are </w:t>
      </w:r>
      <w:r>
        <w:rPr>
          <w:b/>
          <w:bCs/>
        </w:rPr>
        <w:t xml:space="preserve">collapsed</w:t>
      </w:r>
      <w:r>
        <w:t xml:space="preserve">: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7C39C02" w14:textId="77777777" w:rsidR="00223D82" w:rsidRDefault="00B95D7D">
      <w:pPr>
        <w:spacing w:after="160"/>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acknowledging that in practice the authoritative level for some variables, in some scenarios, is the administrative aggregate rather than a named physical asset.</w:t>
      </w:r>
    </w:p>
    <w:p w14:paraId="06660439" w14:textId="77777777" w:rsidR="00223D82" w:rsidRDefault="00B95D7D">
      <w:pPr>
        <w:spacing w:after="160"/>
      </w:pPr>
      <w:r>
        <w:t xml:space="preserve">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4803D547" w14:textId="77777777" w:rsidR="00223D82" w:rsidRDefault="00B95D7D">
      <w:pPr>
        <w:pStyle w:val="Heading1"/>
        <w:spacing w:before="400" w:after="200"/>
      </w:pPr>
      <w:r>
        <w:rPr>
          <w:b/>
          <w:bCs/>
          <w:color w:val="2C2C2A"/>
        </w:rPr>
        <w:t xml:space="preserve">B.11 Assignment Tables, the Observed/Derived Invariant, and Coverage Contracts</w:t>
      </w:r>
    </w:p>
    <w:p w14:paraId="0BA4832F" w14:textId="77777777" w:rsidR="00223D82" w:rsidRDefault="00B95D7D">
      <w:pPr>
        <w:spacing w:after="160"/>
      </w:pPr>
      <w:r>
        <w:t xml:space="preserve">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69258191" w14:textId="77777777" w:rsidR="00223D82" w:rsidRDefault="00B95D7D">
      <w:pPr>
        <w:spacing w:after="160"/>
      </w:pPr>
      <w:r>
        <w:t xml:space="preserve">For any given combination of node, variable, commodity, and timestamp, a single constraint governs the scenario graph:</w:t>
      </w:r>
    </w:p>
    <w:p w14:paraId="50E0B770" w14:textId="77777777" w:rsidR="00223D82" w:rsidRDefault="00B95D7D">
      <w:pPr>
        <w:spacing w:after="160"/>
      </w:pPr>
      <w:r>
        <w:t xml:space="preserve">Exactly one of </w:t>
      </w:r>
      <w:r>
        <w:rPr>
          <w:b/>
          <w:bCs/>
        </w:rPr>
        <w:t xml:space="preserve">observed_authoritative</w:t>
      </w:r>
      <w:r>
        <w:t xml:space="preserve"> or </w:t>
      </w:r>
      <w:r>
        <w:rPr>
          <w:b/>
          <w:bCs/>
        </w:rPr>
        <w:t xml:space="preserve">derived</w:t>
      </w:r>
      <w:r>
        <w:t xml:space="preserve"> holds. Additional observed series may be attached as </w:t>
      </w:r>
      <w:r>
        <w:rPr>
          <w:b/>
          <w:bCs/>
        </w:rPr>
        <w:t xml:space="preserve">observed_auxiliary</w:t>
      </w:r>
      <w:r>
        <w:t xml:space="preserve">, which are stored on the node but do not participate in the mass balance at their own level.</w:t>
      </w:r>
    </w:p>
    <w:p w14:paraId="01282DCE" w14:textId="77777777" w:rsidR="00223D82" w:rsidRDefault="00B95D7D">
      <w:pPr>
        <w:spacing w:after="160"/>
      </w:pPr>
      <w:r>
        <w:t xml:space="preserve">This is the </w:t>
      </w:r>
      <w:r>
        <w:rPr>
          <w:b/>
          <w:bCs/>
        </w:rPr>
        <w:t xml:space="preserve">observed/derived invariant</w:t>
      </w:r>
      <w:r>
        <w:t xml:space="preserve">. A node-variable is either populated directly from an assigned time series (observed authoritative), or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270365AF" w14:textId="77777777" w:rsidR="00223D82" w:rsidRDefault="00B95D7D">
      <w:pPr>
        <w:spacing w:after="160"/>
      </w:pPr>
      <w:r>
        <w:t xml:space="preserve">The </w:t>
      </w:r>
      <w:r>
        <w:rPr>
          <w:b/>
          <w:bCs/>
        </w:rPr>
        <w:t xml:space="preserve">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68D07672" w14:textId="77777777" w:rsidR="00223D82" w:rsidRDefault="00B95D7D">
      <w:pPr>
        <w:spacing w:after="160"/>
      </w:pPr>
      <w:r>
        <w:t xml:space="preserve">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26882B8" w14:textId="77777777" w:rsidR="00223D82" w:rsidRDefault="00B95D7D">
      <w:pPr>
        <w:spacing w:after="160"/>
      </w:pPr>
      <w:r>
        <w:rPr>
          <w:i/>
          <w:iCs/>
        </w:rPr>
        <w:t xml:space="preserve">Figure B.7 — State machine for a single node-variable under the scenario loader. Valid end states are observed_authoritative, derived, observed_auxiliary, and null. The invariant excludes any combination of observed_authoritative and derived on the same variable at the same time.</w:t>
      </w:r>
    </w:p>
    <w:p w14:paraId="1CE7AD0C" w14:textId="77777777" w:rsidR="00223D82" w:rsidRDefault="00B95D7D">
      <w:pPr>
        <w:spacing w:after="160"/>
      </w:pPr>
      <w:r>
        <w:t xml:space="preserve">The invariant does not cover every failure mode. Sibling overlap — two assigned series whose coverage descriptors overlap geographically or temporally without one being an ancestor of the other — can still occur, and requires a pairwise coverage disjointness check across the assigned series at each level. The mass balance diagnostic at the authoritative level serves as a backstop for any remaining inconsistencies, surfacing them as large balancing items that the user can investigate. The invariant, the coverage disjointness check, and the mass balance diagnostic together form a layered defence against the aggregation and duplication errors that are otherwise endemic in multi-source commodity data pipelines.</w:t>
      </w:r>
    </w:p>
    <w:p w14:paraId="7B251BA7" w14:textId="77777777" w:rsidR="00223D82" w:rsidRDefault="00B95D7D">
      <w:pPr>
        <w:pStyle w:val="Heading1"/>
        <w:spacing w:before="400" w:after="200"/>
      </w:pPr>
      <w:r>
        <w:rPr>
          <w:b/>
          <w:bCs/>
          <w:color w:val="2C2C2A"/>
        </w:rPr>
        <w:t xml:space="preserve">B.12 Junction Nodes, Collapsed States, and Latent Allocation</w:t>
      </w:r>
    </w:p>
    <w:p w14:paraId="64566E95" w14:textId="77777777" w:rsidR="00223D82" w:rsidRDefault="00B95D7D">
      <w:pPr>
        <w:spacing w:after="160"/>
      </w:pPr>
      <w:r>
        <w:t xml:space="preserve">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42E47386" w14:textId="77777777" w:rsidR="00223D82" w:rsidRDefault="00B95D7D">
      <w:pPr>
        <w:spacing w:after="160"/>
      </w:pPr>
      <w:r>
        <w:t xml:space="preserve">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58CDCDF8" w14:textId="77777777" w:rsidR="00223D82" w:rsidRDefault="00B95D7D">
      <w:pPr>
        <w:spacing w:after="160"/>
      </w:pPr>
      <w:r>
        <w:t xml:space="preserve">The framework handles this through the </w:t>
      </w:r>
      <w:r>
        <w:rPr>
          <w:b/>
          <w:bCs/>
        </w:rPr>
        <w:t xml:space="preserve">collapsed state</w:t>
      </w:r>
      <w:r>
        <w:t xml:space="preserve">.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4135266C" w14:textId="77777777" w:rsidR="00223D82" w:rsidRDefault="00B95D7D">
      <w:pPr>
        <w:spacing w:after="160"/>
      </w:pPr>
      <w:r>
        <w:t xml:space="preserve">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6EAB5397" w14:textId="77777777" w:rsidR="00223D82" w:rsidRDefault="00B95D7D">
      <w:pPr>
        <w:spacing w:after="160"/>
      </w:pPr>
      <w:r>
        <w:t xml:space="preserve">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78FFBFE1" w14:textId="77777777" w:rsidR="00223D82" w:rsidRDefault="00B95D7D">
      <w:pPr>
        <w:spacing w:after="160"/>
      </w:pPr>
      <w:r>
        <w:t xml:space="preserve">This is the </w:t>
      </w:r>
      <w:r>
        <w:rPr>
          <w:b/>
          <w:bCs/>
        </w:rPr>
        <w:t xml:space="preserve">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neighbours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0F82B8AD" w14:textId="77777777" w:rsidR="00223D82" w:rsidRDefault="00B95D7D">
      <w:pPr>
        <w:spacing w:after="160"/>
      </w:pPr>
      <w:r>
        <w:t xml:space="preserve">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14C0661E" w14:textId="77777777" w:rsidR="00223D82" w:rsidRDefault="00B95D7D">
      <w:pPr>
        <w:spacing w:after="160"/>
      </w:pPr>
      <w:r>
        <w:rPr>
          <w:i/>
          <w:iCs/>
        </w:rPr>
        <w:t xml:space="preserve">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7EE2229C" w14:textId="77777777" w:rsidR="00223D82" w:rsidRDefault="00B95D7D">
      <w:pPr>
        <w:pStyle w:val="Heading1"/>
        <w:spacing w:before="400" w:after="200"/>
      </w:pPr>
      <w:r>
        <w:rPr>
          <w:b/>
          <w:bCs/>
          <w:color w:val="2C2C2A"/>
        </w:rPr>
        <w:t xml:space="preserve">B.13 Summary and Position in the Thesis</w:t>
      </w:r>
    </w:p>
    <w:p w14:paraId="0955E7E8" w14:textId="77777777" w:rsidR="00223D82" w:rsidRDefault="00B95D7D">
      <w:pPr>
        <w:spacing w:after="160"/>
      </w:pPr>
      <w:r>
        <w:t xml:space="preserve">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0738E973" w14:textId="77777777" w:rsidR="00223D82" w:rsidRDefault="00B95D7D">
      <w:pPr>
        <w:spacing w:after="160"/>
      </w:pPr>
      <w:r>
        <w:t xml:space="preserve">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71282A1" w14:textId="77777777" w:rsidR="00223D82" w:rsidRDefault="00B95D7D">
      <w:pPr>
        <w:spacing w:after="160"/>
      </w:pPr>
      <w:r>
        <w:t xml:space="preserve">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7D516EE4" w14:textId="77777777" w:rsidR="00223D82" w:rsidRDefault="00B95D7D">
      <w:pPr>
        <w:pStyle w:val="Heading1"/>
        <w:spacing w:before="400" w:after="200"/>
      </w:pPr>
      <w:r>
        <w:rPr>
          <w:b/>
          <w:bCs/>
          <w:color w:val="2C2C2A"/>
        </w:rPr>
        <w:t>References</w:t>
      </w:r>
    </w:p>
    <w:p w14:paraId="3818253A" w14:textId="77777777" w:rsidR="00223D82" w:rsidRDefault="00B95D7D">
      <w:pPr>
        <w:spacing w:after="120"/>
      </w:pPr>
      <w:r>
        <w:rPr>
          <w:color w:val="444441"/>
          <w:sz w:val="20"/>
          <w:szCs w:val="20"/>
        </w:rPr>
        <w:t>Energy Information Administration (EIA). Weekly Petroleum Status Report. U.S. Department of Energy. https://www.eia.gov/petroleum/supply/weekly/</w:t>
      </w:r>
    </w:p>
    <w:p w14:paraId="1158FA6A" w14:textId="77777777" w:rsidR="00223D82" w:rsidRDefault="00B95D7D">
      <w:pPr>
        <w:spacing w:after="120"/>
      </w:pPr>
      <w:r>
        <w:rPr>
          <w:color w:val="444441"/>
          <w:sz w:val="20"/>
          <w:szCs w:val="20"/>
        </w:rPr>
        <w:t>Fattouh, B. (2011). An Anatomy of the Crude Oil Pricing System. Oxford Institute for Energy Studies, WPM 40.</w:t>
      </w:r>
    </w:p>
    <w:p w14:paraId="1D8B6DE8" w14:textId="77777777" w:rsidR="00223D82" w:rsidRDefault="00B95D7D">
      <w:pPr>
        <w:spacing w:after="120"/>
      </w:pPr>
      <w:r>
        <w:rPr>
          <w:color w:val="444441"/>
          <w:sz w:val="20"/>
          <w:szCs w:val="20"/>
        </w:rPr>
        <w:t>Kazemi, Y. and Szmerekovsky, J. (2015). Modeling Downstream Petroleum Supply Chain. Transportation Research Part E, 83, pp. 111–125.</w:t>
      </w:r>
    </w:p>
    <w:p w14:paraId="09041601" w14:textId="77777777" w:rsidR="00223D82" w:rsidRDefault="00B95D7D">
      <w:pPr>
        <w:spacing w:after="120"/>
      </w:pPr>
      <w:r>
        <w:rPr>
          <w:color w:val="444441"/>
          <w:sz w:val="20"/>
          <w:szCs w:val="20"/>
        </w:rPr>
        <w:t>Li, Y., Yu, R., Shahabi, C., and Liu, Y. (2018). Diffusion Convolutional Recurrent Neural Network. ICLR.</w:t>
      </w:r>
    </w:p>
    <w:p w14:paraId="7CCCEB18" w14:textId="77777777" w:rsidR="00223D82" w:rsidRDefault="00B95D7D">
      <w:pPr>
        <w:spacing w:after="120"/>
      </w:pPr>
      <w:r>
        <w:rPr>
          <w:color w:val="444441"/>
          <w:sz w:val="20"/>
          <w:szCs w:val="20"/>
        </w:rPr>
        <w:t>Stopford, M. (2009). Maritime Economics. 3rd ed. Routledge.</w:t>
      </w:r>
    </w:p>
    <w:p w14:paraId="5C63E38A" w14:textId="77777777" w:rsidR="00223D82" w:rsidRDefault="00B95D7D">
      <w:pPr>
        <w:spacing w:after="120"/>
      </w:pPr>
      <w:r>
        <w:rPr>
          <w:color w:val="444441"/>
          <w:sz w:val="20"/>
          <w:szCs w:val="20"/>
        </w:rPr>
        <w:t>Wasi, A. T., Islam, S. R., Karim, R., and Brintrup, A. (2024). SupplyGraph: A Benchmark Dataset for Supply Chain Planning using Graph Neural Networks. arXiv:2401.15299.</w:t>
      </w:r>
    </w:p>
    <w:p w14:paraId="7F1D0DA7" w14:textId="77777777" w:rsidR="00223D82" w:rsidRDefault="00B95D7D">
      <w:pPr>
        <w:spacing w:after="120"/>
      </w:pPr>
      <w:r>
        <w:rPr>
          <w:color w:val="444441"/>
          <w:sz w:val="20"/>
          <w:szCs w:val="20"/>
        </w:rPr>
        <w:t>Yu, B., Yin, H., and Zhu, Z. (2018). Spatio-Temporal Graph Convolutional Networks. IJCAI.</w:t>
      </w:r>
    </w:p>
    <w:sectPr w:rsidR="00223D8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B5CAF"/>
    <w:multiLevelType w:val="hybridMultilevel"/>
    <w:tmpl w:val="BFFA58C0"/>
    <w:lvl w:ilvl="0" w:tplc="5A1EBA26">
      <w:start w:val="1"/>
      <w:numFmt w:val="bullet"/>
      <w:lvlText w:val="•"/>
      <w:lvlJc w:val="left"/>
      <w:pPr>
        <w:ind w:left="720" w:hanging="360"/>
      </w:pPr>
    </w:lvl>
    <w:lvl w:ilvl="1" w:tplc="F3C690D6">
      <w:numFmt w:val="decimal"/>
      <w:lvlText w:val=""/>
      <w:lvlJc w:val="left"/>
    </w:lvl>
    <w:lvl w:ilvl="2" w:tplc="FF88D276">
      <w:numFmt w:val="decimal"/>
      <w:lvlText w:val=""/>
      <w:lvlJc w:val="left"/>
    </w:lvl>
    <w:lvl w:ilvl="3" w:tplc="91863DC8">
      <w:numFmt w:val="decimal"/>
      <w:lvlText w:val=""/>
      <w:lvlJc w:val="left"/>
    </w:lvl>
    <w:lvl w:ilvl="4" w:tplc="865628EC">
      <w:numFmt w:val="decimal"/>
      <w:lvlText w:val=""/>
      <w:lvlJc w:val="left"/>
    </w:lvl>
    <w:lvl w:ilvl="5" w:tplc="57F4AAEC">
      <w:numFmt w:val="decimal"/>
      <w:lvlText w:val=""/>
      <w:lvlJc w:val="left"/>
    </w:lvl>
    <w:lvl w:ilvl="6" w:tplc="9D6226B8">
      <w:numFmt w:val="decimal"/>
      <w:lvlText w:val=""/>
      <w:lvlJc w:val="left"/>
    </w:lvl>
    <w:lvl w:ilvl="7" w:tplc="DEDE928C">
      <w:numFmt w:val="decimal"/>
      <w:lvlText w:val=""/>
      <w:lvlJc w:val="left"/>
    </w:lvl>
    <w:lvl w:ilvl="8" w:tplc="B11AA0C6">
      <w:numFmt w:val="decimal"/>
      <w:lvlText w:val=""/>
      <w:lvlJc w:val="left"/>
    </w:lvl>
  </w:abstractNum>
  <w:abstractNum w:abstractNumId="1" w15:restartNumberingAfterBreak="0">
    <w:nsid w:val="7C703225"/>
    <w:multiLevelType w:val="hybridMultilevel"/>
    <w:tmpl w:val="0A4C714A"/>
    <w:lvl w:ilvl="0" w:tplc="7FA0A11A">
      <w:start w:val="1"/>
      <w:numFmt w:val="bullet"/>
      <w:lvlText w:val="●"/>
      <w:lvlJc w:val="left"/>
      <w:pPr>
        <w:ind w:left="720" w:hanging="360"/>
      </w:pPr>
    </w:lvl>
    <w:lvl w:ilvl="1" w:tplc="F9A01EA4">
      <w:start w:val="1"/>
      <w:numFmt w:val="bullet"/>
      <w:lvlText w:val="○"/>
      <w:lvlJc w:val="left"/>
      <w:pPr>
        <w:ind w:left="1440" w:hanging="360"/>
      </w:pPr>
    </w:lvl>
    <w:lvl w:ilvl="2" w:tplc="E29882B4">
      <w:start w:val="1"/>
      <w:numFmt w:val="bullet"/>
      <w:lvlText w:val="■"/>
      <w:lvlJc w:val="left"/>
      <w:pPr>
        <w:ind w:left="2160" w:hanging="360"/>
      </w:pPr>
    </w:lvl>
    <w:lvl w:ilvl="3" w:tplc="D3CA98BE">
      <w:start w:val="1"/>
      <w:numFmt w:val="bullet"/>
      <w:lvlText w:val="●"/>
      <w:lvlJc w:val="left"/>
      <w:pPr>
        <w:ind w:left="2880" w:hanging="360"/>
      </w:pPr>
    </w:lvl>
    <w:lvl w:ilvl="4" w:tplc="38768AFC">
      <w:start w:val="1"/>
      <w:numFmt w:val="bullet"/>
      <w:lvlText w:val="○"/>
      <w:lvlJc w:val="left"/>
      <w:pPr>
        <w:ind w:left="3600" w:hanging="360"/>
      </w:pPr>
    </w:lvl>
    <w:lvl w:ilvl="5" w:tplc="7D1E6B2C">
      <w:start w:val="1"/>
      <w:numFmt w:val="bullet"/>
      <w:lvlText w:val="■"/>
      <w:lvlJc w:val="left"/>
      <w:pPr>
        <w:ind w:left="4320" w:hanging="360"/>
      </w:pPr>
    </w:lvl>
    <w:lvl w:ilvl="6" w:tplc="EEFE4C18">
      <w:start w:val="1"/>
      <w:numFmt w:val="bullet"/>
      <w:lvlText w:val="●"/>
      <w:lvlJc w:val="left"/>
      <w:pPr>
        <w:ind w:left="5040" w:hanging="360"/>
      </w:pPr>
    </w:lvl>
    <w:lvl w:ilvl="7" w:tplc="C1C2BBAC">
      <w:start w:val="1"/>
      <w:numFmt w:val="bullet"/>
      <w:lvlText w:val="●"/>
      <w:lvlJc w:val="left"/>
      <w:pPr>
        <w:ind w:left="5760" w:hanging="360"/>
      </w:pPr>
    </w:lvl>
    <w:lvl w:ilvl="8" w:tplc="28FA52B8">
      <w:start w:val="1"/>
      <w:numFmt w:val="bullet"/>
      <w:lvlText w:val="●"/>
      <w:lvlJc w:val="left"/>
      <w:pPr>
        <w:ind w:left="6480" w:hanging="360"/>
      </w:pPr>
    </w:lvl>
  </w:abstractNum>
  <w:num w:numId="1" w16cid:durableId="1592469897">
    <w:abstractNumId w:val="1"/>
    <w:lvlOverride w:ilvl="0">
      <w:startOverride w:val="1"/>
    </w:lvlOverride>
  </w:num>
  <w:num w:numId="2" w16cid:durableId="17529646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D82"/>
    <w:rsid w:val="00223D82"/>
    <w:rsid w:val="003D75A3"/>
    <w:rsid w:val="00B95D7D"/>
    <w:rsid w:val="00D443F1"/>
    <w:rsid w:val="00E05024"/>
    <w:rsid w:val="00FB40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BD3BB"/>
  <w15:docId w15:val="{CE8B291D-219F-48A2-9F89-9A01F5566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2167</Words>
  <Characters>12250</Characters>
  <Application>Microsoft Office Word</Application>
  <DocSecurity>0</DocSecurity>
  <Lines>245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Porfirio</cp:lastModifiedBy>
  <cp:revision>2</cp:revision>
  <dcterms:created xsi:type="dcterms:W3CDTF">2026-04-10T12:26:00Z</dcterms:created>
  <dcterms:modified xsi:type="dcterms:W3CDTF">2026-04-10T12:26:00Z</dcterms:modified>
</cp:coreProperties>
</file>