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C38A" w14:textId="77777777" w:rsidR="000754BC" w:rsidRPr="00F855CC" w:rsidRDefault="00466837">
      <w:pPr>
        <w:spacing w:before="800" w:after="100"/>
        <w:jc w:val="center"/>
        <w:rPr>
          <w:lang w:val="pt-BR"/>
        </w:rPr>
      </w:pPr>
      <w:r w:rsidRPr="00F855CC">
        <w:rPr>
          <w:rFonts w:ascii="Cambria" w:eastAsia="Cambria" w:hAnsi="Cambria" w:cs="Cambria"/>
          <w:b/>
          <w:bCs/>
          <w:color w:val="1F3864"/>
          <w:sz w:val="28"/>
          <w:szCs w:val="28"/>
          <w:lang w:val="pt-BR"/>
        </w:rPr>
        <w:t>NOVA Information Management School</w:t>
      </w:r>
    </w:p>
    <w:p w14:paraId="5CFD500F" w14:textId="77777777" w:rsidR="000754BC" w:rsidRPr="00F855CC" w:rsidRDefault="00466837">
      <w:pPr>
        <w:spacing w:after="100"/>
        <w:jc w:val="center"/>
        <w:rPr>
          <w:lang w:val="pt-BR"/>
        </w:rPr>
      </w:pPr>
      <w:r w:rsidRPr="00F855CC">
        <w:rPr>
          <w:i/>
          <w:iCs/>
          <w:lang w:val="pt-BR"/>
        </w:rPr>
        <w:t>Instituto Superior de Estatística e Gestão de Informação</w:t>
      </w:r>
    </w:p>
    <w:p w14:paraId="7CF541DC" w14:textId="77777777" w:rsidR="000754BC" w:rsidRDefault="00466837">
      <w:pPr>
        <w:spacing w:after="2400"/>
        <w:jc w:val="center"/>
      </w:pPr>
      <w:proofErr w:type="spellStart"/>
      <w:r>
        <w:rPr>
          <w:i/>
          <w:iCs/>
        </w:rPr>
        <w:t>Universidade</w:t>
      </w:r>
      <w:proofErr w:type="spellEnd"/>
      <w:r>
        <w:rPr>
          <w:i/>
          <w:iCs/>
        </w:rPr>
        <w:t xml:space="preserve"> Nova de Lisboa</w:t>
      </w:r>
    </w:p>
    <w:p w14:paraId="67ECA322" w14:textId="77777777" w:rsidR="000754BC" w:rsidRDefault="00466837">
      <w:pPr>
        <w:spacing w:after="240"/>
        <w:jc w:val="center"/>
      </w:pPr>
      <w:r>
        <w:rPr>
          <w:rFonts w:ascii="Cambria" w:eastAsia="Cambria" w:hAnsi="Cambria" w:cs="Cambria"/>
          <w:b/>
          <w:bCs/>
          <w:color w:val="1F3864"/>
          <w:sz w:val="36"/>
          <w:szCs w:val="36"/>
        </w:rPr>
        <w:t>OIL BALANCES WITHOUT HIDDEN ADJUSTMENTS</w:t>
      </w:r>
    </w:p>
    <w:p w14:paraId="7C3B4642" w14:textId="77777777" w:rsidR="000754BC" w:rsidRDefault="00466837">
      <w:pPr>
        <w:spacing w:after="2800"/>
        <w:jc w:val="center"/>
      </w:pPr>
      <w:r>
        <w:rPr>
          <w:rFonts w:ascii="Cambria" w:eastAsia="Cambria" w:hAnsi="Cambria" w:cs="Cambria"/>
          <w:i/>
          <w:iCs/>
          <w:color w:val="1F3864"/>
          <w:sz w:val="28"/>
          <w:szCs w:val="28"/>
        </w:rPr>
        <w:t>A Graph-and-Scenario Framework for Crude Oil Logistics Data</w:t>
      </w:r>
    </w:p>
    <w:p w14:paraId="09035C4C" w14:textId="77777777" w:rsidR="000754BC" w:rsidRDefault="00466837">
      <w:pPr>
        <w:spacing w:after="120"/>
        <w:jc w:val="center"/>
      </w:pPr>
      <w:r>
        <w:rPr>
          <w:b/>
          <w:bCs/>
          <w:sz w:val="28"/>
          <w:szCs w:val="28"/>
        </w:rPr>
        <w:t>Pedro Porfírio</w:t>
      </w:r>
    </w:p>
    <w:p w14:paraId="60F88F12" w14:textId="77777777" w:rsidR="000754BC" w:rsidRDefault="00466837">
      <w:pPr>
        <w:spacing w:after="800"/>
        <w:jc w:val="center"/>
      </w:pPr>
      <w:r>
        <w:t>Student Number: 20241283</w:t>
      </w:r>
    </w:p>
    <w:p w14:paraId="3A959FF9" w14:textId="77777777" w:rsidR="000754BC" w:rsidRDefault="00466837">
      <w:pPr>
        <w:spacing w:after="80"/>
        <w:jc w:val="center"/>
      </w:pPr>
      <w:r>
        <w:rPr>
          <w:i/>
          <w:iCs/>
        </w:rPr>
        <w:t>Dissertation presented as partial requirement for obtaining the</w:t>
      </w:r>
    </w:p>
    <w:p w14:paraId="1926E5A8" w14:textId="77777777" w:rsidR="000754BC" w:rsidRDefault="00466837">
      <w:pPr>
        <w:spacing w:after="800"/>
        <w:jc w:val="center"/>
      </w:pPr>
      <w:r>
        <w:rPr>
          <w:i/>
          <w:iCs/>
        </w:rPr>
        <w:t>Master's degree in Information Management Systems</w:t>
      </w:r>
    </w:p>
    <w:p w14:paraId="04451B7A" w14:textId="77777777" w:rsidR="000754BC" w:rsidRPr="00F855CC" w:rsidRDefault="00466837">
      <w:pPr>
        <w:spacing w:after="1200"/>
        <w:jc w:val="center"/>
        <w:rPr>
          <w:lang w:val="pt-BR"/>
        </w:rPr>
      </w:pPr>
      <w:r w:rsidRPr="00F855CC">
        <w:rPr>
          <w:lang w:val="pt-BR"/>
        </w:rPr>
        <w:t xml:space="preserve">Supervisor: </w:t>
      </w:r>
      <w:r w:rsidRPr="00F855CC">
        <w:rPr>
          <w:b/>
          <w:bCs/>
          <w:lang w:val="pt-BR"/>
        </w:rPr>
        <w:t>Professor Flávio Pinheiro</w:t>
      </w:r>
    </w:p>
    <w:p w14:paraId="6A3BC8B2" w14:textId="77777777" w:rsidR="000754BC" w:rsidRPr="00F855CC" w:rsidRDefault="00466837">
      <w:pPr>
        <w:jc w:val="center"/>
        <w:rPr>
          <w:lang w:val="pt-BR"/>
        </w:rPr>
      </w:pPr>
      <w:r w:rsidRPr="00F855CC">
        <w:rPr>
          <w:lang w:val="pt-BR"/>
        </w:rPr>
        <w:t>May 2026</w:t>
      </w:r>
    </w:p>
    <w:p w14:paraId="128F4968" w14:textId="77777777" w:rsidR="000754BC" w:rsidRPr="00F855CC" w:rsidRDefault="000754BC">
      <w:pPr>
        <w:pageBreakBefore/>
        <w:spacing w:before="4000" w:after="240"/>
        <w:rPr>
          <w:lang w:val="pt-BR"/>
        </w:rPr>
      </w:pPr>
    </w:p>
    <w:p w14:paraId="1DFFCE1C" w14:textId="77777777" w:rsidR="000754BC" w:rsidRDefault="00466837">
      <w:pPr>
        <w:spacing w:after="240"/>
        <w:jc w:val="both"/>
      </w:pPr>
      <w:r>
        <w:rPr>
          <w:i/>
          <w:iCs/>
        </w:rPr>
        <w:t>Oil Balances Without Hidden Adjustments: A Graph-and-Scenario Framework for Crude Oil Logistics Data</w:t>
      </w:r>
    </w:p>
    <w:p w14:paraId="7992CBE7" w14:textId="77777777" w:rsidR="000754BC" w:rsidRPr="00F855CC" w:rsidRDefault="00466837">
      <w:pPr>
        <w:spacing w:after="240"/>
        <w:jc w:val="both"/>
        <w:rPr>
          <w:lang w:val="pt-BR"/>
        </w:rPr>
      </w:pPr>
      <w:r w:rsidRPr="00F855CC">
        <w:rPr>
          <w:lang w:val="pt-BR"/>
        </w:rPr>
        <w:t>Copyright © Pedro Porfírio, NOVA Information Management School, Universidade Nova de Lisboa.</w:t>
      </w:r>
    </w:p>
    <w:p w14:paraId="0FA564EB" w14:textId="77777777" w:rsidR="000754BC" w:rsidRDefault="00466837">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571D328F" w14:textId="77777777" w:rsidR="000754BC" w:rsidRDefault="000754BC">
      <w:pPr>
        <w:sectPr w:rsidR="000754BC">
          <w:pgSz w:w="12240" w:h="15840"/>
          <w:pgMar w:top="1440" w:right="1440" w:bottom="1440" w:left="1440" w:header="708" w:footer="708" w:gutter="0"/>
          <w:cols w:space="720"/>
          <w:docGrid w:linePitch="360"/>
        </w:sectPr>
      </w:pPr>
    </w:p>
    <w:p w14:paraId="162971B7" w14:textId="77777777" w:rsidR="000754BC" w:rsidRDefault="00466837">
      <w:pPr>
        <w:pStyle w:val="Heading1"/>
        <w:pageBreakBefore/>
        <w:spacing w:before="0" w:after="400"/>
      </w:pPr>
      <w:r>
        <w:lastRenderedPageBreak/>
        <w:t>Acknowledgements</w:t>
      </w:r>
    </w:p>
    <w:p w14:paraId="4EFC442F" w14:textId="77777777" w:rsidR="000754BC" w:rsidRDefault="00466837">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3ED09C96" w14:textId="77777777" w:rsidR="000754BC" w:rsidRDefault="00466837">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6413F457" w14:textId="77777777" w:rsidR="000754BC" w:rsidRDefault="00466837">
      <w:pPr>
        <w:spacing w:after="160" w:line="320" w:lineRule="auto"/>
        <w:jc w:val="both"/>
      </w:pPr>
      <w:r>
        <w:t>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all the more meaningful to me. Without her by my side, it would have been impossible to accomplish not only this thesis, but so much of what I have done.</w:t>
      </w:r>
    </w:p>
    <w:p w14:paraId="6C91A33E" w14:textId="77777777" w:rsidR="000754BC" w:rsidRDefault="00466837">
      <w:pPr>
        <w:spacing w:after="160" w:line="320" w:lineRule="auto"/>
        <w:jc w:val="both"/>
      </w:pPr>
      <w:r>
        <w:t>I would also like to thank Luiza, Lucas, Mateus, and Julia, my children, who teased me about needing to obtain a proper Master's degree. There you go you four — and I am proud that it is a Master's from NOVA IMS, the best IMS Master's programme in Europe.</w:t>
      </w:r>
    </w:p>
    <w:p w14:paraId="2A30621C" w14:textId="77777777" w:rsidR="000754BC" w:rsidRDefault="00466837">
      <w:pPr>
        <w:spacing w:after="160" w:line="320" w:lineRule="auto"/>
        <w:jc w:val="both"/>
      </w:pPr>
      <w:r>
        <w:t>Special thanks to Mariana Costa and Manuel Stone for the help and support.</w:t>
      </w:r>
    </w:p>
    <w:p w14:paraId="1D3084E5" w14:textId="77777777" w:rsidR="000754BC" w:rsidRDefault="00466837">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69670BEC" w14:textId="77777777" w:rsidR="000754BC" w:rsidRDefault="00466837">
      <w:pPr>
        <w:pStyle w:val="Heading1"/>
        <w:pageBreakBefore/>
        <w:spacing w:before="0" w:after="400"/>
      </w:pPr>
      <w:r>
        <w:lastRenderedPageBreak/>
        <w:t>Abstract</w:t>
      </w:r>
    </w:p>
    <w:p w14:paraId="3141488F" w14:textId="77777777" w:rsidR="000754BC" w:rsidRDefault="00466837">
      <w:pPr>
        <w:spacing w:after="160" w:line="320" w:lineRule="auto"/>
        <w:jc w:val="both"/>
      </w:pPr>
      <w:r>
        <w:t>Crude oil prices are determined in the short run by the physical balance between supply and demand, with inventories acting as the principal short-run price signal. Producers, refiners, traders, and policymakers therefore spend significant resources reconstructing oil balances from public and commercial data published at multiple resolutions by overlapping agencies. The dominant operational technique — Excel workbooks and Python notebooks that ingest data from several sources, reconcile inconsistencies through hard-coded allocation rules, and balance the result with a residual adjustment column — produces usable numbers but buries inconsistency, hides provenance, and cannot be audited or reused without manual rework.</w:t>
      </w:r>
    </w:p>
    <w:p w14:paraId="3089580A" w14:textId="77777777" w:rsidR="000754BC" w:rsidRDefault="00466837">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2003330E" w14:textId="77777777" w:rsidR="000754BC" w:rsidRDefault="00466837">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35CA5523" w14:textId="77777777" w:rsidR="000754BC" w:rsidRDefault="000754BC">
      <w:pPr>
        <w:spacing w:after="80"/>
      </w:pPr>
    </w:p>
    <w:p w14:paraId="2E30EA45" w14:textId="77777777" w:rsidR="000754BC" w:rsidRDefault="00466837">
      <w:pPr>
        <w:spacing w:after="120" w:line="320" w:lineRule="auto"/>
        <w:jc w:val="both"/>
      </w:pPr>
      <w:r>
        <w:rPr>
          <w:b/>
          <w:bCs/>
        </w:rPr>
        <w:t>Keywords:</w:t>
      </w:r>
      <w:r>
        <w:t xml:space="preserve"> oil balances · crude oil logistics · graph data models · multi-resolution data · mass balance · schema design · linear programming</w:t>
      </w:r>
    </w:p>
    <w:p w14:paraId="259828A4" w14:textId="77777777" w:rsidR="000754BC" w:rsidRPr="00F855CC" w:rsidRDefault="00466837">
      <w:pPr>
        <w:pStyle w:val="Heading1"/>
        <w:pageBreakBefore/>
        <w:spacing w:before="0" w:after="400"/>
        <w:rPr>
          <w:lang w:val="pt-BR"/>
        </w:rPr>
      </w:pPr>
      <w:r w:rsidRPr="00F855CC">
        <w:rPr>
          <w:lang w:val="pt-BR"/>
        </w:rPr>
        <w:lastRenderedPageBreak/>
        <w:t>Resumo</w:t>
      </w:r>
    </w:p>
    <w:p w14:paraId="595BF1AB" w14:textId="77777777" w:rsidR="000754BC" w:rsidRPr="00F855CC" w:rsidRDefault="00466837">
      <w:pPr>
        <w:spacing w:after="160" w:line="320" w:lineRule="auto"/>
        <w:jc w:val="both"/>
        <w:rPr>
          <w:lang w:val="pt-BR"/>
        </w:rPr>
      </w:pPr>
      <w:r w:rsidRPr="00F855CC">
        <w:rPr>
          <w:lang w:val="pt-BR"/>
        </w:rPr>
        <w:t>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37532203" w14:textId="77777777" w:rsidR="000754BC" w:rsidRPr="00F855CC" w:rsidRDefault="00466837">
      <w:pPr>
        <w:spacing w:after="160" w:line="320" w:lineRule="auto"/>
        <w:jc w:val="both"/>
        <w:rPr>
          <w:lang w:val="pt-BR"/>
        </w:rPr>
      </w:pPr>
      <w:r w:rsidRPr="00F855CC">
        <w:rPr>
          <w:lang w:val="pt-BR"/>
        </w:rPr>
        <w:t>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0B4C8E5B" w14:textId="77777777" w:rsidR="000754BC" w:rsidRPr="00F855CC" w:rsidRDefault="00466837">
      <w:pPr>
        <w:spacing w:after="160" w:line="320" w:lineRule="auto"/>
        <w:jc w:val="both"/>
        <w:rPr>
          <w:lang w:val="pt-BR"/>
        </w:rPr>
      </w:pPr>
      <w:r w:rsidRPr="00F855CC">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12FDF48E" w14:textId="77777777" w:rsidR="000754BC" w:rsidRPr="00F855CC" w:rsidRDefault="000754BC">
      <w:pPr>
        <w:spacing w:after="80"/>
        <w:rPr>
          <w:lang w:val="pt-BR"/>
        </w:rPr>
      </w:pPr>
    </w:p>
    <w:p w14:paraId="339BA79B" w14:textId="77777777" w:rsidR="000754BC" w:rsidRPr="00F855CC" w:rsidRDefault="00466837">
      <w:pPr>
        <w:spacing w:after="120" w:line="320" w:lineRule="auto"/>
        <w:jc w:val="both"/>
        <w:rPr>
          <w:lang w:val="pt-BR"/>
        </w:rPr>
      </w:pPr>
      <w:r w:rsidRPr="00F855CC">
        <w:rPr>
          <w:b/>
          <w:bCs/>
          <w:lang w:val="pt-BR"/>
        </w:rPr>
        <w:t>Palavras-chave:</w:t>
      </w:r>
      <w:r w:rsidRPr="00F855CC">
        <w:rPr>
          <w:lang w:val="pt-BR"/>
        </w:rPr>
        <w:t xml:space="preserve"> balanços de petróleo · logística de petróleo bruto · modelos de dados em grafo · dados multi-resolução · balanço de massa · desenho de esquema · programação linear</w:t>
      </w:r>
    </w:p>
    <w:p w14:paraId="7579ABBD" w14:textId="77777777" w:rsidR="000754BC" w:rsidRDefault="00466837">
      <w:pPr>
        <w:pStyle w:val="Heading1"/>
        <w:pageBreakBefore/>
        <w:spacing w:before="0" w:after="400"/>
      </w:pPr>
      <w:r>
        <w:lastRenderedPageBreak/>
        <w:t>Disclosure of Use of Generative Artificial Intelligence</w:t>
      </w:r>
    </w:p>
    <w:p w14:paraId="57BE67F9" w14:textId="77777777" w:rsidR="000754BC" w:rsidRDefault="00466837">
      <w:pPr>
        <w:spacing w:after="160" w:line="320" w:lineRule="auto"/>
        <w:jc w:val="both"/>
      </w:pPr>
      <w:r>
        <w:t>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content, and confirms that the use of these tools is consistent with the institutional policies of NOVA Information Management School and with standards of academic integrity.</w:t>
      </w:r>
    </w:p>
    <w:p w14:paraId="3EA78E1A" w14:textId="77777777" w:rsidR="000754BC" w:rsidRDefault="00466837">
      <w:pPr>
        <w:spacing w:after="160" w:line="320" w:lineRule="auto"/>
        <w:jc w:val="both"/>
      </w:pPr>
      <w:r>
        <w:rPr>
          <w:b/>
          <w:bCs/>
        </w:rPr>
        <w:t xml:space="preserve">Tools used: </w:t>
      </w:r>
      <w:r>
        <w:t>Anthropic Claude (Sonnet and Opus, multiple versions) and OpenAI ChatGPT (GPT-4 and GPT-5 versions).</w:t>
      </w:r>
    </w:p>
    <w:p w14:paraId="3D0362B2" w14:textId="77777777" w:rsidR="000754BC" w:rsidRDefault="00466837">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commit; (iv) summarisation support for the literature review, with the author independently verifying each citation against the cited source.</w:t>
      </w:r>
    </w:p>
    <w:p w14:paraId="45EE2C0B" w14:textId="77777777" w:rsidR="000754BC" w:rsidRDefault="00466837">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5D1C729E" w14:textId="77777777" w:rsidR="000754BC" w:rsidRDefault="00466837">
      <w:pPr>
        <w:pStyle w:val="Heading1"/>
        <w:pageBreakBefore/>
        <w:spacing w:before="0" w:after="400"/>
      </w:pPr>
      <w:r>
        <w:lastRenderedPageBreak/>
        <w:t>Contents</w:t>
      </w:r>
    </w:p>
    <w:p w14:paraId="27660253" w14:textId="77777777" w:rsidR="000754BC" w:rsidRDefault="00466837">
      <w:pPr>
        <w:tabs>
          <w:tab w:val="right" w:leader="dot" w:pos="9260"/>
        </w:tabs>
        <w:spacing w:before="120" w:after="60" w:line="280" w:lineRule="auto"/>
      </w:pPr>
      <w:r>
        <w:rPr>
          <w:b/>
          <w:bCs/>
        </w:rPr>
        <w:t>Acknowledgements</w:t>
      </w:r>
      <w:r>
        <w:rPr>
          <w:b/>
          <w:bCs/>
        </w:rPr>
        <w:tab/>
        <w:t>iii</w:t>
      </w:r>
    </w:p>
    <w:p w14:paraId="0F73E559" w14:textId="77777777" w:rsidR="000754BC" w:rsidRDefault="00466837">
      <w:pPr>
        <w:tabs>
          <w:tab w:val="right" w:leader="dot" w:pos="9260"/>
        </w:tabs>
        <w:spacing w:before="120" w:after="60" w:line="280" w:lineRule="auto"/>
      </w:pPr>
      <w:r>
        <w:rPr>
          <w:b/>
          <w:bCs/>
        </w:rPr>
        <w:t>Abstract</w:t>
      </w:r>
      <w:r>
        <w:rPr>
          <w:b/>
          <w:bCs/>
        </w:rPr>
        <w:tab/>
        <w:t>iv</w:t>
      </w:r>
    </w:p>
    <w:p w14:paraId="6C324DD6" w14:textId="77777777" w:rsidR="000754BC" w:rsidRDefault="00466837">
      <w:pPr>
        <w:tabs>
          <w:tab w:val="right" w:leader="dot" w:pos="9260"/>
        </w:tabs>
        <w:spacing w:before="120" w:after="60" w:line="280" w:lineRule="auto"/>
      </w:pPr>
      <w:proofErr w:type="spellStart"/>
      <w:r>
        <w:rPr>
          <w:b/>
          <w:bCs/>
        </w:rPr>
        <w:t>Resumo</w:t>
      </w:r>
      <w:proofErr w:type="spellEnd"/>
      <w:r>
        <w:rPr>
          <w:b/>
          <w:bCs/>
        </w:rPr>
        <w:tab/>
        <w:t>v</w:t>
      </w:r>
    </w:p>
    <w:p w14:paraId="60E10805" w14:textId="77777777" w:rsidR="000754BC" w:rsidRDefault="00466837">
      <w:pPr>
        <w:tabs>
          <w:tab w:val="right" w:leader="dot" w:pos="9260"/>
        </w:tabs>
        <w:spacing w:before="120" w:after="60" w:line="280" w:lineRule="auto"/>
      </w:pPr>
      <w:r>
        <w:rPr>
          <w:b/>
          <w:bCs/>
        </w:rPr>
        <w:t>Disclosure of Use of Generative Artificial Intelligence</w:t>
      </w:r>
      <w:r>
        <w:rPr>
          <w:b/>
          <w:bCs/>
        </w:rPr>
        <w:tab/>
        <w:t>vi</w:t>
      </w:r>
    </w:p>
    <w:p w14:paraId="33FD9CA1" w14:textId="77777777" w:rsidR="000754BC" w:rsidRDefault="00466837">
      <w:pPr>
        <w:tabs>
          <w:tab w:val="right" w:leader="dot" w:pos="9260"/>
        </w:tabs>
        <w:spacing w:before="120" w:after="60" w:line="280" w:lineRule="auto"/>
      </w:pPr>
      <w:r>
        <w:rPr>
          <w:b/>
          <w:bCs/>
        </w:rPr>
        <w:t>Contents</w:t>
      </w:r>
      <w:r>
        <w:rPr>
          <w:b/>
          <w:bCs/>
        </w:rPr>
        <w:tab/>
        <w:t>vii</w:t>
      </w:r>
    </w:p>
    <w:p w14:paraId="236EAD26" w14:textId="77777777" w:rsidR="000754BC" w:rsidRDefault="00466837">
      <w:pPr>
        <w:tabs>
          <w:tab w:val="right" w:leader="dot" w:pos="9260"/>
        </w:tabs>
        <w:spacing w:before="120" w:after="60" w:line="280" w:lineRule="auto"/>
      </w:pPr>
      <w:r>
        <w:rPr>
          <w:b/>
          <w:bCs/>
        </w:rPr>
        <w:t>List of Figures</w:t>
      </w:r>
      <w:r>
        <w:rPr>
          <w:b/>
          <w:bCs/>
        </w:rPr>
        <w:tab/>
        <w:t>ix</w:t>
      </w:r>
    </w:p>
    <w:p w14:paraId="67F54A6B" w14:textId="77777777" w:rsidR="000754BC" w:rsidRDefault="00466837">
      <w:pPr>
        <w:tabs>
          <w:tab w:val="right" w:leader="dot" w:pos="9260"/>
        </w:tabs>
        <w:spacing w:before="120" w:after="60" w:line="280" w:lineRule="auto"/>
      </w:pPr>
      <w:r>
        <w:rPr>
          <w:b/>
          <w:bCs/>
        </w:rPr>
        <w:t>List of Tables</w:t>
      </w:r>
      <w:r>
        <w:rPr>
          <w:b/>
          <w:bCs/>
        </w:rPr>
        <w:tab/>
        <w:t>x</w:t>
      </w:r>
    </w:p>
    <w:p w14:paraId="4834CCE1" w14:textId="77777777" w:rsidR="000754BC" w:rsidRDefault="00466837">
      <w:pPr>
        <w:tabs>
          <w:tab w:val="right" w:leader="dot" w:pos="9260"/>
        </w:tabs>
        <w:spacing w:before="120" w:after="60" w:line="280" w:lineRule="auto"/>
      </w:pPr>
      <w:r>
        <w:rPr>
          <w:b/>
          <w:bCs/>
        </w:rPr>
        <w:t>Acronyms</w:t>
      </w:r>
      <w:r>
        <w:rPr>
          <w:b/>
          <w:bCs/>
        </w:rPr>
        <w:tab/>
        <w:t>xi</w:t>
      </w:r>
    </w:p>
    <w:p w14:paraId="2CA49DB2" w14:textId="77777777" w:rsidR="000754BC" w:rsidRDefault="000754BC">
      <w:pPr>
        <w:spacing w:after="80"/>
      </w:pPr>
    </w:p>
    <w:p w14:paraId="424273DB" w14:textId="77777777" w:rsidR="000754BC" w:rsidRDefault="00466837">
      <w:pPr>
        <w:tabs>
          <w:tab w:val="right" w:leader="dot" w:pos="9260"/>
        </w:tabs>
        <w:spacing w:before="120" w:after="60" w:line="280" w:lineRule="auto"/>
      </w:pPr>
      <w:r>
        <w:rPr>
          <w:b/>
          <w:bCs/>
        </w:rPr>
        <w:t>1   Introduction</w:t>
      </w:r>
      <w:r>
        <w:rPr>
          <w:b/>
          <w:bCs/>
        </w:rPr>
        <w:tab/>
        <w:t>1</w:t>
      </w:r>
    </w:p>
    <w:p w14:paraId="0A636943" w14:textId="77777777" w:rsidR="000754BC" w:rsidRDefault="00466837">
      <w:pPr>
        <w:tabs>
          <w:tab w:val="right" w:leader="dot" w:pos="9260"/>
        </w:tabs>
        <w:spacing w:before="30" w:after="30" w:line="280" w:lineRule="auto"/>
        <w:ind w:left="360"/>
      </w:pPr>
      <w:r>
        <w:t>1.1   Background and motivation</w:t>
      </w:r>
      <w:r>
        <w:tab/>
        <w:t>1</w:t>
      </w:r>
    </w:p>
    <w:p w14:paraId="22C9D482" w14:textId="77777777" w:rsidR="000754BC" w:rsidRDefault="00466837">
      <w:pPr>
        <w:tabs>
          <w:tab w:val="right" w:leader="dot" w:pos="9260"/>
        </w:tabs>
        <w:spacing w:before="30" w:after="30" w:line="280" w:lineRule="auto"/>
        <w:ind w:left="360"/>
      </w:pPr>
      <w:r>
        <w:t>1.2   Problem statement</w:t>
      </w:r>
      <w:r>
        <w:tab/>
        <w:t>4</w:t>
      </w:r>
    </w:p>
    <w:p w14:paraId="33EA364D" w14:textId="77777777" w:rsidR="000754BC" w:rsidRDefault="00466837">
      <w:pPr>
        <w:tabs>
          <w:tab w:val="right" w:leader="dot" w:pos="9260"/>
        </w:tabs>
        <w:spacing w:before="30" w:after="30" w:line="280" w:lineRule="auto"/>
        <w:ind w:left="360"/>
      </w:pPr>
      <w:r>
        <w:t>1.3   Research objectives</w:t>
      </w:r>
      <w:r>
        <w:tab/>
        <w:t>5</w:t>
      </w:r>
    </w:p>
    <w:p w14:paraId="3B31EEDB" w14:textId="77777777" w:rsidR="000754BC" w:rsidRDefault="00466837">
      <w:pPr>
        <w:tabs>
          <w:tab w:val="right" w:leader="dot" w:pos="9260"/>
        </w:tabs>
        <w:spacing w:before="30" w:after="30" w:line="280" w:lineRule="auto"/>
        <w:ind w:left="360"/>
      </w:pPr>
      <w:r>
        <w:t>1.4   Scope and delimitations</w:t>
      </w:r>
      <w:r>
        <w:tab/>
        <w:t>5</w:t>
      </w:r>
    </w:p>
    <w:p w14:paraId="05A51AF5" w14:textId="77777777" w:rsidR="000754BC" w:rsidRDefault="00466837">
      <w:pPr>
        <w:tabs>
          <w:tab w:val="right" w:leader="dot" w:pos="9260"/>
        </w:tabs>
        <w:spacing w:before="30" w:after="30" w:line="280" w:lineRule="auto"/>
        <w:ind w:left="360"/>
      </w:pPr>
      <w:r>
        <w:t>1.5   Thesis structure</w:t>
      </w:r>
      <w:r>
        <w:tab/>
        <w:t>6</w:t>
      </w:r>
    </w:p>
    <w:p w14:paraId="2A07E2DA" w14:textId="77777777" w:rsidR="000754BC" w:rsidRDefault="00466837">
      <w:pPr>
        <w:tabs>
          <w:tab w:val="right" w:leader="dot" w:pos="9260"/>
        </w:tabs>
        <w:spacing w:before="120" w:after="60" w:line="280" w:lineRule="auto"/>
      </w:pPr>
      <w:r>
        <w:rPr>
          <w:b/>
          <w:bCs/>
        </w:rPr>
        <w:t>2   Current techniques for producing oil balances</w:t>
      </w:r>
      <w:r>
        <w:rPr>
          <w:b/>
          <w:bCs/>
        </w:rPr>
        <w:tab/>
        <w:t>8</w:t>
      </w:r>
    </w:p>
    <w:p w14:paraId="0B96815E" w14:textId="77777777" w:rsidR="000754BC" w:rsidRDefault="00466837">
      <w:pPr>
        <w:tabs>
          <w:tab w:val="right" w:leader="dot" w:pos="9260"/>
        </w:tabs>
        <w:spacing w:before="30" w:after="30" w:line="280" w:lineRule="auto"/>
        <w:ind w:left="360"/>
      </w:pPr>
      <w:r>
        <w:t>2.1   Official statistical balances</w:t>
      </w:r>
      <w:r>
        <w:tab/>
        <w:t>8</w:t>
      </w:r>
    </w:p>
    <w:p w14:paraId="27EDA128" w14:textId="77777777" w:rsidR="000754BC" w:rsidRDefault="00466837">
      <w:pPr>
        <w:tabs>
          <w:tab w:val="right" w:leader="dot" w:pos="9260"/>
        </w:tabs>
        <w:spacing w:before="30" w:after="30" w:line="280" w:lineRule="auto"/>
        <w:ind w:left="360"/>
      </w:pPr>
      <w:r>
        <w:t>2.2   The practitioner spreadsheet workflow</w:t>
      </w:r>
      <w:r>
        <w:tab/>
        <w:t>9</w:t>
      </w:r>
    </w:p>
    <w:p w14:paraId="624C433C" w14:textId="77777777" w:rsidR="000754BC" w:rsidRDefault="00466837">
      <w:pPr>
        <w:tabs>
          <w:tab w:val="right" w:leader="dot" w:pos="9260"/>
        </w:tabs>
        <w:spacing w:before="30" w:after="30" w:line="280" w:lineRule="auto"/>
        <w:ind w:left="360"/>
      </w:pPr>
      <w:r>
        <w:t>2.3   Optimisation models</w:t>
      </w:r>
      <w:r>
        <w:tab/>
        <w:t>10</w:t>
      </w:r>
    </w:p>
    <w:p w14:paraId="22BC4E7C" w14:textId="77777777" w:rsidR="000754BC" w:rsidRDefault="00466837">
      <w:pPr>
        <w:tabs>
          <w:tab w:val="right" w:leader="dot" w:pos="9260"/>
        </w:tabs>
        <w:spacing w:before="30" w:after="30" w:line="280" w:lineRule="auto"/>
        <w:ind w:left="360"/>
      </w:pPr>
      <w:r>
        <w:t>2.4   Graph and machine learning approaches</w:t>
      </w:r>
      <w:r>
        <w:tab/>
        <w:t>10</w:t>
      </w:r>
    </w:p>
    <w:p w14:paraId="2D1B9DED" w14:textId="77777777" w:rsidR="000754BC" w:rsidRDefault="00466837">
      <w:pPr>
        <w:tabs>
          <w:tab w:val="right" w:leader="dot" w:pos="9260"/>
        </w:tabs>
        <w:spacing w:before="30" w:after="30" w:line="280" w:lineRule="auto"/>
        <w:ind w:left="360"/>
      </w:pPr>
      <w:r>
        <w:t>2.5   The gap</w:t>
      </w:r>
      <w:r>
        <w:tab/>
        <w:t>11</w:t>
      </w:r>
    </w:p>
    <w:p w14:paraId="17864D64" w14:textId="77777777" w:rsidR="000754BC" w:rsidRDefault="00466837">
      <w:pPr>
        <w:tabs>
          <w:tab w:val="right" w:leader="dot" w:pos="9260"/>
        </w:tabs>
        <w:spacing w:before="120" w:after="60" w:line="280" w:lineRule="auto"/>
      </w:pPr>
      <w:r>
        <w:rPr>
          <w:b/>
          <w:bCs/>
        </w:rPr>
        <w:t>3   Domain background</w:t>
      </w:r>
      <w:r>
        <w:rPr>
          <w:b/>
          <w:bCs/>
        </w:rPr>
        <w:tab/>
        <w:t>12</w:t>
      </w:r>
    </w:p>
    <w:p w14:paraId="1653A2F6" w14:textId="77777777" w:rsidR="000754BC" w:rsidRDefault="00466837">
      <w:pPr>
        <w:tabs>
          <w:tab w:val="right" w:leader="dot" w:pos="9260"/>
        </w:tabs>
        <w:spacing w:before="30" w:after="30" w:line="280" w:lineRule="auto"/>
        <w:ind w:left="360"/>
      </w:pPr>
      <w:r>
        <w:t>3.1   The U.S. crude oil network</w:t>
      </w:r>
      <w:r>
        <w:tab/>
        <w:t>12</w:t>
      </w:r>
    </w:p>
    <w:p w14:paraId="219F8299" w14:textId="77777777" w:rsidR="000754BC" w:rsidRDefault="00466837">
      <w:pPr>
        <w:tabs>
          <w:tab w:val="right" w:leader="dot" w:pos="9260"/>
        </w:tabs>
        <w:spacing w:before="30" w:after="30" w:line="280" w:lineRule="auto"/>
        <w:ind w:left="360"/>
      </w:pPr>
      <w:r>
        <w:t>3.2   The multi-resolution reporting structure</w:t>
      </w:r>
      <w:r>
        <w:tab/>
        <w:t>13</w:t>
      </w:r>
    </w:p>
    <w:p w14:paraId="7F61E924" w14:textId="77777777" w:rsidR="000754BC" w:rsidRDefault="00466837">
      <w:pPr>
        <w:tabs>
          <w:tab w:val="right" w:leader="dot" w:pos="9260"/>
        </w:tabs>
        <w:spacing w:before="30" w:after="30" w:line="280" w:lineRule="auto"/>
        <w:ind w:left="360"/>
      </w:pPr>
      <w:r>
        <w:t>3.3   What a representation must accommodate</w:t>
      </w:r>
      <w:r>
        <w:tab/>
        <w:t>14</w:t>
      </w:r>
    </w:p>
    <w:p w14:paraId="6A3A07CE" w14:textId="77777777" w:rsidR="000754BC" w:rsidRDefault="00466837">
      <w:pPr>
        <w:tabs>
          <w:tab w:val="right" w:leader="dot" w:pos="9260"/>
        </w:tabs>
        <w:spacing w:before="120" w:after="60" w:line="280" w:lineRule="auto"/>
      </w:pPr>
      <w:r>
        <w:rPr>
          <w:b/>
          <w:bCs/>
        </w:rPr>
        <w:t>4   A graph-and-scenario framework</w:t>
      </w:r>
      <w:r>
        <w:rPr>
          <w:b/>
          <w:bCs/>
        </w:rPr>
        <w:tab/>
        <w:t>16</w:t>
      </w:r>
    </w:p>
    <w:p w14:paraId="4F4A623F" w14:textId="77777777" w:rsidR="000754BC" w:rsidRDefault="00466837">
      <w:pPr>
        <w:tabs>
          <w:tab w:val="right" w:leader="dot" w:pos="9260"/>
        </w:tabs>
        <w:spacing w:before="30" w:after="30" w:line="280" w:lineRule="auto"/>
        <w:ind w:left="360"/>
      </w:pPr>
      <w:r>
        <w:t>4.1   Physical infrastructure is orthogonal to data</w:t>
      </w:r>
      <w:r>
        <w:tab/>
        <w:t>16</w:t>
      </w:r>
    </w:p>
    <w:p w14:paraId="73A7E0C0" w14:textId="77777777" w:rsidR="000754BC" w:rsidRDefault="00466837">
      <w:pPr>
        <w:tabs>
          <w:tab w:val="right" w:leader="dot" w:pos="9260"/>
        </w:tabs>
        <w:spacing w:before="30" w:after="30" w:line="280" w:lineRule="auto"/>
        <w:ind w:left="360"/>
      </w:pPr>
      <w:r>
        <w:t>4.2   Assets are first-class nodes</w:t>
      </w:r>
      <w:r>
        <w:tab/>
        <w:t>17</w:t>
      </w:r>
    </w:p>
    <w:p w14:paraId="0A662C1A" w14:textId="77777777" w:rsidR="000754BC" w:rsidRDefault="00466837">
      <w:pPr>
        <w:tabs>
          <w:tab w:val="right" w:leader="dot" w:pos="9260"/>
        </w:tabs>
        <w:spacing w:before="30" w:after="30" w:line="280" w:lineRule="auto"/>
        <w:ind w:left="360"/>
      </w:pPr>
      <w:r>
        <w:t>4.3   Mass balance with an explicit balancing item</w:t>
      </w:r>
      <w:r>
        <w:tab/>
        <w:t>18</w:t>
      </w:r>
    </w:p>
    <w:p w14:paraId="0CB688C9" w14:textId="77777777" w:rsidR="000754BC" w:rsidRDefault="00466837">
      <w:pPr>
        <w:tabs>
          <w:tab w:val="right" w:leader="dot" w:pos="9260"/>
        </w:tabs>
        <w:spacing w:before="30" w:after="30" w:line="280" w:lineRule="auto"/>
        <w:ind w:left="360"/>
      </w:pPr>
      <w:r>
        <w:t>4.4   Observed or derived: single attribution at the schema level</w:t>
      </w:r>
      <w:r>
        <w:tab/>
        <w:t>18</w:t>
      </w:r>
    </w:p>
    <w:p w14:paraId="51AA485B" w14:textId="77777777" w:rsidR="000754BC" w:rsidRDefault="00466837">
      <w:pPr>
        <w:tabs>
          <w:tab w:val="right" w:leader="dot" w:pos="9260"/>
        </w:tabs>
        <w:spacing w:before="30" w:after="30" w:line="280" w:lineRule="auto"/>
        <w:ind w:left="360"/>
      </w:pPr>
      <w:r>
        <w:t>4.5   Latent variables for unobserved flows</w:t>
      </w:r>
      <w:r>
        <w:tab/>
        <w:t>19</w:t>
      </w:r>
    </w:p>
    <w:p w14:paraId="0CA6B3E3" w14:textId="77777777" w:rsidR="000754BC" w:rsidRDefault="00466837">
      <w:pPr>
        <w:tabs>
          <w:tab w:val="right" w:leader="dot" w:pos="9260"/>
        </w:tabs>
        <w:spacing w:before="30" w:after="30" w:line="280" w:lineRule="auto"/>
        <w:ind w:left="360"/>
      </w:pPr>
      <w:r>
        <w:t>4.6   Multi-resolution data through aggregation views</w:t>
      </w:r>
      <w:r>
        <w:tab/>
        <w:t>20</w:t>
      </w:r>
    </w:p>
    <w:p w14:paraId="724FC35C" w14:textId="77777777" w:rsidR="000754BC" w:rsidRDefault="00466837">
      <w:pPr>
        <w:tabs>
          <w:tab w:val="right" w:leader="dot" w:pos="9260"/>
        </w:tabs>
        <w:spacing w:before="30" w:after="30" w:line="280" w:lineRule="auto"/>
        <w:ind w:left="360"/>
      </w:pPr>
      <w:r>
        <w:lastRenderedPageBreak/>
        <w:t>4.7   What the principles deliver together</w:t>
      </w:r>
      <w:r>
        <w:tab/>
        <w:t>20</w:t>
      </w:r>
    </w:p>
    <w:p w14:paraId="79068D97" w14:textId="77777777" w:rsidR="000754BC" w:rsidRDefault="00466837">
      <w:pPr>
        <w:tabs>
          <w:tab w:val="right" w:leader="dot" w:pos="9260"/>
        </w:tabs>
        <w:spacing w:before="120" w:after="60" w:line="280" w:lineRule="auto"/>
      </w:pPr>
      <w:r>
        <w:rPr>
          <w:b/>
          <w:bCs/>
        </w:rPr>
        <w:t>5   Case study: where the framework is better</w:t>
      </w:r>
      <w:r>
        <w:rPr>
          <w:b/>
          <w:bCs/>
        </w:rPr>
        <w:tab/>
        <w:t>22</w:t>
      </w:r>
    </w:p>
    <w:p w14:paraId="0B72CCB9" w14:textId="77777777" w:rsidR="000754BC" w:rsidRDefault="00466837">
      <w:pPr>
        <w:tabs>
          <w:tab w:val="right" w:leader="dot" w:pos="9260"/>
        </w:tabs>
        <w:spacing w:before="30" w:after="30" w:line="280" w:lineRule="auto"/>
        <w:ind w:left="360"/>
      </w:pPr>
      <w:r>
        <w:t>5.1   Setup</w:t>
      </w:r>
      <w:r>
        <w:tab/>
        <w:t>23</w:t>
      </w:r>
    </w:p>
    <w:p w14:paraId="4E249A37" w14:textId="77777777" w:rsidR="000754BC" w:rsidRDefault="00466837">
      <w:pPr>
        <w:tabs>
          <w:tab w:val="right" w:leader="dot" w:pos="9260"/>
        </w:tabs>
        <w:spacing w:before="30" w:after="30" w:line="280" w:lineRule="auto"/>
        <w:ind w:left="360"/>
      </w:pPr>
      <w:r>
        <w:t>5.2   Steady-state comparison: the PADD 5 in-transit anomaly</w:t>
      </w:r>
      <w:r>
        <w:tab/>
        <w:t>23</w:t>
      </w:r>
    </w:p>
    <w:p w14:paraId="6D3D14FB" w14:textId="77777777" w:rsidR="000754BC" w:rsidRDefault="00466837">
      <w:pPr>
        <w:tabs>
          <w:tab w:val="right" w:leader="dot" w:pos="9260"/>
        </w:tabs>
        <w:spacing w:before="30" w:after="30" w:line="280" w:lineRule="auto"/>
        <w:ind w:left="360"/>
      </w:pPr>
      <w:r>
        <w:t>5.3   Stress-test comparison: Hurricane Harvey, August 2017</w:t>
      </w:r>
      <w:r>
        <w:tab/>
        <w:t>25</w:t>
      </w:r>
    </w:p>
    <w:p>
      <w:pPr>
        <w:tabs>
          <w:tab w:val="right" w:leader="dot" w:pos="9260"/>
        </w:tabs>
        <w:spacing w:before="30" w:after="30" w:line="280" w:lineRule="auto"/>
        <w:ind w:left="360"/>
      </w:pPr>
      <w:r>
        <w:t xml:space="preserve">5.4   Multi-source integration: layering pipeline-flow data on top of EIA aggregates</w:t>
      </w:r>
      <w:r>
        <w:t xml:space="preserve">	26</w:t>
      </w:r>
    </w:p>
    <w:p w14:paraId="5B5ADBB1" w14:textId="77777777" w:rsidR="000754BC" w:rsidRDefault="00466837">
      <w:pPr>
        <w:tabs>
          <w:tab w:val="right" w:leader="dot" w:pos="9260"/>
        </w:tabs>
        <w:spacing w:before="30" w:after="30" w:line="280" w:lineRule="auto"/>
        <w:ind w:left="360"/>
      </w:pPr>
      <w:r>
        <w:t>5.5   The same pattern on other named events</w:t>
      </w:r>
      <w:r>
        <w:tab/>
        <w:t>28</w:t>
      </w:r>
    </w:p>
    <w:p w14:paraId="47AAEE8A" w14:textId="77777777" w:rsidR="000754BC" w:rsidRDefault="00466837">
      <w:pPr>
        <w:tabs>
          <w:tab w:val="right" w:leader="dot" w:pos="9260"/>
        </w:tabs>
        <w:spacing w:before="30" w:after="30" w:line="280" w:lineRule="auto"/>
        <w:ind w:left="360"/>
      </w:pPr>
      <w:r>
        <w:t>5.6   What the comparison establishes</w:t>
      </w:r>
      <w:r>
        <w:tab/>
        <w:t>29</w:t>
      </w:r>
    </w:p>
    <w:p w14:paraId="038E0ACA" w14:textId="77777777" w:rsidR="000754BC" w:rsidRDefault="00466837">
      <w:pPr>
        <w:tabs>
          <w:tab w:val="right" w:leader="dot" w:pos="9260"/>
        </w:tabs>
        <w:spacing w:before="120" w:after="60" w:line="280" w:lineRule="auto"/>
      </w:pPr>
      <w:r>
        <w:rPr>
          <w:b/>
          <w:bCs/>
        </w:rPr>
        <w:t>6   Conclusion and future work</w:t>
      </w:r>
      <w:r>
        <w:rPr>
          <w:b/>
          <w:bCs/>
        </w:rPr>
        <w:tab/>
        <w:t>31</w:t>
      </w:r>
    </w:p>
    <w:p w14:paraId="7B409503" w14:textId="77777777" w:rsidR="000754BC" w:rsidRDefault="00466837">
      <w:pPr>
        <w:tabs>
          <w:tab w:val="right" w:leader="dot" w:pos="9260"/>
        </w:tabs>
        <w:spacing w:before="30" w:after="30" w:line="280" w:lineRule="auto"/>
        <w:ind w:left="360"/>
      </w:pPr>
      <w:r>
        <w:t>6.1   Contribution</w:t>
      </w:r>
      <w:r>
        <w:tab/>
        <w:t>31</w:t>
      </w:r>
    </w:p>
    <w:p w14:paraId="77A185AE" w14:textId="77777777" w:rsidR="000754BC" w:rsidRDefault="00466837">
      <w:pPr>
        <w:tabs>
          <w:tab w:val="right" w:leader="dot" w:pos="9260"/>
        </w:tabs>
        <w:spacing w:before="30" w:after="30" w:line="280" w:lineRule="auto"/>
        <w:ind w:left="360"/>
      </w:pPr>
      <w:r>
        <w:t>6.2   Limitations</w:t>
      </w:r>
      <w:r>
        <w:tab/>
        <w:t>31</w:t>
      </w:r>
    </w:p>
    <w:p w14:paraId="0A924C24" w14:textId="77777777" w:rsidR="000754BC" w:rsidRDefault="00466837">
      <w:pPr>
        <w:tabs>
          <w:tab w:val="right" w:leader="dot" w:pos="9260"/>
        </w:tabs>
        <w:spacing w:before="30" w:after="30" w:line="280" w:lineRule="auto"/>
        <w:ind w:left="360"/>
      </w:pPr>
      <w:r>
        <w:t>6.3   Future work</w:t>
      </w:r>
      <w:r>
        <w:tab/>
        <w:t>32</w:t>
      </w:r>
    </w:p>
    <w:p w14:paraId="297FB228" w14:textId="77777777" w:rsidR="000754BC" w:rsidRDefault="00466837">
      <w:pPr>
        <w:tabs>
          <w:tab w:val="right" w:leader="dot" w:pos="9260"/>
        </w:tabs>
        <w:spacing w:before="30" w:after="30" w:line="280" w:lineRule="auto"/>
        <w:ind w:left="360"/>
      </w:pPr>
      <w:r>
        <w:t>6.4   Closing remarks</w:t>
      </w:r>
      <w:r>
        <w:tab/>
        <w:t>32</w:t>
      </w:r>
    </w:p>
    <w:p w14:paraId="22E28166" w14:textId="77777777" w:rsidR="000754BC" w:rsidRDefault="00466837">
      <w:pPr>
        <w:tabs>
          <w:tab w:val="right" w:leader="dot" w:pos="9260"/>
        </w:tabs>
        <w:spacing w:before="120" w:after="60" w:line="280" w:lineRule="auto"/>
      </w:pPr>
      <w:r>
        <w:rPr>
          <w:b/>
          <w:bCs/>
        </w:rPr>
        <w:t>References</w:t>
      </w:r>
      <w:r>
        <w:rPr>
          <w:b/>
          <w:bCs/>
        </w:rPr>
        <w:tab/>
        <w:t>34</w:t>
      </w:r>
    </w:p>
    <w:p w14:paraId="668AE9DD" w14:textId="77777777" w:rsidR="000754BC" w:rsidRDefault="000754BC">
      <w:pPr>
        <w:spacing w:after="80"/>
      </w:pPr>
    </w:p>
    <w:p w14:paraId="7A3AABE2" w14:textId="77777777" w:rsidR="000754BC" w:rsidRDefault="00466837">
      <w:pPr>
        <w:tabs>
          <w:tab w:val="right" w:leader="dot" w:pos="9260"/>
        </w:tabs>
        <w:spacing w:before="120" w:after="60" w:line="280" w:lineRule="auto"/>
      </w:pPr>
      <w:r>
        <w:rPr>
          <w:b/>
          <w:bCs/>
        </w:rPr>
        <w:t>Annex A — Implementation</w:t>
      </w:r>
      <w:r>
        <w:rPr>
          <w:b/>
          <w:bCs/>
        </w:rPr>
        <w:tab/>
        <w:t>37</w:t>
      </w:r>
    </w:p>
    <w:p w14:paraId="37E0ECD2" w14:textId="77777777" w:rsidR="000754BC" w:rsidRDefault="00466837">
      <w:pPr>
        <w:tabs>
          <w:tab w:val="right" w:leader="dot" w:pos="9260"/>
        </w:tabs>
        <w:spacing w:before="30" w:after="30" w:line="280" w:lineRule="auto"/>
        <w:ind w:left="360"/>
      </w:pPr>
      <w:r>
        <w:t>A.1   Schema</w:t>
      </w:r>
      <w:r>
        <w:tab/>
        <w:t>37</w:t>
      </w:r>
    </w:p>
    <w:p w14:paraId="4AEA0789" w14:textId="77777777" w:rsidR="000754BC" w:rsidRDefault="00466837">
      <w:pPr>
        <w:tabs>
          <w:tab w:val="right" w:leader="dot" w:pos="9260"/>
        </w:tabs>
        <w:spacing w:before="30" w:after="30" w:line="280" w:lineRule="auto"/>
        <w:ind w:left="360"/>
      </w:pPr>
      <w:r>
        <w:t>A.2   The starter U.S. crude oil graph</w:t>
      </w:r>
      <w:r>
        <w:tab/>
        <w:t>37</w:t>
      </w:r>
    </w:p>
    <w:p w14:paraId="0F2FE50B" w14:textId="77777777" w:rsidR="000754BC" w:rsidRDefault="00466837">
      <w:pPr>
        <w:tabs>
          <w:tab w:val="right" w:leader="dot" w:pos="9260"/>
        </w:tabs>
        <w:spacing w:before="30" w:after="30" w:line="280" w:lineRule="auto"/>
        <w:ind w:left="360"/>
      </w:pPr>
      <w:r>
        <w:t>A.3   The resolver</w:t>
      </w:r>
      <w:r>
        <w:tab/>
        <w:t>39</w:t>
      </w:r>
    </w:p>
    <w:p w14:paraId="3B729B68" w14:textId="77777777" w:rsidR="000754BC" w:rsidRDefault="00466837">
      <w:pPr>
        <w:tabs>
          <w:tab w:val="right" w:leader="dot" w:pos="9260"/>
        </w:tabs>
        <w:spacing w:before="30" w:after="30" w:line="280" w:lineRule="auto"/>
        <w:ind w:left="360"/>
      </w:pPr>
      <w:r>
        <w:t>A.4   Consistency properties demonstrated on the live system</w:t>
      </w:r>
      <w:r>
        <w:tab/>
        <w:t>39</w:t>
      </w:r>
    </w:p>
    <w:p w14:paraId="36C0B867" w14:textId="77777777" w:rsidR="000754BC" w:rsidRDefault="00466837">
      <w:pPr>
        <w:tabs>
          <w:tab w:val="right" w:leader="dot" w:pos="9260"/>
        </w:tabs>
        <w:spacing w:before="120" w:after="60" w:line="280" w:lineRule="auto"/>
      </w:pPr>
      <w:r>
        <w:rPr>
          <w:b/>
          <w:bCs/>
        </w:rPr>
        <w:t>Annex B — Variable catalogue and starter scenario inventory</w:t>
      </w:r>
      <w:r>
        <w:rPr>
          <w:b/>
          <w:bCs/>
        </w:rPr>
        <w:tab/>
        <w:t>41</w:t>
      </w:r>
    </w:p>
    <w:p w14:paraId="1A6F162C" w14:textId="77777777" w:rsidR="000754BC" w:rsidRDefault="00466837">
      <w:pPr>
        <w:tabs>
          <w:tab w:val="right" w:leader="dot" w:pos="9260"/>
        </w:tabs>
        <w:spacing w:before="30" w:after="30" w:line="280" w:lineRule="auto"/>
        <w:ind w:left="360"/>
      </w:pPr>
      <w:r>
        <w:t>B.1   Variable types</w:t>
      </w:r>
      <w:r>
        <w:tab/>
        <w:t>41</w:t>
      </w:r>
    </w:p>
    <w:p w14:paraId="32B245CA" w14:textId="77777777" w:rsidR="000754BC" w:rsidRDefault="00466837">
      <w:pPr>
        <w:tabs>
          <w:tab w:val="right" w:leader="dot" w:pos="9260"/>
        </w:tabs>
        <w:spacing w:before="30" w:after="30" w:line="280" w:lineRule="auto"/>
        <w:ind w:left="360"/>
      </w:pPr>
      <w:r>
        <w:t>B.2   Authoritative bindings by subsystem</w:t>
      </w:r>
      <w:r>
        <w:tab/>
        <w:t>41</w:t>
      </w:r>
    </w:p>
    <w:p w14:paraId="7C2C2BDF" w14:textId="77777777" w:rsidR="000754BC" w:rsidRDefault="00466837">
      <w:pPr>
        <w:tabs>
          <w:tab w:val="right" w:leader="dot" w:pos="9260"/>
        </w:tabs>
        <w:spacing w:before="30" w:after="30" w:line="280" w:lineRule="auto"/>
        <w:ind w:left="360"/>
      </w:pPr>
      <w:r>
        <w:t>B.3   Latent variables by location</w:t>
      </w:r>
      <w:r>
        <w:tab/>
        <w:t>42</w:t>
      </w:r>
    </w:p>
    <w:p w14:paraId="459C13E1" w14:textId="77777777" w:rsidR="000754BC" w:rsidRDefault="00466837">
      <w:pPr>
        <w:tabs>
          <w:tab w:val="right" w:leader="dot" w:pos="9260"/>
        </w:tabs>
        <w:spacing w:before="120" w:after="60" w:line="280" w:lineRule="auto"/>
      </w:pPr>
      <w:r>
        <w:rPr>
          <w:b/>
          <w:bCs/>
        </w:rPr>
        <w:t>Annex C — Graph neural networks: a primer</w:t>
      </w:r>
      <w:r>
        <w:rPr>
          <w:b/>
          <w:bCs/>
        </w:rPr>
        <w:tab/>
        <w:t>43</w:t>
      </w:r>
    </w:p>
    <w:p w14:paraId="0FB380F9" w14:textId="77777777" w:rsidR="000754BC" w:rsidRDefault="00466837">
      <w:pPr>
        <w:tabs>
          <w:tab w:val="right" w:leader="dot" w:pos="9260"/>
        </w:tabs>
        <w:spacing w:before="30" w:after="30" w:line="280" w:lineRule="auto"/>
        <w:ind w:left="360"/>
      </w:pPr>
      <w:r>
        <w:t>C.1   Node embeddings and message passing</w:t>
      </w:r>
      <w:r>
        <w:tab/>
        <w:t>43</w:t>
      </w:r>
    </w:p>
    <w:p w14:paraId="746788F3" w14:textId="77777777" w:rsidR="000754BC" w:rsidRDefault="00466837">
      <w:pPr>
        <w:tabs>
          <w:tab w:val="right" w:leader="dot" w:pos="9260"/>
        </w:tabs>
        <w:spacing w:before="30" w:after="30" w:line="280" w:lineRule="auto"/>
        <w:ind w:left="360"/>
      </w:pPr>
      <w:r>
        <w:t>C.2   Graph convolutional networks (GCN)</w:t>
      </w:r>
      <w:r>
        <w:tab/>
        <w:t>43</w:t>
      </w:r>
    </w:p>
    <w:p w14:paraId="42FDD0D5" w14:textId="77777777" w:rsidR="000754BC" w:rsidRDefault="00466837">
      <w:pPr>
        <w:tabs>
          <w:tab w:val="right" w:leader="dot" w:pos="9260"/>
        </w:tabs>
        <w:spacing w:before="30" w:after="30" w:line="280" w:lineRule="auto"/>
        <w:ind w:left="360"/>
      </w:pPr>
      <w:r>
        <w:t>C.3   Temporal extensions and hybrid architectures</w:t>
      </w:r>
      <w:r>
        <w:tab/>
        <w:t>43</w:t>
      </w:r>
    </w:p>
    <w:p w14:paraId="1E414D47" w14:textId="77777777" w:rsidR="000754BC" w:rsidRDefault="00466837">
      <w:pPr>
        <w:tabs>
          <w:tab w:val="right" w:leader="dot" w:pos="9260"/>
        </w:tabs>
        <w:spacing w:before="30" w:after="30" w:line="280" w:lineRule="auto"/>
        <w:ind w:left="360"/>
      </w:pPr>
      <w:r>
        <w:t>C.4   Why the framework is GNN-ready</w:t>
      </w:r>
      <w:r>
        <w:tab/>
        <w:t>44</w:t>
      </w:r>
    </w:p>
    <w:p w14:paraId="4A3E64B9" w14:textId="77777777" w:rsidR="000754BC" w:rsidRDefault="00466837">
      <w:pPr>
        <w:pStyle w:val="Heading1"/>
        <w:pageBreakBefore/>
        <w:spacing w:before="0" w:after="400"/>
      </w:pPr>
      <w:r>
        <w:lastRenderedPageBreak/>
        <w:t>List of Figures</w:t>
      </w:r>
    </w:p>
    <w:p w14:paraId="56AAF56E" w14:textId="77777777" w:rsidR="000754BC" w:rsidRDefault="00466837">
      <w:pPr>
        <w:tabs>
          <w:tab w:val="right" w:leader="dot" w:pos="9260"/>
        </w:tabs>
        <w:spacing w:before="120" w:after="60" w:line="280" w:lineRule="auto"/>
      </w:pPr>
      <w:r>
        <w:rPr>
          <w:b/>
          <w:bCs/>
        </w:rPr>
        <w:t>Figure 1.1   The crude oil physical supply chain</w:t>
      </w:r>
      <w:r>
        <w:rPr>
          <w:b/>
          <w:bCs/>
        </w:rPr>
        <w:tab/>
        <w:t>1</w:t>
      </w:r>
    </w:p>
    <w:p w14:paraId="77967033" w14:textId="77777777" w:rsidR="000754BC" w:rsidRDefault="00466837">
      <w:pPr>
        <w:tabs>
          <w:tab w:val="right" w:leader="dot" w:pos="9260"/>
        </w:tabs>
        <w:spacing w:before="120" w:after="60" w:line="280" w:lineRule="auto"/>
      </w:pPr>
      <w:r>
        <w:rPr>
          <w:b/>
          <w:bCs/>
        </w:rPr>
        <w:t>Figure 3.1   U.S. crude oil transport network as instantiated in the framework</w:t>
      </w:r>
      <w:r>
        <w:rPr>
          <w:b/>
          <w:bCs/>
        </w:rPr>
        <w:tab/>
        <w:t>13</w:t>
      </w:r>
    </w:p>
    <w:p w14:paraId="615B3C4D" w14:textId="77777777" w:rsidR="000754BC" w:rsidRDefault="00466837">
      <w:pPr>
        <w:tabs>
          <w:tab w:val="right" w:leader="dot" w:pos="9260"/>
        </w:tabs>
        <w:spacing w:before="120" w:after="60" w:line="280" w:lineRule="auto"/>
      </w:pPr>
      <w:r>
        <w:rPr>
          <w:b/>
          <w:bCs/>
        </w:rPr>
        <w:t xml:space="preserve">Figure 4.1   The </w:t>
      </w:r>
      <w:proofErr w:type="spellStart"/>
      <w:r>
        <w:rPr>
          <w:b/>
          <w:bCs/>
        </w:rPr>
        <w:t>oil_network</w:t>
      </w:r>
      <w:proofErr w:type="spellEnd"/>
      <w:r>
        <w:rPr>
          <w:b/>
          <w:bCs/>
        </w:rPr>
        <w:t xml:space="preserve"> data model as enforced by the schema</w:t>
      </w:r>
      <w:r>
        <w:rPr>
          <w:b/>
          <w:bCs/>
        </w:rPr>
        <w:tab/>
        <w:t>17</w:t>
      </w:r>
    </w:p>
    <w:p w14:paraId="042545D8" w14:textId="77777777" w:rsidR="000754BC" w:rsidRDefault="00466837">
      <w:pPr>
        <w:pStyle w:val="Heading1"/>
        <w:pageBreakBefore/>
        <w:spacing w:before="0" w:after="400"/>
      </w:pPr>
      <w:r>
        <w:lastRenderedPageBreak/>
        <w:t>List of Tables</w:t>
      </w:r>
    </w:p>
    <w:p w14:paraId="24F52A37" w14:textId="77777777" w:rsidR="000754BC" w:rsidRDefault="00466837">
      <w:pPr>
        <w:tabs>
          <w:tab w:val="right" w:leader="dot" w:pos="9260"/>
        </w:tabs>
        <w:spacing w:before="120" w:after="60" w:line="280" w:lineRule="auto"/>
      </w:pPr>
      <w:r>
        <w:rPr>
          <w:b/>
          <w:bCs/>
        </w:rPr>
        <w:t>Table 3.1   Principal balance components published by EIA at multiple resolutions</w:t>
      </w:r>
      <w:r>
        <w:rPr>
          <w:b/>
          <w:bCs/>
        </w:rPr>
        <w:tab/>
        <w:t>14</w:t>
      </w:r>
    </w:p>
    <w:p w14:paraId="6C61430A" w14:textId="77777777" w:rsidR="000754BC" w:rsidRDefault="00466837">
      <w:pPr>
        <w:tabs>
          <w:tab w:val="right" w:leader="dot" w:pos="9260"/>
        </w:tabs>
        <w:spacing w:before="120" w:after="60" w:line="280" w:lineRule="auto"/>
      </w:pPr>
      <w:r>
        <w:rPr>
          <w:b/>
          <w:bCs/>
        </w:rPr>
        <w:t>Table 5.1   PADD 5 stock identity, representative month</w:t>
      </w:r>
      <w:r>
        <w:rPr>
          <w:b/>
          <w:bCs/>
        </w:rPr>
        <w:tab/>
        <w:t>23</w:t>
      </w:r>
    </w:p>
    <w:p w14:paraId="6A55C646" w14:textId="77777777" w:rsidR="000754BC" w:rsidRDefault="00466837">
      <w:pPr>
        <w:tabs>
          <w:tab w:val="right" w:leader="dot" w:pos="9260"/>
        </w:tabs>
        <w:spacing w:before="120" w:after="60" w:line="280" w:lineRule="auto"/>
      </w:pPr>
      <w:r>
        <w:rPr>
          <w:b/>
          <w:bCs/>
        </w:rPr>
        <w:t>Table 5.2   PADD 3 monthly balance, August 2017</w:t>
      </w:r>
      <w:r>
        <w:rPr>
          <w:b/>
          <w:bCs/>
        </w:rPr>
        <w:tab/>
        <w:t>24</w:t>
      </w:r>
    </w:p>
    <w:p>
      <w:pPr>
        <w:tabs>
          <w:tab w:val="right" w:leader="dot" w:pos="9260"/>
        </w:tabs>
        <w:spacing w:before="120" w:after="60" w:line="280" w:lineRule="auto"/>
      </w:pPr>
      <w:r>
        <w:rPr>
          <w:b/>
        </w:rPr>
        <w:t xml:space="preserve">Table 5.3   Layering Genscape pipeline-flow data on top of EIA monthly aggregates for PADD 2</w:t>
      </w:r>
      <w:r>
        <w:t xml:space="preserve">	26</w:t>
      </w:r>
    </w:p>
    <w:p w14:paraId="77A45E24" w14:textId="77777777" w:rsidR="000754BC" w:rsidRDefault="00466837">
      <w:pPr>
        <w:tabs>
          <w:tab w:val="right" w:leader="dot" w:pos="9260"/>
        </w:tabs>
        <w:spacing w:before="120" w:after="60" w:line="280" w:lineRule="auto"/>
      </w:pPr>
      <w:r>
        <w:rPr>
          <w:b/>
          <w:bCs/>
        </w:rPr>
        <w:t>Table 5.4   Absolute value of B at the USA aggregate around named disruption events</w:t>
      </w:r>
      <w:r>
        <w:rPr>
          <w:b/>
          <w:bCs/>
        </w:rPr>
        <w:tab/>
        <w:t>28</w:t>
      </w:r>
    </w:p>
    <w:p w14:paraId="77BC8ECD" w14:textId="77777777" w:rsidR="000754BC" w:rsidRDefault="00466837">
      <w:pPr>
        <w:tabs>
          <w:tab w:val="right" w:leader="dot" w:pos="9260"/>
        </w:tabs>
        <w:spacing w:before="120" w:after="60" w:line="280" w:lineRule="auto"/>
      </w:pPr>
      <w:r>
        <w:rPr>
          <w:b/>
          <w:bCs/>
        </w:rPr>
        <w:t>Table A.1   Node inventory under the active scenario, by class and subtype</w:t>
      </w:r>
      <w:r>
        <w:rPr>
          <w:b/>
          <w:bCs/>
        </w:rPr>
        <w:tab/>
        <w:t>32</w:t>
      </w:r>
    </w:p>
    <w:p w14:paraId="17BF34E7" w14:textId="77777777" w:rsidR="000754BC" w:rsidRDefault="00466837">
      <w:pPr>
        <w:tabs>
          <w:tab w:val="right" w:leader="dot" w:pos="9260"/>
        </w:tabs>
        <w:spacing w:before="120" w:after="60" w:line="280" w:lineRule="auto"/>
      </w:pPr>
      <w:r>
        <w:rPr>
          <w:b/>
          <w:bCs/>
        </w:rPr>
        <w:t>Table A.2   Consistency audits and their results on the live system</w:t>
      </w:r>
      <w:r>
        <w:rPr>
          <w:b/>
          <w:bCs/>
        </w:rPr>
        <w:tab/>
        <w:t>34</w:t>
      </w:r>
    </w:p>
    <w:p w14:paraId="1D5D4116" w14:textId="77777777" w:rsidR="000754BC" w:rsidRDefault="00466837">
      <w:pPr>
        <w:tabs>
          <w:tab w:val="right" w:leader="dot" w:pos="9260"/>
        </w:tabs>
        <w:spacing w:before="120" w:after="60" w:line="280" w:lineRule="auto"/>
      </w:pPr>
      <w:r>
        <w:rPr>
          <w:b/>
          <w:bCs/>
        </w:rPr>
        <w:t>Table B.1   Variable types in the active scenario</w:t>
      </w:r>
      <w:r>
        <w:rPr>
          <w:b/>
          <w:bCs/>
        </w:rPr>
        <w:tab/>
        <w:t>35</w:t>
      </w:r>
    </w:p>
    <w:p w14:paraId="1D96A131" w14:textId="77777777" w:rsidR="000754BC" w:rsidRDefault="00466837">
      <w:pPr>
        <w:tabs>
          <w:tab w:val="right" w:leader="dot" w:pos="9260"/>
        </w:tabs>
        <w:spacing w:before="120" w:after="60" w:line="280" w:lineRule="auto"/>
      </w:pPr>
      <w:r>
        <w:rPr>
          <w:b/>
          <w:bCs/>
        </w:rPr>
        <w:t>Table B.2   Authoritative time series bindings by subsystem</w:t>
      </w:r>
      <w:r>
        <w:rPr>
          <w:b/>
          <w:bCs/>
        </w:rPr>
        <w:tab/>
        <w:t>36</w:t>
      </w:r>
    </w:p>
    <w:p w14:paraId="36B2911E" w14:textId="77777777" w:rsidR="000754BC" w:rsidRDefault="00466837">
      <w:pPr>
        <w:tabs>
          <w:tab w:val="right" w:leader="dot" w:pos="9260"/>
        </w:tabs>
        <w:spacing w:before="120" w:after="60" w:line="280" w:lineRule="auto"/>
      </w:pPr>
      <w:r>
        <w:rPr>
          <w:b/>
          <w:bCs/>
        </w:rPr>
        <w:t>Table B.3   Latent variables under the active scenario, by junction</w:t>
      </w:r>
      <w:r>
        <w:rPr>
          <w:b/>
          <w:bCs/>
        </w:rPr>
        <w:tab/>
        <w:t>36</w:t>
      </w:r>
    </w:p>
    <w:p w14:paraId="7B760E33" w14:textId="77777777" w:rsidR="000754BC" w:rsidRDefault="00466837">
      <w:pPr>
        <w:pStyle w:val="Heading1"/>
        <w:pageBreakBefore/>
        <w:spacing w:before="0" w:after="400"/>
      </w:pPr>
      <w:r>
        <w:lastRenderedPageBreak/>
        <w:t>Acronyms</w:t>
      </w:r>
    </w:p>
    <w:p w14:paraId="7B0BC6B7" w14:textId="77777777" w:rsidR="000754BC" w:rsidRDefault="00466837">
      <w:pPr>
        <w:tabs>
          <w:tab w:val="left" w:pos="1800"/>
        </w:tabs>
        <w:spacing w:before="30" w:after="30" w:line="280" w:lineRule="auto"/>
      </w:pPr>
      <w:r>
        <w:rPr>
          <w:b/>
          <w:bCs/>
        </w:rPr>
        <w:t>AIS</w:t>
      </w:r>
      <w:r>
        <w:tab/>
        <w:t>Automatic Identification System (vessel tracking)</w:t>
      </w:r>
    </w:p>
    <w:p w14:paraId="0DD354FE" w14:textId="77777777" w:rsidR="000754BC" w:rsidRDefault="00466837">
      <w:pPr>
        <w:tabs>
          <w:tab w:val="left" w:pos="1800"/>
        </w:tabs>
        <w:spacing w:before="30" w:after="30" w:line="280" w:lineRule="auto"/>
      </w:pPr>
      <w:r>
        <w:rPr>
          <w:b/>
          <w:bCs/>
        </w:rPr>
        <w:t>API</w:t>
      </w:r>
      <w:r>
        <w:tab/>
        <w:t>American Petroleum Institute (crude grade gravity scale)</w:t>
      </w:r>
    </w:p>
    <w:p w14:paraId="7F704725" w14:textId="77777777" w:rsidR="000754BC" w:rsidRDefault="00466837">
      <w:pPr>
        <w:tabs>
          <w:tab w:val="left" w:pos="1800"/>
        </w:tabs>
        <w:spacing w:before="30" w:after="30" w:line="280" w:lineRule="auto"/>
      </w:pPr>
      <w:r>
        <w:rPr>
          <w:b/>
          <w:bCs/>
        </w:rPr>
        <w:t>ARIMA</w:t>
      </w:r>
      <w:r>
        <w:tab/>
      </w:r>
      <w:proofErr w:type="spellStart"/>
      <w:r>
        <w:t>AutoRegressive</w:t>
      </w:r>
      <w:proofErr w:type="spellEnd"/>
      <w:r>
        <w:t xml:space="preserve"> Integrated Moving Average</w:t>
      </w:r>
    </w:p>
    <w:p w14:paraId="11666376" w14:textId="77777777" w:rsidR="000754BC" w:rsidRDefault="00466837">
      <w:pPr>
        <w:tabs>
          <w:tab w:val="left" w:pos="1800"/>
        </w:tabs>
        <w:spacing w:before="30" w:after="30" w:line="280" w:lineRule="auto"/>
      </w:pPr>
      <w:r>
        <w:rPr>
          <w:b/>
          <w:bCs/>
        </w:rPr>
        <w:t>DCRNN</w:t>
      </w:r>
      <w:r>
        <w:tab/>
        <w:t>Diffusion Convolutional Recurrent Neural Network</w:t>
      </w:r>
    </w:p>
    <w:p w14:paraId="200253A7" w14:textId="77777777" w:rsidR="000754BC" w:rsidRDefault="00466837">
      <w:pPr>
        <w:tabs>
          <w:tab w:val="left" w:pos="1800"/>
        </w:tabs>
        <w:spacing w:before="30" w:after="30" w:line="280" w:lineRule="auto"/>
      </w:pPr>
      <w:r>
        <w:rPr>
          <w:b/>
          <w:bCs/>
        </w:rPr>
        <w:t>EIA</w:t>
      </w:r>
      <w:r>
        <w:tab/>
        <w:t>U.S. Energy Information Administration</w:t>
      </w:r>
    </w:p>
    <w:p w14:paraId="144FE079" w14:textId="77777777" w:rsidR="000754BC" w:rsidRDefault="00466837">
      <w:pPr>
        <w:tabs>
          <w:tab w:val="left" w:pos="1800"/>
        </w:tabs>
        <w:spacing w:before="30" w:after="30" w:line="280" w:lineRule="auto"/>
      </w:pPr>
      <w:r>
        <w:rPr>
          <w:b/>
          <w:bCs/>
        </w:rPr>
        <w:t>FERC</w:t>
      </w:r>
      <w:r>
        <w:tab/>
        <w:t>Federal Energy Regulatory Commission</w:t>
      </w:r>
    </w:p>
    <w:p w14:paraId="57633B47" w14:textId="77777777" w:rsidR="000754BC" w:rsidRDefault="00466837">
      <w:pPr>
        <w:tabs>
          <w:tab w:val="left" w:pos="1800"/>
        </w:tabs>
        <w:spacing w:before="30" w:after="30" w:line="280" w:lineRule="auto"/>
      </w:pPr>
      <w:r>
        <w:rPr>
          <w:b/>
          <w:bCs/>
        </w:rPr>
        <w:t>GAT</w:t>
      </w:r>
      <w:r>
        <w:tab/>
        <w:t>Graph Attention Network</w:t>
      </w:r>
    </w:p>
    <w:p w14:paraId="14E5EAE9" w14:textId="77777777" w:rsidR="000754BC" w:rsidRDefault="00466837">
      <w:pPr>
        <w:tabs>
          <w:tab w:val="left" w:pos="1800"/>
        </w:tabs>
        <w:spacing w:before="30" w:after="30" w:line="280" w:lineRule="auto"/>
      </w:pPr>
      <w:r>
        <w:rPr>
          <w:b/>
          <w:bCs/>
        </w:rPr>
        <w:t>GCN</w:t>
      </w:r>
      <w:r>
        <w:tab/>
        <w:t>Graph Convolutional Network</w:t>
      </w:r>
    </w:p>
    <w:p w14:paraId="5371B77F" w14:textId="77777777" w:rsidR="000754BC" w:rsidRDefault="00466837">
      <w:pPr>
        <w:tabs>
          <w:tab w:val="left" w:pos="1800"/>
        </w:tabs>
        <w:spacing w:before="30" w:after="30" w:line="280" w:lineRule="auto"/>
      </w:pPr>
      <w:r>
        <w:rPr>
          <w:b/>
          <w:bCs/>
        </w:rPr>
        <w:t>GNN</w:t>
      </w:r>
      <w:r>
        <w:tab/>
        <w:t>Graph Neural Network</w:t>
      </w:r>
    </w:p>
    <w:p w14:paraId="4C996E95" w14:textId="77777777" w:rsidR="000754BC" w:rsidRDefault="00466837">
      <w:pPr>
        <w:tabs>
          <w:tab w:val="left" w:pos="1800"/>
        </w:tabs>
        <w:spacing w:before="30" w:after="30" w:line="280" w:lineRule="auto"/>
      </w:pPr>
      <w:r>
        <w:rPr>
          <w:b/>
          <w:bCs/>
        </w:rPr>
        <w:t>IEA</w:t>
      </w:r>
      <w:r>
        <w:tab/>
        <w:t>International Energy Agency</w:t>
      </w:r>
    </w:p>
    <w:p w14:paraId="3534361A" w14:textId="77777777" w:rsidR="000754BC" w:rsidRDefault="00466837">
      <w:pPr>
        <w:tabs>
          <w:tab w:val="left" w:pos="1800"/>
        </w:tabs>
        <w:spacing w:before="30" w:after="30" w:line="280" w:lineRule="auto"/>
      </w:pPr>
      <w:proofErr w:type="spellStart"/>
      <w:r>
        <w:rPr>
          <w:b/>
          <w:bCs/>
        </w:rPr>
        <w:t>kbbl</w:t>
      </w:r>
      <w:proofErr w:type="spellEnd"/>
      <w:r>
        <w:tab/>
        <w:t>Thousand barrels</w:t>
      </w:r>
    </w:p>
    <w:p w14:paraId="2F0C5378" w14:textId="77777777" w:rsidR="000754BC" w:rsidRDefault="00466837">
      <w:pPr>
        <w:tabs>
          <w:tab w:val="left" w:pos="1800"/>
        </w:tabs>
        <w:spacing w:before="30" w:after="30" w:line="280" w:lineRule="auto"/>
      </w:pPr>
      <w:proofErr w:type="spellStart"/>
      <w:r>
        <w:rPr>
          <w:b/>
          <w:bCs/>
        </w:rPr>
        <w:t>kbd</w:t>
      </w:r>
      <w:proofErr w:type="spellEnd"/>
      <w:r>
        <w:tab/>
        <w:t>Thousand barrels per day</w:t>
      </w:r>
    </w:p>
    <w:p w14:paraId="06EAFC23" w14:textId="77777777" w:rsidR="000754BC" w:rsidRDefault="00466837">
      <w:pPr>
        <w:tabs>
          <w:tab w:val="left" w:pos="1800"/>
        </w:tabs>
        <w:spacing w:before="30" w:after="30" w:line="280" w:lineRule="auto"/>
      </w:pPr>
      <w:r>
        <w:rPr>
          <w:b/>
          <w:bCs/>
        </w:rPr>
        <w:t>LOCF</w:t>
      </w:r>
      <w:r>
        <w:tab/>
        <w:t>Last-Observation-Carried-Forward</w:t>
      </w:r>
    </w:p>
    <w:p w14:paraId="7FD78083" w14:textId="77777777" w:rsidR="000754BC" w:rsidRDefault="00466837">
      <w:pPr>
        <w:tabs>
          <w:tab w:val="left" w:pos="1800"/>
        </w:tabs>
        <w:spacing w:before="30" w:after="30" w:line="280" w:lineRule="auto"/>
      </w:pPr>
      <w:r>
        <w:rPr>
          <w:b/>
          <w:bCs/>
        </w:rPr>
        <w:t>LOOP</w:t>
      </w:r>
      <w:r>
        <w:tab/>
        <w:t>Louisiana Offshore Oil Port</w:t>
      </w:r>
    </w:p>
    <w:p w14:paraId="096A0B78" w14:textId="77777777" w:rsidR="000754BC" w:rsidRDefault="00466837">
      <w:pPr>
        <w:tabs>
          <w:tab w:val="left" w:pos="1800"/>
        </w:tabs>
        <w:spacing w:before="30" w:after="30" w:line="280" w:lineRule="auto"/>
      </w:pPr>
      <w:r>
        <w:rPr>
          <w:b/>
          <w:bCs/>
        </w:rPr>
        <w:t>LP</w:t>
      </w:r>
      <w:r>
        <w:tab/>
        <w:t>Linear Programming</w:t>
      </w:r>
    </w:p>
    <w:p w14:paraId="4446A108" w14:textId="77777777" w:rsidR="000754BC" w:rsidRDefault="00466837">
      <w:pPr>
        <w:tabs>
          <w:tab w:val="left" w:pos="1800"/>
        </w:tabs>
        <w:spacing w:before="30" w:after="30" w:line="280" w:lineRule="auto"/>
      </w:pPr>
      <w:r>
        <w:rPr>
          <w:b/>
          <w:bCs/>
        </w:rPr>
        <w:t>mbd</w:t>
      </w:r>
      <w:r>
        <w:tab/>
        <w:t>Million barrels per day</w:t>
      </w:r>
    </w:p>
    <w:p w14:paraId="649C90B6" w14:textId="77777777" w:rsidR="000754BC" w:rsidRDefault="00466837">
      <w:pPr>
        <w:tabs>
          <w:tab w:val="left" w:pos="1800"/>
        </w:tabs>
        <w:spacing w:before="30" w:after="30" w:line="280" w:lineRule="auto"/>
      </w:pPr>
      <w:proofErr w:type="spellStart"/>
      <w:r>
        <w:rPr>
          <w:b/>
          <w:bCs/>
        </w:rPr>
        <w:t>mmbbl</w:t>
      </w:r>
      <w:proofErr w:type="spellEnd"/>
      <w:r>
        <w:tab/>
        <w:t>Million barrels</w:t>
      </w:r>
    </w:p>
    <w:p w14:paraId="65688A07" w14:textId="77777777" w:rsidR="000754BC" w:rsidRDefault="00466837">
      <w:pPr>
        <w:tabs>
          <w:tab w:val="left" w:pos="1800"/>
        </w:tabs>
        <w:spacing w:before="30" w:after="30" w:line="280" w:lineRule="auto"/>
      </w:pPr>
      <w:r>
        <w:rPr>
          <w:b/>
          <w:bCs/>
        </w:rPr>
        <w:t>MILP</w:t>
      </w:r>
      <w:r>
        <w:tab/>
        <w:t>Mixed-Integer Linear Programming</w:t>
      </w:r>
    </w:p>
    <w:p w14:paraId="76842EAB" w14:textId="77777777" w:rsidR="000754BC" w:rsidRDefault="00466837">
      <w:pPr>
        <w:tabs>
          <w:tab w:val="left" w:pos="1800"/>
        </w:tabs>
        <w:spacing w:before="30" w:after="30" w:line="280" w:lineRule="auto"/>
      </w:pPr>
      <w:r>
        <w:rPr>
          <w:b/>
          <w:bCs/>
        </w:rPr>
        <w:t>NBER</w:t>
      </w:r>
      <w:r>
        <w:tab/>
        <w:t>National Bureau of Economic Research</w:t>
      </w:r>
    </w:p>
    <w:p w14:paraId="47FF4730" w14:textId="77777777" w:rsidR="000754BC" w:rsidRDefault="00466837">
      <w:pPr>
        <w:tabs>
          <w:tab w:val="left" w:pos="1800"/>
        </w:tabs>
        <w:spacing w:before="30" w:after="30" w:line="280" w:lineRule="auto"/>
      </w:pPr>
      <w:r>
        <w:rPr>
          <w:b/>
          <w:bCs/>
        </w:rPr>
        <w:t>OGJ</w:t>
      </w:r>
      <w:r>
        <w:tab/>
        <w:t>Oil &amp; Gas Journal</w:t>
      </w:r>
    </w:p>
    <w:p w14:paraId="275ADA06" w14:textId="77777777" w:rsidR="000754BC" w:rsidRDefault="00466837">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36AECFF" w14:textId="77777777" w:rsidR="000754BC" w:rsidRDefault="00466837">
      <w:pPr>
        <w:tabs>
          <w:tab w:val="left" w:pos="1800"/>
        </w:tabs>
        <w:spacing w:before="30" w:after="30" w:line="280" w:lineRule="auto"/>
      </w:pPr>
      <w:r>
        <w:rPr>
          <w:b/>
          <w:bCs/>
        </w:rPr>
        <w:t>PHMSA</w:t>
      </w:r>
      <w:r>
        <w:tab/>
        <w:t>Pipeline and Hazardous Materials Safety Administration</w:t>
      </w:r>
    </w:p>
    <w:p w14:paraId="1812E428" w14:textId="77777777" w:rsidR="000754BC" w:rsidRDefault="00466837">
      <w:pPr>
        <w:tabs>
          <w:tab w:val="left" w:pos="1800"/>
        </w:tabs>
        <w:spacing w:before="30" w:after="30" w:line="280" w:lineRule="auto"/>
      </w:pPr>
      <w:r>
        <w:rPr>
          <w:b/>
          <w:bCs/>
        </w:rPr>
        <w:t>SPR</w:t>
      </w:r>
      <w:r>
        <w:tab/>
        <w:t>Strategic Petroleum Reserve</w:t>
      </w:r>
    </w:p>
    <w:p w14:paraId="27C78D21" w14:textId="77777777" w:rsidR="000754BC" w:rsidRDefault="00466837">
      <w:pPr>
        <w:tabs>
          <w:tab w:val="left" w:pos="1800"/>
        </w:tabs>
        <w:spacing w:before="30" w:after="30" w:line="280" w:lineRule="auto"/>
      </w:pPr>
      <w:r>
        <w:rPr>
          <w:b/>
          <w:bCs/>
        </w:rPr>
        <w:t>STEO</w:t>
      </w:r>
      <w:r>
        <w:tab/>
        <w:t>Short-Term Energy Outlook (EIA publication)</w:t>
      </w:r>
    </w:p>
    <w:p w14:paraId="2D7DE01D" w14:textId="77777777" w:rsidR="000754BC" w:rsidRDefault="00466837">
      <w:pPr>
        <w:tabs>
          <w:tab w:val="left" w:pos="1800"/>
        </w:tabs>
        <w:spacing w:before="30" w:after="30" w:line="280" w:lineRule="auto"/>
      </w:pPr>
      <w:r>
        <w:rPr>
          <w:b/>
          <w:bCs/>
        </w:rPr>
        <w:t>STGCN</w:t>
      </w:r>
      <w:r>
        <w:tab/>
      </w:r>
      <w:proofErr w:type="spellStart"/>
      <w:r>
        <w:t>Spatio</w:t>
      </w:r>
      <w:proofErr w:type="spellEnd"/>
      <w:r>
        <w:t>-Temporal Graph Convolutional Network</w:t>
      </w:r>
    </w:p>
    <w:p w14:paraId="510B8A0E" w14:textId="77777777" w:rsidR="000754BC" w:rsidRDefault="00466837">
      <w:pPr>
        <w:tabs>
          <w:tab w:val="left" w:pos="1800"/>
        </w:tabs>
        <w:spacing w:before="30" w:after="30" w:line="280" w:lineRule="auto"/>
      </w:pPr>
      <w:r>
        <w:rPr>
          <w:b/>
          <w:bCs/>
        </w:rPr>
        <w:t>TGAT</w:t>
      </w:r>
      <w:r>
        <w:tab/>
        <w:t>Temporal Graph Attention Network</w:t>
      </w:r>
    </w:p>
    <w:p w14:paraId="42BC2CE7" w14:textId="77777777" w:rsidR="000754BC" w:rsidRDefault="00466837">
      <w:pPr>
        <w:tabs>
          <w:tab w:val="left" w:pos="1800"/>
        </w:tabs>
        <w:spacing w:before="30" w:after="30" w:line="280" w:lineRule="auto"/>
      </w:pPr>
      <w:r>
        <w:rPr>
          <w:b/>
          <w:bCs/>
        </w:rPr>
        <w:t>TGN</w:t>
      </w:r>
      <w:r>
        <w:tab/>
        <w:t>Temporal Graph Network</w:t>
      </w:r>
    </w:p>
    <w:p w14:paraId="48137063" w14:textId="77777777" w:rsidR="000754BC" w:rsidRDefault="00466837">
      <w:pPr>
        <w:tabs>
          <w:tab w:val="left" w:pos="1800"/>
        </w:tabs>
        <w:spacing w:before="30" w:after="30" w:line="280" w:lineRule="auto"/>
      </w:pPr>
      <w:r>
        <w:rPr>
          <w:b/>
          <w:bCs/>
        </w:rPr>
        <w:t>VAR</w:t>
      </w:r>
      <w:r>
        <w:tab/>
        <w:t xml:space="preserve">Vector </w:t>
      </w:r>
      <w:proofErr w:type="spellStart"/>
      <w:r>
        <w:t>AutoRegression</w:t>
      </w:r>
      <w:proofErr w:type="spellEnd"/>
    </w:p>
    <w:p w14:paraId="2CCB50F8" w14:textId="77777777" w:rsidR="000754BC" w:rsidRDefault="00466837">
      <w:pPr>
        <w:tabs>
          <w:tab w:val="left" w:pos="1800"/>
        </w:tabs>
        <w:spacing w:before="30" w:after="30" w:line="280" w:lineRule="auto"/>
      </w:pPr>
      <w:r>
        <w:rPr>
          <w:b/>
          <w:bCs/>
        </w:rPr>
        <w:t>WPSR</w:t>
      </w:r>
      <w:r>
        <w:tab/>
        <w:t>Weekly Petroleum Status Report</w:t>
      </w:r>
    </w:p>
    <w:p w14:paraId="0EEE0D1E" w14:textId="77777777" w:rsidR="000754BC" w:rsidRDefault="00466837">
      <w:pPr>
        <w:tabs>
          <w:tab w:val="left" w:pos="1800"/>
        </w:tabs>
        <w:spacing w:before="30" w:after="30" w:line="280" w:lineRule="auto"/>
      </w:pPr>
      <w:r>
        <w:rPr>
          <w:b/>
          <w:bCs/>
        </w:rPr>
        <w:t>WTI</w:t>
      </w:r>
      <w:r>
        <w:tab/>
        <w:t>West Texas Intermediate (crude grade benchmark)</w:t>
      </w:r>
    </w:p>
    <w:p w14:paraId="5D79F543" w14:textId="77777777" w:rsidR="000754BC" w:rsidRDefault="000754BC">
      <w:pPr>
        <w:sectPr w:rsidR="000754BC">
          <w:footerReference w:type="default" r:id="rId7"/>
          <w:pgSz w:w="12240" w:h="15840"/>
          <w:pgMar w:top="1440" w:right="1440" w:bottom="1440" w:left="1440" w:header="708" w:footer="708" w:gutter="0"/>
          <w:pgNumType w:fmt="lowerRoman"/>
          <w:cols w:space="720"/>
          <w:docGrid w:linePitch="360"/>
        </w:sectPr>
      </w:pPr>
    </w:p>
    <w:p w14:paraId="2AC3027A" w14:textId="77777777" w:rsidR="000754BC" w:rsidRDefault="00466837">
      <w:pPr>
        <w:pageBreakBefore/>
      </w:pPr>
      <w:r>
        <w:rPr>
          <w:rFonts w:ascii="Cambria" w:eastAsia="Cambria" w:hAnsi="Cambria" w:cs="Cambria"/>
          <w:color w:val="2F5496"/>
        </w:rPr>
        <w:lastRenderedPageBreak/>
        <w:t>Chapter 1</w:t>
      </w:r>
    </w:p>
    <w:p w14:paraId="1642D4D2" w14:textId="77777777" w:rsidR="000754BC" w:rsidRDefault="00466837">
      <w:pPr>
        <w:pStyle w:val="Heading1"/>
        <w:spacing w:before="100" w:after="400"/>
      </w:pPr>
      <w:r>
        <w:rPr>
          <w:sz w:val="44"/>
          <w:szCs w:val="44"/>
        </w:rPr>
        <w:t>Introduction</w:t>
      </w:r>
    </w:p>
    <w:p w14:paraId="1CEB2F3E" w14:textId="77777777" w:rsidR="000754BC" w:rsidRDefault="00466837">
      <w:pPr>
        <w:pStyle w:val="Heading2"/>
        <w:spacing w:after="160"/>
      </w:pPr>
      <w:r>
        <w:t>1.1  Background and motivation</w:t>
      </w:r>
    </w:p>
    <w:p w14:paraId="058024C9" w14:textId="77777777" w:rsidR="000754BC" w:rsidRDefault="00466837">
      <w:pPr>
        <w:spacing w:after="160" w:line="320" w:lineRule="auto"/>
        <w:jc w:val="both"/>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200FDC88" w14:textId="77777777" w:rsidR="000754BC" w:rsidRDefault="00466837">
      <w:pPr>
        <w:spacing w:before="200"/>
        <w:jc w:val="center"/>
      </w:pPr>
      <w:r>
        <w:rPr>
          <w:noProof/>
        </w:rPr>
        <w:drawing>
          <wp:inline distT="0" distB="0" distL="0" distR="0" wp14:anchorId="43F88572" wp14:editId="30243C5C">
            <wp:extent cx="5760720" cy="2141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41068"/>
                    </a:xfrm>
                    <a:prstGeom prst="rect">
                      <a:avLst/>
                    </a:prstGeom>
                  </pic:spPr>
                </pic:pic>
              </a:graphicData>
            </a:graphic>
          </wp:inline>
        </w:drawing>
      </w:r>
    </w:p>
    <w:p w14:paraId="1B8C1903" w14:textId="77777777" w:rsidR="000754BC" w:rsidRDefault="00466837">
      <w:pPr>
        <w:spacing w:before="80" w:after="240" w:line="280" w:lineRule="auto"/>
        <w:jc w:val="center"/>
      </w:pPr>
      <w:r>
        <w:rPr>
          <w:b/>
          <w:bCs/>
          <w:color w:val="595959"/>
          <w:sz w:val="18"/>
          <w:szCs w:val="18"/>
        </w:rPr>
        <w:t xml:space="preserve">Figure 1.1. </w:t>
      </w:r>
      <w:r>
        <w:rPr>
          <w:i/>
          <w:iCs/>
          <w:color w:val="595959"/>
          <w:sz w:val="18"/>
          <w:szCs w:val="18"/>
        </w:rPr>
        <w:t>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68A84621" w14:textId="77777777" w:rsidR="000754BC" w:rsidRDefault="00466837">
      <w:pPr>
        <w:spacing w:after="160" w:line="320" w:lineRule="auto"/>
        <w:jc w:val="both"/>
      </w:pPr>
      <w:r>
        <w:t xml:space="preserve">In the short run, the physical layer of an oil network is rather constant. On the upstream side, well output is constrained by geology, reservoir conditions, and capital that was committed years before the current period. The economic literature is explicit on the consequence: the short-run price elasticity of oil supply is very low, because there is a lag between investment and production, the costs of adjusting extraction rates are convex, and existing fields show decreasing returns (Bornstein, Krusell, and Rebelo, 2017; Hamilton, 2009). On the downstream side, refineries operate in narrow design windows. They are built for particular throughput ranges and crude slates, and short-term operation is structured around a small set of discrete modes with significant transition cost; this is why operations-research treatments of refineries model mode selection rather than continuous throughput control (Pinto, Joly, and Moro, 2000; Joly, Moro, and Pinto, 2002; Fernandes, </w:t>
      </w:r>
      <w:proofErr w:type="spellStart"/>
      <w:r>
        <w:t>Relvas</w:t>
      </w:r>
      <w:proofErr w:type="spellEnd"/>
      <w:r>
        <w:t>, and Barbosa-</w:t>
      </w:r>
      <w:proofErr w:type="spellStart"/>
      <w:r>
        <w:t>Póvoa</w:t>
      </w:r>
      <w:proofErr w:type="spellEnd"/>
      <w:r>
        <w:t xml:space="preserve">, 2013). Industry data is consistent with this picture: U.S. refinery utilization rates have hovered between 87% and 95% for most of the past decade, with a practical lower limit — the “turndown rate” — of approximately 65–70% below which units </w:t>
      </w:r>
      <w:r>
        <w:lastRenderedPageBreak/>
        <w:t xml:space="preserve">cannot run economically. Transport adds further delay, with pipelines, ports, and tankers introducing transit times of days to months (Stopford, 2009; Kazemi and Szmerekovsky, 2015). Production and consumption therefore hold close to their operating set-points most of the time, and meaningful changes on either side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1A97491E" w14:textId="3FAD7555" w:rsidR="000754BC" w:rsidRDefault="00466837">
      <w:pPr>
        <w:spacing w:after="160" w:line="320" w:lineRule="auto"/>
        <w:jc w:val="both"/>
      </w:pPr>
      <w:r>
        <w:rPr>
          <w:b/>
          <w:bCs/>
        </w:rPr>
        <w:t xml:space="preserve">Most short-term mismatches between supply and demand are step changes — shocks to one side that the other side cannot follow. </w:t>
      </w:r>
      <w:r>
        <w:t xml:space="preserve">A refinery enters unplanned </w:t>
      </w:r>
      <w:r w:rsidR="004F79CE">
        <w:t>maintenance,</w:t>
      </w:r>
      <w:r>
        <w:t xml:space="preserve"> and its crude intake drops abruptly; the upstream production feeding it does not slow correspondingly, because wells and gathering systems cannot be throttled on a few days’ notice. A hurricane shuts platforms and refineries on the Gulf Coast at the same time, but the imbalance between the two sides of the balance is rarely symmetric. A pipeline outage interrupts a particular corridor while production at its upstream end and demand at its downstream end carry on as before. In each case, one side of the balance step-changes while the other side stays put, because that is what physical infrastructure does in the short run.</w:t>
      </w:r>
    </w:p>
    <w:p w14:paraId="38DCB14E" w14:textId="77777777" w:rsidR="000754BC" w:rsidRDefault="00466837">
      <w:pPr>
        <w:spacing w:after="160" w:line="320" w:lineRule="auto"/>
        <w:jc w:val="both"/>
      </w:pPr>
      <w:r>
        <w:rPr>
          <w:b/>
          <w:bCs/>
        </w:rPr>
        <w:t xml:space="preserve">Inventories absorb the resulting gap, and the change in stocks is the observable signature of every such shock. </w:t>
      </w:r>
      <w:r>
        <w:t>Tank farms, storage hubs, and strategic petroleum reserves are the buffer between what is produced and what is consumed at any given moment, and the level of stocks is therefore one of the principal determinants of short-term crude price dynamics (Working, 1949; Pindyck, 2001; Kilian and Murphy, 2014; U.S. Energy Information Administration, 2024). When stocks are comfortable, shocks can be absorbed with limited price impact. When they become tight, prices rise; when they become excessive, prices soften; and when usable storage is effectively full, the marginal barrel has nowhere to go. The April 2020 WTI front-month settlement at −37 USD per barrel — a price at which the seller pays the buyer to take delivery — was a highly visible demonstration of that last limit. Because the mismatches arrive as shocks rather than as drift, inventory changes are not noise around a trend; they are the recoverable trace of identifiable events, and reading them correctly is what makes a balance informative.</w:t>
      </w:r>
    </w:p>
    <w:p w14:paraId="058ADA07" w14:textId="77777777" w:rsidR="000754BC" w:rsidRDefault="00466837">
      <w:pPr>
        <w:spacing w:after="160" w:line="320" w:lineRule="auto"/>
        <w:jc w:val="both"/>
      </w:pPr>
      <w:r>
        <w:t>Two ideas from Pindyck (2001) make this connection precise and are particularly load-bearing for the work that follows. The first is that inventories act as the buffer that decouples production from consumption, so spot prices reflect the flow imbalance between the two rather than the level of either; price formation is therefore inseparable from the dynamics of stocks. The second is that production facilities — wells, refineries, and the pipelines that connect them — behave as call options on the underlying commodity, which is why their economic value responds to volatility the way it does. Both ideas map directly onto the framework developed in this thesis: inventories appear as explicit state variables at every physical node, and the structural identity of each producing or consuming asset is preserved as a first-class entity rather than collapsed into aggregate flow.</w:t>
      </w:r>
    </w:p>
    <w:p w14:paraId="3ADAE61B" w14:textId="6403380A" w:rsidR="000754BC" w:rsidRDefault="00466837">
      <w:pPr>
        <w:spacing w:after="160" w:line="320" w:lineRule="auto"/>
        <w:jc w:val="both"/>
      </w:pPr>
      <w:r>
        <w:rPr>
          <w:b/>
          <w:bCs/>
        </w:rPr>
        <w:lastRenderedPageBreak/>
        <w:t xml:space="preserve">The operational consequence is direct: if one cannot measure how inventories change, one cannot understand what is happening to price. </w:t>
      </w:r>
      <w:r>
        <w:t xml:space="preserve">Stock changes reveal whether a shock has been absorbed by drawing down storage or has spilled into the market, whether refinery throughput is keeping pace with crude availability, and whether a flow that nominally took place has </w:t>
      </w:r>
      <w:r w:rsidR="00A052A1">
        <w:t>arrived</w:t>
      </w:r>
      <w:r>
        <w:t xml:space="preserve"> at its destination. Producing oil balances that track stock changes correctly is therefore not a back-office accounting exercise; it is the upstream condition for any quantitative work on oil prices.</w:t>
      </w:r>
    </w:p>
    <w:p w14:paraId="7ABA700C" w14:textId="1AFD0B6C" w:rsidR="000754BC" w:rsidRDefault="00466837">
      <w:pPr>
        <w:spacing w:after="160" w:line="320" w:lineRule="auto"/>
        <w:jc w:val="both"/>
      </w:pPr>
      <w:r>
        <w:t xml:space="preserve">That upstream condition is harder to meet than it appears, because the data does not arrive in a shape that matches the physical flow. Public and commercial sources publish at granularities that do not line up with the operational network. The U.S. Energy Information Administration releases monthly series at national, district (PADD), refining-district, state, and named-basin levels. The International Energy Agency publishes country and regional aggregates.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AIS feeds, and operator surveys. The same physical quantity often appears at several resolutions at once, and the resolutions do not always reconcile cleanly. Reporting boundaries are administrative rather than operational; some flows are directly </w:t>
      </w:r>
      <w:r w:rsidR="00604AA2">
        <w:t>measured,</w:t>
      </w:r>
      <w:r>
        <w:t xml:space="preserve"> and others can only be inferred from aggregate constraints; inventories often close only at coarser levels than the production they are supposed to balance against; and the topology itself changes over time through real events such as pipeline reversals, terminal commissioning, and refinery shutdowns. The structural mismatch between how the system flows and how the data describes it is the central friction this thesis addresses.</w:t>
      </w:r>
    </w:p>
    <w:p w14:paraId="5D697F2F" w14:textId="77777777" w:rsidR="000754BC" w:rsidRDefault="00466837">
      <w:pPr>
        <w:spacing w:after="160" w:line="320" w:lineRule="auto"/>
        <w:jc w:val="both"/>
      </w:pPr>
      <w:r>
        <w:t>The current state of the art for handling that friction in practice is ad hoc. Analysts maintain Excel workbooks or pandas notebooks in which production, consumption, flows, and stocks are loaded from multiple sources, reconciled through hard-coded allocation rules, and balanced with a residual term that absorbs whatever does not add up. Those workflows produce usable numbers, but they bury inconsistency inside the residual and embed each analyst’s assumptions in formula cells that cannot be audited from the outside. They cannot be passed directly into an optimisation model or a machine-learning pipeline without further hand-cleaning, and two analysts working from the same data routinely produce different outputs.</w:t>
      </w:r>
    </w:p>
    <w:p w14:paraId="33410D9C" w14:textId="77777777" w:rsidR="000754BC" w:rsidRDefault="00466837">
      <w:pPr>
        <w:spacing w:after="160" w:line="320" w:lineRule="auto"/>
        <w:jc w:val="both"/>
      </w:pPr>
      <w:r>
        <w:rPr>
          <w:b/>
          <w:bCs/>
        </w:rPr>
        <w:t xml:space="preserve">The balancing item. </w:t>
      </w:r>
      <w:r>
        <w:t xml:space="preserve">The residual term that appears at the end of every oil balance deserves explicit attention from the outset, because it is both unavoidable and informative. The International Energy Agency already publishes a balancing item in its supply–demand tables, defined as the gap between observed stock changes and the sum of observed flows. The convention treats that gap as data: a labelled variable on the published balance, whose size and sign reveal where the reporting system is and is not closing cleanly. When the practitioner spreadsheet workflow hides the same residual in an unlabelled adjustment column, that information is lost — the bottom row of the balance reads zero by construction, but the signal that produced the residual is no longer recoverable. A representation that aims to support </w:t>
      </w:r>
      <w:r>
        <w:lastRenderedPageBreak/>
        <w:t>quantitative work on inventories must therefore not only track production, consumption, and flows; it must also retain the balancing item as a first-class variable wherever the data fails to close. Predicting changes in inventories means, equivalently, predicting the production and consumption flows that drive them and the balancing item that accommodates whatever the data cannot resolve.</w:t>
      </w:r>
    </w:p>
    <w:p w14:paraId="61B3E3D9" w14:textId="77777777" w:rsidR="000754BC" w:rsidRDefault="00466837">
      <w:pPr>
        <w:spacing w:after="160" w:line="320" w:lineRule="auto"/>
        <w:jc w:val="both"/>
      </w:pPr>
      <w:r>
        <w:t xml:space="preserve">Modelling tools used to study systems like this fall into three broad groups. Operations research — linear, mixed-integer, and stochastic programming — is mathematically rigorous and well suited to strategic design and tactical planning, but it usually relies on simplified, bespoke representations that leave out much of the operational detail visible in the real network. Classical time-series methods such as ARIMA, VAR, and more recent neural forecasting models are typically applied to individual variables — refinery throughput, regional inventories, benchmark prices — without explicitly modelling the network structure that links those variables together. Over the last decade a third line of work has emerged at their intersection. Graph neural networks and graph representation learning offer a way to model systems whose behaviour depends both on local time dynamics and on a broader relational structure, and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operations research and standard time-series approaches often handle separately: the network itself and the temporal behaviour of the variables attached to it.</w:t>
      </w:r>
    </w:p>
    <w:p w14:paraId="4D38F54A" w14:textId="77777777" w:rsidR="000754BC" w:rsidRDefault="00466837">
      <w:pPr>
        <w:spacing w:after="160" w:line="320" w:lineRule="auto"/>
        <w:jc w:val="both"/>
      </w:pPr>
      <w:r>
        <w:t>Before any of these modelling tools can be applied to the inventory problem, however, the same upstream question appears: how should the network itself be represented? A representation that can host multi-resolution data without forced reconciliation, that retains the balancing item as a labelled variable rather than absorbing it into an adjustment column, and that admits structural change without requiring a wholesale rebuild, would be useful not only for the optimisation and forecasting work positioned as the framework’s downstream consumers, but also for the analysts who currently connect public data to those models through manual workflows.</w:t>
      </w:r>
    </w:p>
    <w:p w14:paraId="1D270295" w14:textId="77777777" w:rsidR="000754BC" w:rsidRDefault="00466837">
      <w:pPr>
        <w:pStyle w:val="Heading2"/>
        <w:spacing w:after="160"/>
      </w:pPr>
      <w:r>
        <w:t>1.2  Problem statement</w:t>
      </w:r>
    </w:p>
    <w:p w14:paraId="7C9ADAC7" w14:textId="77777777" w:rsidR="000754BC" w:rsidRDefault="00466837">
      <w:pPr>
        <w:spacing w:after="160" w:line="320" w:lineRule="auto"/>
        <w:jc w:val="both"/>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5BC7FD87" w14:textId="77777777" w:rsidR="000754BC" w:rsidRDefault="00466837">
      <w:pPr>
        <w:spacing w:after="160" w:line="320" w:lineRule="auto"/>
        <w:jc w:val="both"/>
      </w:pPr>
      <w:r>
        <w:lastRenderedPageBreak/>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2255F9FD" w14:textId="77777777" w:rsidR="000754BC" w:rsidRDefault="00466837" w:rsidP="00FB6C24">
      <w:pPr>
        <w:pBdr>
          <w:top w:val="single" w:sz="4" w:space="1" w:color="auto"/>
          <w:left w:val="single" w:sz="4" w:space="4" w:color="auto"/>
          <w:bottom w:val="single" w:sz="4" w:space="1" w:color="auto"/>
          <w:right w:val="single" w:sz="4" w:space="4" w:color="auto"/>
        </w:pBdr>
        <w:spacing w:after="160" w:line="320" w:lineRule="auto"/>
        <w:jc w:val="both"/>
      </w:pPr>
      <w:r>
        <w:rPr>
          <w:b/>
          <w:bCs/>
        </w:rPr>
        <w:t>The central problem this thesis addresses is therefore: can we design a graph representation of the physical flow of oil that is permanent in structure, accepts different combinations of multi-resolution data, and supports the prediction of changes in inventories — including the balancing item that absorbs whatever the data cannot resolve — in a form consumable by classical optimisation models (linear programmes) and by modern machine-learning models (graph neural networks) without further hand-cleaning?</w:t>
      </w:r>
    </w:p>
    <w:p w14:paraId="57641F7F" w14:textId="77777777" w:rsidR="000754BC" w:rsidRDefault="00466837">
      <w:pPr>
        <w:spacing w:after="160" w:line="320" w:lineRule="auto"/>
        <w:jc w:val="both"/>
      </w:pPr>
      <w:r>
        <w:t>This thesis answers that question by developing, implementing, and validating an asset-centric temporal graph framework organised around a small set of design principles, together with a deterministic resolver that produces a single per-(scenario, variable, observation date) value table that downstream consumers can read directly. The framework is then demonstrated head-to-head against the dominant current technique on the same input data.</w:t>
      </w:r>
    </w:p>
    <w:p w14:paraId="37193B01" w14:textId="77777777" w:rsidR="000754BC" w:rsidRDefault="00466837">
      <w:pPr>
        <w:pStyle w:val="Heading2"/>
        <w:spacing w:after="160"/>
      </w:pPr>
      <w:r>
        <w:t>1.3  Research objectives</w:t>
      </w:r>
    </w:p>
    <w:p w14:paraId="5DF97678" w14:textId="77777777" w:rsidR="000754BC" w:rsidRDefault="00466837">
      <w:pPr>
        <w:spacing w:after="160" w:line="320" w:lineRule="auto"/>
        <w:jc w:val="both"/>
      </w:pPr>
      <w:r>
        <w:t>The research pursues three main objectives:</w:t>
      </w:r>
    </w:p>
    <w:p w14:paraId="4642C305" w14:textId="77777777" w:rsidR="000754BC" w:rsidRDefault="00466837">
      <w:pPr>
        <w:spacing w:after="160" w:line="320" w:lineRule="auto"/>
        <w:jc w:val="both"/>
      </w:pPr>
      <w:r>
        <w:rPr>
          <w:b/>
          <w:bCs/>
        </w:rPr>
        <w:t xml:space="preserve">To design </w:t>
      </w:r>
      <w:r>
        <w:t>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0A40601A" w14:textId="77777777" w:rsidR="000754BC" w:rsidRDefault="00466837">
      <w:pPr>
        <w:spacing w:after="160" w:line="320" w:lineRule="auto"/>
        <w:jc w:val="both"/>
      </w:pPr>
      <w:r>
        <w:rPr>
          <w:b/>
          <w:bCs/>
        </w:rPr>
        <w:t xml:space="preserve">To implement </w:t>
      </w:r>
      <w:r>
        <w:t>that schema as a working system, including a relational database representation, a deterministic resolver that produces the per-(variable, date) data tensor, a layered view structure for downstream consumers, and a complete starter instance covering the U.S. crude oil network from 2015 onwards.</w:t>
      </w:r>
    </w:p>
    <w:p w14:paraId="62B36B48" w14:textId="77777777" w:rsidR="000754BC" w:rsidRDefault="00466837">
      <w:pPr>
        <w:spacing w:after="160" w:line="320" w:lineRule="auto"/>
        <w:jc w:val="both"/>
      </w:pPr>
      <w:r>
        <w:rPr>
          <w:b/>
          <w:bCs/>
        </w:rPr>
        <w:t xml:space="preserve">To demonstrate </w:t>
      </w:r>
      <w:r>
        <w:t xml:space="preserve">that the framework produces materially more honest balances than the dominant current technique on the same input data, through a head-to-head case study in steady state and under </w:t>
      </w:r>
      <w:r>
        <w:lastRenderedPageBreak/>
        <w:t>stress, and to assess its readiness for further downstream consumers such as graph neural networks for forecasting, which are left for future work.</w:t>
      </w:r>
    </w:p>
    <w:p w14:paraId="18279EF2" w14:textId="5668E0C3" w:rsidR="000754BC" w:rsidRDefault="00071E80">
      <w:pPr>
        <w:pStyle w:val="Heading2"/>
        <w:spacing w:after="160"/>
      </w:pPr>
      <w:r>
        <w:t>1.4 Scope</w:t>
      </w:r>
      <w:r w:rsidR="00466837">
        <w:t xml:space="preserve"> and delimitations</w:t>
      </w:r>
    </w:p>
    <w:p w14:paraId="43097212" w14:textId="77777777" w:rsidR="000754BC" w:rsidRDefault="00466837">
      <w:pPr>
        <w:spacing w:after="160" w:line="320" w:lineRule="auto"/>
        <w:jc w:val="both"/>
      </w:pPr>
      <w:r>
        <w:t>This research focuses on the representational framework and its first downstream consumers.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 — to other grades and refined products, to other countries, and to finer temporal granularity — and those extension paths are discussed where relevant. Even so, the implemented instance in this thesis is the U.S. monthly crude oil graph from January 2015 to December 2024 inclusive.</w:t>
      </w:r>
    </w:p>
    <w:p w14:paraId="5C69F34E" w14:textId="77777777" w:rsidR="000754BC" w:rsidRDefault="00466837">
      <w:pPr>
        <w:spacing w:after="160" w:line="320" w:lineRule="auto"/>
        <w:jc w:val="both"/>
      </w:pPr>
      <w:r>
        <w:t>Two important areas are explicitly outside the scope of the present work and are positioned as future work in Chapter 6. The first is forecasting. Forecasting is treated in this thesis as a downstream use case that the framework is designed to support but does not itself implement. Chapter 6 explains why the framework is ready for forecasting work and outlines what that next step would involve. The second area is production deployment. The implementation developed here is a working research artefact rather than a production system, so issues such as hardware and software selection, user interfaces, monitoring, and access control are left aside.</w:t>
      </w:r>
    </w:p>
    <w:p w14:paraId="67A7DE36" w14:textId="77777777" w:rsidR="000754BC" w:rsidRDefault="00466837">
      <w:pPr>
        <w:spacing w:after="160" w:line="320" w:lineRule="auto"/>
        <w:jc w:val="both"/>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2E04A685" w14:textId="77777777" w:rsidR="000754BC" w:rsidRDefault="00466837">
      <w:pPr>
        <w:spacing w:after="160" w:line="320" w:lineRule="auto"/>
        <w:jc w:val="both"/>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district views, basin views, refining-district views, and stock-decomposition aggregates) and has no flow edges of its own. Abstract assets exist to host roll-up observations and partition relationships and constraints of other nodes; their relationship to the physical layer is declared through formula inputs rather than through edges. Mass balance is enforced at every </w:t>
      </w:r>
      <w:r>
        <w:lastRenderedPageBreak/>
        <w:t>physical asset, and abstract assets inherit it as a corollary of aggregation — they do not introduce intrinsic constraints unless explicitly stated.</w:t>
      </w:r>
    </w:p>
    <w:p w14:paraId="0374FB2F" w14:textId="77777777" w:rsidR="000754BC" w:rsidRDefault="00466837">
      <w:pPr>
        <w:spacing w:after="160" w:line="320" w:lineRule="auto"/>
        <w:jc w:val="both"/>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 inputs, so a refinery’s gasoline production can be defined as a fixed fraction of its consumption of a particular grade (gasoline production = 0.35 × crude consumption of grade X), with the yield coefficients themselves potentially scenario-specific. Both extensions sit on top of the schema as constructed; neither requires structural change.</w:t>
      </w:r>
    </w:p>
    <w:p w14:paraId="39D4FCC3" w14:textId="0C1A742A" w:rsidR="000754BC" w:rsidRDefault="00071E80">
      <w:pPr>
        <w:pStyle w:val="Heading2"/>
        <w:spacing w:after="160"/>
      </w:pPr>
      <w:r>
        <w:t>1.5 Thesis</w:t>
      </w:r>
      <w:r w:rsidR="00466837">
        <w:t xml:space="preserve"> structure</w:t>
      </w:r>
    </w:p>
    <w:p w14:paraId="3AF191A4" w14:textId="77777777" w:rsidR="000754BC" w:rsidRDefault="00466837">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machine-learning approaches — and identifies the gap that the thesis addresses. Chapter 3 gives a focused domain background on the U.S. crude oil network, with particular attention to its multi-resolution reporting structure.</w:t>
      </w:r>
    </w:p>
    <w:p w14:paraId="606D2162" w14:textId="77777777" w:rsidR="000754BC" w:rsidRDefault="00466837">
      <w:pPr>
        <w:spacing w:after="160" w:line="320" w:lineRule="auto"/>
        <w:jc w:val="both"/>
      </w:pPr>
      <w:r>
        <w:t>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with the contribution, the limitations, and a discussion of future work, including the framework’s readiness for graph neural network forecasting as a natural next consumer.</w:t>
      </w:r>
    </w:p>
    <w:p w14:paraId="55A6A084" w14:textId="77777777" w:rsidR="000754BC" w:rsidRDefault="00466837">
      <w:pPr>
        <w:spacing w:after="160" w:line="320" w:lineRule="auto"/>
        <w:jc w:val="both"/>
      </w:pPr>
      <w:r>
        <w:t>Three annexes provide supporting reference material. Annex A documents the implementation — the schema, the starter U.S. crude oil graph, the resolver, and the consistency audits. Annex B catalogues the variables included in the starter scenario. Annex C offers a primer on graph neural networks for readers who want to follow the GNN-readiness discussion in Chapter 6 in more detail.</w:t>
      </w:r>
    </w:p>
    <w:p w14:paraId="7468C1B7" w14:textId="77777777" w:rsidR="000754BC" w:rsidRDefault="00466837">
      <w:pPr>
        <w:pageBreakBefore/>
      </w:pPr>
      <w:r>
        <w:rPr>
          <w:rFonts w:ascii="Cambria" w:eastAsia="Cambria" w:hAnsi="Cambria" w:cs="Cambria"/>
          <w:color w:val="2F5496"/>
        </w:rPr>
        <w:lastRenderedPageBreak/>
        <w:t>Chapter 2</w:t>
      </w:r>
    </w:p>
    <w:p w14:paraId="71DC7A8B" w14:textId="77777777" w:rsidR="000754BC" w:rsidRDefault="00466837">
      <w:pPr>
        <w:pStyle w:val="Heading1"/>
        <w:spacing w:before="100" w:after="400"/>
      </w:pPr>
      <w:r>
        <w:rPr>
          <w:sz w:val="44"/>
          <w:szCs w:val="44"/>
        </w:rPr>
        <w:t>Current techniques for producing oil balances</w:t>
      </w:r>
    </w:p>
    <w:p w14:paraId="32562A72" w14:textId="77777777" w:rsidR="000754BC" w:rsidRDefault="00466837">
      <w:pPr>
        <w:spacing w:after="160" w:line="320" w:lineRule="auto"/>
        <w:jc w:val="both"/>
      </w:pPr>
      <w:r>
        <w:t>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literature. The chapter closes with the gap that the thesis addresses.</w:t>
      </w:r>
    </w:p>
    <w:p w14:paraId="2EA72C4F" w14:textId="77777777" w:rsidR="000754BC" w:rsidRDefault="00466837">
      <w:pPr>
        <w:pStyle w:val="Heading2"/>
        <w:spacing w:after="160"/>
      </w:pPr>
      <w:r>
        <w:t>2.1  Official statistical balances</w:t>
      </w:r>
    </w:p>
    <w:p w14:paraId="5E5BA4D2" w14:textId="4029A4FD" w:rsidR="000754BC" w:rsidRDefault="00466837">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r w:rsidR="006E45B9">
        <w:t>Defence</w:t>
      </w:r>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7CCEE91F" w14:textId="77777777" w:rsidR="000754BC" w:rsidRDefault="00466837">
      <w:pPr>
        <w:spacing w:after="160" w:line="320" w:lineRule="auto"/>
        <w:jc w:val="both"/>
      </w:pPr>
      <w:r>
        <w:t>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8D24C7D" w14:textId="77777777" w:rsidR="000754BC" w:rsidRDefault="00466837">
      <w:pPr>
        <w:spacing w:after="160" w:line="320" w:lineRule="auto"/>
        <w:jc w:val="both"/>
      </w:pPr>
      <w:r>
        <w:t xml:space="preserve">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26CD2590" w14:textId="5173CBAE" w:rsidR="000754BC" w:rsidRDefault="0027165C">
      <w:pPr>
        <w:pStyle w:val="Heading2"/>
        <w:spacing w:after="160"/>
      </w:pPr>
      <w:r>
        <w:t>2.2 The</w:t>
      </w:r>
      <w:r w:rsidR="00466837">
        <w:t xml:space="preserve"> practitioner spreadsheet workflow</w:t>
      </w:r>
    </w:p>
    <w:p w14:paraId="2726CA19" w14:textId="77777777" w:rsidR="000754BC" w:rsidRDefault="00466837">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1623F12F" w14:textId="77777777" w:rsidR="000754BC" w:rsidRDefault="00466837">
      <w:pPr>
        <w:spacing w:after="160" w:line="320" w:lineRule="auto"/>
        <w:jc w:val="both"/>
      </w:pPr>
      <w:r>
        <w:t>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particular pipelines that are not written down anywhere else. The technique is not a methodological mistake; it is the natural response to the underlying data problem, and the framework developed in this thesis is best understood as a more disciplined version of the same instinct.</w:t>
      </w:r>
    </w:p>
    <w:p w14:paraId="7BE85237" w14:textId="77777777" w:rsidR="000754BC" w:rsidRDefault="00466837">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not visible in the bottom line.</w:t>
      </w:r>
    </w:p>
    <w:p w14:paraId="1AA70663" w14:textId="77777777" w:rsidR="000754BC" w:rsidRDefault="00466837">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bottom row reads zero, but the analyst no longer knows whether the period balanced because the data is clean or because the adjustment column did its work.</w:t>
      </w:r>
    </w:p>
    <w:p w14:paraId="14ACC7EE" w14:textId="2BC3CA68" w:rsidR="000754BC" w:rsidRDefault="00466837">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r w:rsidR="00913C2A">
        <w:t>reverse engineering</w:t>
      </w:r>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437E9F45" w14:textId="77777777" w:rsidR="000754BC" w:rsidRDefault="00466837">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6BB1018A" w14:textId="1B430A85" w:rsidR="000754BC" w:rsidRDefault="00150E24">
      <w:pPr>
        <w:pStyle w:val="Heading2"/>
        <w:spacing w:after="160"/>
      </w:pPr>
      <w:r>
        <w:t>2.3 Optimisation</w:t>
      </w:r>
      <w:r w:rsidR="00466837">
        <w:t xml:space="preserve"> models</w:t>
      </w:r>
    </w:p>
    <w:p w14:paraId="0095056C" w14:textId="77777777" w:rsidR="000754BC" w:rsidRDefault="00466837">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6FFD9E21" w14:textId="77777777" w:rsidR="000754BC" w:rsidRDefault="00466837">
      <w:pPr>
        <w:spacing w:after="160" w:line="320" w:lineRule="auto"/>
        <w:jc w:val="both"/>
      </w:pPr>
      <w:r>
        <w:t xml:space="preserve">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modification. Each optimisation paper builds its own bespoke representation; the representation is a means to the model's end, not a research artefact in its own right.</w:t>
      </w:r>
    </w:p>
    <w:p w14:paraId="6FA84409" w14:textId="77777777" w:rsidR="000754BC" w:rsidRDefault="00466837">
      <w:pPr>
        <w:pStyle w:val="Heading2"/>
        <w:spacing w:after="160"/>
      </w:pPr>
      <w:r>
        <w:t>2.4  Graph and machine learning approaches</w:t>
      </w:r>
    </w:p>
    <w:p w14:paraId="2546EFCD" w14:textId="77777777" w:rsidR="000754BC" w:rsidRDefault="00466837">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global consumer-goods company, showing that attention-based graph architectures can improve predictive performance by capturing cascading effects across nodes.</w:t>
      </w:r>
    </w:p>
    <w:p w14:paraId="2D6A5FEB" w14:textId="77777777" w:rsidR="000754BC" w:rsidRDefault="00466837">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 part of the modelling framework. The traffic-forecasting literature in particular has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64EE890B" w14:textId="7D3E4E1C" w:rsidR="000754BC" w:rsidRDefault="00466837">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r w:rsidR="00290353">
        <w:t>fast-moving consumer-goods</w:t>
      </w:r>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2E0C608F" w14:textId="4648D023" w:rsidR="000754BC" w:rsidRDefault="00290353">
      <w:pPr>
        <w:pStyle w:val="Heading2"/>
        <w:spacing w:after="160"/>
      </w:pPr>
      <w:r>
        <w:t>2.5 The</w:t>
      </w:r>
      <w:r w:rsidR="00466837">
        <w:t xml:space="preserve"> gap</w:t>
      </w:r>
    </w:p>
    <w:p w14:paraId="2BE12791" w14:textId="77777777" w:rsidR="000754BC" w:rsidRDefault="00466837">
      <w:pPr>
        <w:spacing w:after="160" w:line="320" w:lineRule="auto"/>
        <w:jc w:val="both"/>
      </w:pPr>
      <w:r>
        <w:lastRenderedPageBreak/>
        <w:t>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Graph and machine learning approaches take the upstream representation as given and tailor it to the task.</w:t>
      </w:r>
    </w:p>
    <w:p w14:paraId="77B7A271" w14:textId="77777777" w:rsidR="000754BC" w:rsidRDefault="00466837">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implementing it on the U.S. crude oil network, and demonstrating that it produces materially more honest balances than the dominant current technique on the same input data.</w:t>
      </w:r>
    </w:p>
    <w:p w14:paraId="5ADFAECD" w14:textId="77777777" w:rsidR="000754BC" w:rsidRDefault="00466837">
      <w:pPr>
        <w:pageBreakBefore/>
      </w:pPr>
      <w:r>
        <w:rPr>
          <w:rFonts w:ascii="Cambria" w:eastAsia="Cambria" w:hAnsi="Cambria" w:cs="Cambria"/>
          <w:color w:val="2F5496"/>
        </w:rPr>
        <w:lastRenderedPageBreak/>
        <w:t>Chapter 3</w:t>
      </w:r>
    </w:p>
    <w:p w14:paraId="5241E216" w14:textId="77777777" w:rsidR="000754BC" w:rsidRDefault="00466837">
      <w:pPr>
        <w:pStyle w:val="Heading1"/>
        <w:spacing w:before="100" w:after="400"/>
      </w:pPr>
      <w:r>
        <w:rPr>
          <w:sz w:val="44"/>
          <w:szCs w:val="44"/>
        </w:rPr>
        <w:t>Domain background</w:t>
      </w:r>
    </w:p>
    <w:p w14:paraId="448B4A3F" w14:textId="77777777" w:rsidR="000754BC" w:rsidRDefault="00466837">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2EAC2E13" w14:textId="3C7097D5" w:rsidR="000754BC" w:rsidRDefault="003D3ACA">
      <w:pPr>
        <w:pStyle w:val="Heading2"/>
        <w:spacing w:after="160"/>
      </w:pPr>
      <w:r>
        <w:t>3.1 The</w:t>
      </w:r>
      <w:r w:rsidR="00466837">
        <w:t xml:space="preserve"> U.S. crude oil network</w:t>
      </w:r>
    </w:p>
    <w:p w14:paraId="1E706AEB" w14:textId="77777777" w:rsidR="000754BC" w:rsidRDefault="00466837">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and the Eagle Ford in Texas are the largest producing regions; together with offshore Gulf production, they account for the majority of U.S. crude.</w:t>
      </w:r>
    </w:p>
    <w:p w14:paraId="59C26EF2" w14:textId="77777777" w:rsidR="000754BC" w:rsidRDefault="00466837">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13270EE3" w14:textId="77777777" w:rsidR="000754BC" w:rsidRDefault="00466837">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extension but is not implemented in the active scenario.</w:t>
      </w:r>
    </w:p>
    <w:p w14:paraId="5C72CD31" w14:textId="7478DDDC" w:rsidR="000754BC" w:rsidRDefault="008134C3" w:rsidP="008134C3">
      <w:pPr>
        <w:spacing w:before="200"/>
        <w:jc w:val="center"/>
      </w:pPr>
      <w:r w:rsidRPr="008134C3">
        <w:rPr>
          <w:noProof/>
        </w:rPr>
        <w:lastRenderedPageBreak/>
        <w:drawing>
          <wp:inline distT="0" distB="0" distL="0" distR="0" wp14:anchorId="47470448" wp14:editId="5D5009A1">
            <wp:extent cx="5943600" cy="3890645"/>
            <wp:effectExtent l="0" t="0" r="0" b="0"/>
            <wp:docPr id="189880538" name="Picture 2" descr="The image displays a map with various regions labeled as PADD (Petroleum Administration Domestic Districts) and different types of energy flow elements, including production, storage, and refin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0538" name="Picture 2" descr="The image displays a map with various regions labeled as PADD (Petroleum Administration Domestic Districts) and different types of energy flow elements, including production, storage, and refineri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90645"/>
                    </a:xfrm>
                    <a:prstGeom prst="rect">
                      <a:avLst/>
                    </a:prstGeom>
                    <a:noFill/>
                    <a:ln>
                      <a:noFill/>
                    </a:ln>
                  </pic:spPr>
                </pic:pic>
              </a:graphicData>
            </a:graphic>
          </wp:inline>
        </w:drawing>
      </w:r>
    </w:p>
    <w:p w14:paraId="3B36A984" w14:textId="77777777" w:rsidR="000754BC" w:rsidRDefault="00466837">
      <w:pPr>
        <w:spacing w:before="80" w:after="240" w:line="280" w:lineRule="auto"/>
        <w:jc w:val="center"/>
      </w:pPr>
      <w:r>
        <w:rPr>
          <w:b/>
          <w:bCs/>
          <w:color w:val="595959"/>
          <w:sz w:val="18"/>
          <w:szCs w:val="18"/>
        </w:rPr>
        <w:t xml:space="preserve">Figure 3.1. </w:t>
      </w:r>
      <w:r>
        <w:rPr>
          <w:i/>
          <w:iCs/>
          <w:color w:val="595959"/>
          <w:sz w:val="18"/>
          <w:szCs w:val="18"/>
        </w:rPr>
        <w:t>U.S. crude oil transport network as instantiated in the framework. Production basins (green) feed gathering systems and origin terminals. Storage hubs (dark blue) sit at the major junctions; SPR sites (yellow) cluster on the Gulf coast. Refineries are shown in red, import and export terminals in orange. Latent per-edge flows from Permian to its three origin terminals are shown as grey dashed arrows. The PADD-3-to-PADD-5 in-transit corridor (Section 5.2) is highlighted in red.</w:t>
      </w:r>
    </w:p>
    <w:p w14:paraId="3B120931" w14:textId="25BA2FA5" w:rsidR="000754BC" w:rsidRDefault="003B2BE0">
      <w:pPr>
        <w:pStyle w:val="Heading2"/>
        <w:spacing w:after="160"/>
      </w:pPr>
      <w:r>
        <w:t>3.2 The</w:t>
      </w:r>
      <w:r w:rsidR="00466837">
        <w:t xml:space="preserve"> multi-resolution reporting structure</w:t>
      </w:r>
    </w:p>
    <w:p w14:paraId="3DF76748" w14:textId="77777777" w:rsidR="000754BC" w:rsidRDefault="00466837">
      <w:pPr>
        <w:spacing w:after="160" w:line="320" w:lineRule="auto"/>
        <w:jc w:val="both"/>
      </w:pPr>
      <w:r>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5741FDC3" w14:textId="77777777" w:rsidR="000754BC" w:rsidRDefault="00466837">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9B0FC0E"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754BC" w14:paraId="0CF8FEA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2733D" w14:textId="77777777" w:rsidR="000754BC" w:rsidRDefault="00466837">
            <w:pPr>
              <w:spacing w:line="260" w:lineRule="auto"/>
            </w:pPr>
            <w:r>
              <w:rPr>
                <w:b/>
                <w:bCs/>
                <w:color w:val="FFFFFF"/>
                <w:sz w:val="20"/>
                <w:szCs w:val="20"/>
              </w:rPr>
              <w:lastRenderedPageBreak/>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FCBAFF1" w14:textId="77777777" w:rsidR="000754BC" w:rsidRDefault="00466837">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429A703" w14:textId="77777777" w:rsidR="000754BC" w:rsidRDefault="00466837">
            <w:pPr>
              <w:spacing w:line="260" w:lineRule="auto"/>
            </w:pPr>
            <w:r>
              <w:rPr>
                <w:b/>
                <w:bCs/>
                <w:color w:val="FFFFFF"/>
                <w:sz w:val="20"/>
                <w:szCs w:val="20"/>
              </w:rPr>
              <w:t>Notes</w:t>
            </w:r>
          </w:p>
        </w:tc>
      </w:tr>
      <w:tr w:rsidR="000754BC" w14:paraId="7CA3313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4EEB7E" w14:textId="77777777" w:rsidR="000754BC" w:rsidRDefault="00466837">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AD26E7" w14:textId="77777777" w:rsidR="000754BC" w:rsidRDefault="00466837">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A357F" w14:textId="77777777" w:rsidR="000754BC" w:rsidRDefault="00466837">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0754BC" w14:paraId="3C364B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3C9EC" w14:textId="77777777" w:rsidR="000754BC" w:rsidRDefault="00466837">
            <w:pPr>
              <w:spacing w:line="260" w:lineRule="auto"/>
            </w:pPr>
            <w:r>
              <w:rPr>
                <w:sz w:val="20"/>
                <w:szCs w:val="20"/>
              </w:rPr>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62C63" w14:textId="77777777" w:rsidR="000754BC" w:rsidRDefault="00466837">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1C102" w14:textId="77777777" w:rsidR="000754BC" w:rsidRDefault="00466837">
            <w:pPr>
              <w:spacing w:line="260" w:lineRule="auto"/>
            </w:pPr>
            <w:r>
              <w:rPr>
                <w:sz w:val="20"/>
                <w:szCs w:val="20"/>
              </w:rPr>
              <w:t>Facility-level data only for PADD 3 sub-districts.</w:t>
            </w:r>
          </w:p>
        </w:tc>
      </w:tr>
      <w:tr w:rsidR="000754BC" w14:paraId="0744EFFB"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A566B" w14:textId="77777777" w:rsidR="000754BC" w:rsidRDefault="00466837">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203C9" w14:textId="77777777" w:rsidR="000754BC" w:rsidRDefault="00466837">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829B6" w14:textId="77777777" w:rsidR="000754BC" w:rsidRDefault="00466837">
            <w:pPr>
              <w:spacing w:line="260" w:lineRule="auto"/>
            </w:pPr>
            <w:r>
              <w:rPr>
                <w:sz w:val="20"/>
                <w:szCs w:val="20"/>
              </w:rPr>
              <w:t>Commercial, SPR, and in-transit reported separately at PADD level.</w:t>
            </w:r>
          </w:p>
        </w:tc>
      </w:tr>
      <w:tr w:rsidR="000754BC" w14:paraId="25E33E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720E2" w14:textId="77777777" w:rsidR="000754BC" w:rsidRDefault="00466837">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580DA" w14:textId="77777777" w:rsidR="000754BC" w:rsidRDefault="00466837">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DD03AF" w14:textId="77777777" w:rsidR="000754BC" w:rsidRDefault="00466837">
            <w:pPr>
              <w:spacing w:line="260" w:lineRule="auto"/>
            </w:pPr>
            <w:r>
              <w:rPr>
                <w:sz w:val="20"/>
                <w:szCs w:val="20"/>
              </w:rPr>
              <w:t>Per-PADD-per-country granularity; no per-terminal allocation.</w:t>
            </w:r>
          </w:p>
        </w:tc>
      </w:tr>
      <w:tr w:rsidR="000754BC" w14:paraId="4399860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8B3E9" w14:textId="77777777" w:rsidR="000754BC" w:rsidRDefault="00466837">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AB921" w14:textId="77777777" w:rsidR="000754BC" w:rsidRDefault="00466837">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1CE567" w14:textId="77777777" w:rsidR="000754BC" w:rsidRDefault="00466837">
            <w:pPr>
              <w:spacing w:line="260" w:lineRule="auto"/>
            </w:pPr>
            <w:r>
              <w:rPr>
                <w:sz w:val="20"/>
                <w:szCs w:val="20"/>
              </w:rPr>
              <w:t>Per-PADD-per-country granularity; no per-terminal allocation.</w:t>
            </w:r>
          </w:p>
        </w:tc>
      </w:tr>
      <w:tr w:rsidR="000754BC" w14:paraId="3ABB81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75357" w14:textId="77777777" w:rsidR="000754BC" w:rsidRDefault="00466837">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53587" w14:textId="77777777" w:rsidR="000754BC" w:rsidRDefault="00466837">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E35EDF" w14:textId="77777777" w:rsidR="000754BC" w:rsidRDefault="00466837">
            <w:pPr>
              <w:spacing w:line="260" w:lineRule="auto"/>
            </w:pPr>
            <w:r>
              <w:rPr>
                <w:sz w:val="20"/>
                <w:szCs w:val="20"/>
              </w:rPr>
              <w:t>No per-pipeline allocation; many physical pipelines aggregated.</w:t>
            </w:r>
          </w:p>
        </w:tc>
      </w:tr>
    </w:tbl>
    <w:p w14:paraId="465A7859" w14:textId="77777777" w:rsidR="000754BC" w:rsidRDefault="00466837">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17C7D117" w14:textId="77777777" w:rsidR="000754BC" w:rsidRDefault="00466837">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67AD2244" w14:textId="42CFA66A" w:rsidR="000754BC" w:rsidRDefault="003D7E05">
      <w:pPr>
        <w:pStyle w:val="Heading2"/>
        <w:spacing w:after="160"/>
      </w:pPr>
      <w:r>
        <w:t>3.3 What</w:t>
      </w:r>
      <w:r w:rsidR="00466837">
        <w:t xml:space="preserve"> a representation must accommodate</w:t>
      </w:r>
    </w:p>
    <w:p w14:paraId="78086C68" w14:textId="77777777" w:rsidR="000754BC" w:rsidRDefault="00466837">
      <w:pPr>
        <w:spacing w:after="160" w:line="320" w:lineRule="auto"/>
        <w:jc w:val="both"/>
      </w:pPr>
      <w:r>
        <w:t>The physical and reporting structure described above yields five requirements that the framework must meet:</w:t>
      </w:r>
    </w:p>
    <w:p w14:paraId="7633CC96" w14:textId="77777777" w:rsidR="000754BC" w:rsidRDefault="00466837">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3C3C8B9B" w14:textId="77777777" w:rsidR="000754BC" w:rsidRDefault="00466837">
      <w:pPr>
        <w:pStyle w:val="ListParagraph"/>
        <w:numPr>
          <w:ilvl w:val="0"/>
          <w:numId w:val="2"/>
        </w:numPr>
        <w:spacing w:after="80" w:line="300" w:lineRule="auto"/>
      </w:pPr>
      <w:r>
        <w:rPr>
          <w:b/>
          <w:bCs/>
        </w:rPr>
        <w:t xml:space="preserve">Junction fan-outs with unobserved per-edge splits. </w:t>
      </w:r>
      <w:r>
        <w:t xml:space="preserve">The Permian outflow problem (one production node, three origin terminals, multiple pipelines from each, downstream destinations </w:t>
      </w:r>
      <w:r>
        <w:lastRenderedPageBreak/>
        <w:t>observed only at aggregate level) is structural, not exceptional. Bakken gathering, the Cushing hub, and the Gulf Coast export complex all exhibit the same pattern at different scales.</w:t>
      </w:r>
    </w:p>
    <w:p w14:paraId="79C48F8C" w14:textId="77777777" w:rsidR="000754BC" w:rsidRDefault="00466837">
      <w:pPr>
        <w:pStyle w:val="ListParagraph"/>
        <w:numPr>
          <w:ilvl w:val="0"/>
          <w:numId w:val="2"/>
        </w:numPr>
        <w:spacing w:after="80" w:line="300" w:lineRule="auto"/>
      </w:pPr>
      <w:r>
        <w:rPr>
          <w:b/>
          <w:bCs/>
        </w:rPr>
        <w:t xml:space="preserve">Residuals as information, not noise. </w:t>
      </w:r>
      <w:r>
        <w:t>The IEA convention of publishing the balancing item exists because the data does not close exactly, and the residual carries information about where the reporting system is failing to close. The framework must retain the residual as a first-class variable rather than absorbing it into adjacent flows.</w:t>
      </w:r>
    </w:p>
    <w:p w14:paraId="04C3F0B0" w14:textId="77777777" w:rsidR="000754BC" w:rsidRDefault="00466837">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6BF5491B" w14:textId="77777777" w:rsidR="000754BC" w:rsidRDefault="00466837">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3C02815A" w14:textId="77777777" w:rsidR="000754BC" w:rsidRDefault="00466837">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47292CF1" w14:textId="77777777" w:rsidR="000754BC" w:rsidRDefault="00466837">
      <w:pPr>
        <w:pageBreakBefore/>
      </w:pPr>
      <w:r>
        <w:rPr>
          <w:rFonts w:ascii="Cambria" w:eastAsia="Cambria" w:hAnsi="Cambria" w:cs="Cambria"/>
          <w:color w:val="2F5496"/>
        </w:rPr>
        <w:lastRenderedPageBreak/>
        <w:t>Chapter 4</w:t>
      </w:r>
    </w:p>
    <w:p w14:paraId="11ADEBD3" w14:textId="77777777" w:rsidR="000754BC" w:rsidRDefault="00466837">
      <w:pPr>
        <w:pStyle w:val="Heading1"/>
        <w:spacing w:before="100" w:after="400"/>
      </w:pPr>
      <w:r>
        <w:rPr>
          <w:sz w:val="44"/>
          <w:szCs w:val="44"/>
        </w:rPr>
        <w:t>A graph-and-scenario framework</w:t>
      </w:r>
    </w:p>
    <w:p w14:paraId="583CC210" w14:textId="77777777" w:rsidR="000754BC" w:rsidRDefault="00466837">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2DEDB36F" w14:textId="53FE7608" w:rsidR="000754BC" w:rsidRDefault="003D7E05">
      <w:pPr>
        <w:pStyle w:val="Heading2"/>
        <w:spacing w:after="160"/>
      </w:pPr>
      <w:r>
        <w:t>4.1 Physical</w:t>
      </w:r>
      <w:r w:rsidR="00466837">
        <w:t xml:space="preserve"> infrastructure is orthogonal to data</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592342E" w14:textId="77777777">
        <w:tc>
          <w:tcPr>
            <w:tcW w:w="5000" w:type="pct"/>
            <w:shd w:val="clear" w:color="auto" w:fill="F2F2F2"/>
            <w:tcMar>
              <w:top w:w="120" w:type="dxa"/>
              <w:left w:w="120" w:type="dxa"/>
              <w:bottom w:w="120" w:type="dxa"/>
              <w:right w:w="120" w:type="dxa"/>
            </w:tcMar>
          </w:tcPr>
          <w:p w14:paraId="3C871736" w14:textId="77777777" w:rsidR="00267FE8" w:rsidRDefault="00000000">
            <w:r>
              <w:rPr>
                <w:b/>
              </w:rPr>
              <w:t xml:space="preserve">Principle 1 — Orthogonality. </w:t>
            </w:r>
            <w:r>
              <w:t>Keep the physical layer and the data layer separate. Data updates must not change the graph; structural changes must not require data revisions.</w:t>
            </w:r>
          </w:p>
        </w:tc>
      </w:tr>
    </w:tbl>
    <w:p w14:paraId="74E8A013" w14:textId="77777777" w:rsidR="00267FE8" w:rsidRDefault="00267FE8"/>
    <w:p w14:paraId="13097814" w14:textId="77777777" w:rsidR="000754BC" w:rsidRDefault="00466837">
      <w:pPr>
        <w:spacing w:after="160" w:line="320" w:lineRule="auto"/>
        <w:jc w:val="both"/>
      </w:pPr>
      <w:r>
        <w:t>The framework's central commitment is a separation between two layers that current techniques conflate.</w:t>
      </w:r>
    </w:p>
    <w:p w14:paraId="6D504711" w14:textId="77777777" w:rsidR="000754BC" w:rsidRDefault="00466837">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3BC35308" w14:textId="77777777" w:rsidR="000754BC" w:rsidRDefault="00466837">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level when a new commercial source becomes available.</w:t>
      </w:r>
    </w:p>
    <w:p w14:paraId="4F553D7C" w14:textId="77777777" w:rsidR="000754BC" w:rsidRDefault="00466837">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from public infrastructure data — corporate filings, FERC and PHMSA registers, OGJ refinery surveys, trade-press surveys — and updated only when a real physical event takes place. Data binds to that graph through per-</w:t>
      </w:r>
      <w:r>
        <w:lastRenderedPageBreak/>
        <w:t>scenario assignments, which evolve continuously as new series and new sources become available, without ever modifying the underlying topology.</w:t>
      </w:r>
    </w:p>
    <w:p w14:paraId="1424A740" w14:textId="77777777" w:rsidR="000754BC" w:rsidRDefault="00466837">
      <w:pPr>
        <w:spacing w:after="160" w:line="320" w:lineRule="auto"/>
        <w:jc w:val="both"/>
      </w:pPr>
      <w:r>
        <w:t>This orthogonality is the framework's primary contribution. The four principles that follow are operational consequences: each is necessary for the orthogonality to be workable in practice.</w:t>
      </w:r>
    </w:p>
    <w:p w14:paraId="5D30F6A0" w14:textId="77777777" w:rsidR="000754BC" w:rsidRDefault="00466837">
      <w:pPr>
        <w:spacing w:before="200"/>
        <w:jc w:val="center"/>
      </w:pPr>
      <w:r>
        <w:rPr>
          <w:noProof/>
        </w:rPr>
        <w:drawing>
          <wp:inline distT="0" distB="0" distL="0" distR="0" wp14:anchorId="6F27FA66" wp14:editId="6BBE0B72">
            <wp:extent cx="5760720" cy="3702863"/>
            <wp:effectExtent l="0" t="0" r="0" b="0"/>
            <wp:docPr id="273708538" name="Picture 2737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02863"/>
                    </a:xfrm>
                    <a:prstGeom prst="rect">
                      <a:avLst/>
                    </a:prstGeom>
                  </pic:spPr>
                </pic:pic>
              </a:graphicData>
            </a:graphic>
          </wp:inline>
        </w:drawing>
      </w:r>
    </w:p>
    <w:p w14:paraId="3A7230B1" w14:textId="77777777" w:rsidR="000754BC" w:rsidRDefault="00466837">
      <w:pPr>
        <w:spacing w:before="80" w:after="240" w:line="280" w:lineRule="auto"/>
        <w:jc w:val="center"/>
      </w:pPr>
      <w:r>
        <w:rPr>
          <w:b/>
          <w:bCs/>
          <w:color w:val="595959"/>
          <w:sz w:val="18"/>
          <w:szCs w:val="18"/>
        </w:rPr>
        <w:t xml:space="preserve">Figure 4.1. </w:t>
      </w:r>
      <w:r>
        <w:rPr>
          <w:i/>
          <w:iCs/>
          <w:color w:val="595959"/>
          <w:sz w:val="18"/>
          <w:szCs w:val="18"/>
        </w:rPr>
        <w:t xml:space="preserve">The </w:t>
      </w:r>
      <w:proofErr w:type="spellStart"/>
      <w:r>
        <w:rPr>
          <w:i/>
          <w:iCs/>
          <w:color w:val="595959"/>
          <w:sz w:val="18"/>
          <w:szCs w:val="18"/>
        </w:rPr>
        <w:t>oil_network</w:t>
      </w:r>
      <w:proofErr w:type="spellEnd"/>
      <w:r>
        <w:rPr>
          <w:i/>
          <w:iCs/>
          <w:color w:val="595959"/>
          <w:sz w:val="18"/>
          <w:szCs w:val="18"/>
        </w:rPr>
        <w:t xml:space="preserve"> data model as enforced by the schema. The persistent structural layer (top, blue) holds graphs, assets, nodes, variables, and locations — the slow-changing physical infrastructure. The scenario layer (bottom, orange) holds scenarios, </w:t>
      </w:r>
      <w:proofErr w:type="spellStart"/>
      <w:r>
        <w:rPr>
          <w:i/>
          <w:iCs/>
          <w:color w:val="595959"/>
          <w:sz w:val="18"/>
          <w:szCs w:val="18"/>
        </w:rPr>
        <w:t>variable_assignments</w:t>
      </w:r>
      <w:proofErr w:type="spellEnd"/>
      <w:r>
        <w:rPr>
          <w:i/>
          <w:iCs/>
          <w:color w:val="595959"/>
          <w:sz w:val="18"/>
          <w:szCs w:val="18"/>
        </w:rPr>
        <w:t xml:space="preserve">, and timeseries — the volatile data attached to that infrastructure. The CHECK constraint </w:t>
      </w:r>
      <w:proofErr w:type="spellStart"/>
      <w:r>
        <w:rPr>
          <w:i/>
          <w:iCs/>
          <w:color w:val="595959"/>
          <w:sz w:val="18"/>
          <w:szCs w:val="18"/>
        </w:rPr>
        <w:t>num_nonnulls</w:t>
      </w:r>
      <w:proofErr w:type="spellEnd"/>
      <w:r>
        <w:rPr>
          <w:i/>
          <w:iCs/>
          <w:color w:val="595959"/>
          <w:sz w:val="18"/>
          <w:szCs w:val="18"/>
        </w:rPr>
        <w:t>(</w:t>
      </w:r>
      <w:proofErr w:type="spellStart"/>
      <w:r>
        <w:rPr>
          <w:i/>
          <w:iCs/>
          <w:color w:val="595959"/>
          <w:sz w:val="18"/>
          <w:szCs w:val="18"/>
        </w:rPr>
        <w:t>timeseries_id</w:t>
      </w:r>
      <w:proofErr w:type="spellEnd"/>
      <w:r>
        <w:rPr>
          <w:i/>
          <w:iCs/>
          <w:color w:val="595959"/>
          <w:sz w:val="18"/>
          <w:szCs w:val="18"/>
        </w:rPr>
        <w:t xml:space="preserve">, formula) = 1 on </w:t>
      </w:r>
      <w:proofErr w:type="spellStart"/>
      <w:r>
        <w:rPr>
          <w:i/>
          <w:iCs/>
          <w:color w:val="595959"/>
          <w:sz w:val="18"/>
          <w:szCs w:val="18"/>
        </w:rPr>
        <w:t>variable_assignments</w:t>
      </w:r>
      <w:proofErr w:type="spellEnd"/>
      <w:r>
        <w:rPr>
          <w:i/>
          <w:iCs/>
          <w:color w:val="595959"/>
          <w:sz w:val="18"/>
          <w:szCs w:val="18"/>
        </w:rPr>
        <w:t xml:space="preserve"> enforces single attribution at the schema level. The same-graph trigger ensures that an assignment's scenario and its variable's node resolve to the same graph. The resolver consumes assignments and produces resolved values for downstream consumers.</w:t>
      </w:r>
    </w:p>
    <w:p w14:paraId="49C2C49A" w14:textId="2C3EFDAA" w:rsidR="000754BC" w:rsidRDefault="00382513">
      <w:pPr>
        <w:pStyle w:val="Heading2"/>
        <w:spacing w:after="160"/>
      </w:pPr>
      <w:r>
        <w:t>4.2 Assets</w:t>
      </w:r>
      <w:r w:rsidR="00466837">
        <w:t xml:space="preserve"> are first-class nodes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319DA044" w14:textId="77777777">
        <w:tc>
          <w:tcPr>
            <w:tcW w:w="5000" w:type="pct"/>
            <w:shd w:val="clear" w:color="auto" w:fill="F2F2F2"/>
            <w:tcMar>
              <w:top w:w="120" w:type="dxa"/>
              <w:left w:w="120" w:type="dxa"/>
              <w:bottom w:w="120" w:type="dxa"/>
              <w:right w:w="120" w:type="dxa"/>
            </w:tcMar>
          </w:tcPr>
          <w:p w14:paraId="1B51F12A" w14:textId="77777777" w:rsidR="00267FE8" w:rsidRDefault="00000000">
            <w:r>
              <w:rPr>
                <w:b/>
              </w:rPr>
              <w:t xml:space="preserve">Principle 2 — Assets as nodes. </w:t>
            </w:r>
            <w:r>
              <w:t>Every physical asset — refinery, pipeline, vessel, terminal, basin, gathering system — is a node carrying its own inventory and mass balance. Edges are flows; assets are not edge attributes.</w:t>
            </w:r>
          </w:p>
        </w:tc>
      </w:tr>
    </w:tbl>
    <w:p w14:paraId="071A198A" w14:textId="77777777" w:rsidR="00267FE8" w:rsidRDefault="00267FE8"/>
    <w:p w14:paraId="4FFD1AAA" w14:textId="77777777" w:rsidR="000754BC" w:rsidRDefault="00466837">
      <w:pPr>
        <w:spacing w:after="160" w:line="320" w:lineRule="auto"/>
        <w:jc w:val="both"/>
      </w:pP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3BF4D9FA" w14:textId="77777777" w:rsidR="000754BC" w:rsidRDefault="00466837">
      <w:pPr>
        <w:spacing w:after="160" w:line="320" w:lineRule="auto"/>
        <w:jc w:val="both"/>
      </w:pPr>
      <w:r>
        <w:lastRenderedPageBreak/>
        <w:t>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actually are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its voyage; treating that volume as an edge attribute makes the cargo invisible to any analysis that asks where U.S. stocks actually sit. The asset-centric commitment exposes both: the pipeline's line-fill is its own stock variable, the vessel's cargo is its own stock variable, each accountable as the system makes them accountable in operational practice.</w:t>
      </w:r>
    </w:p>
    <w:p w14:paraId="3B5B2D14" w14:textId="77777777" w:rsidR="000754BC" w:rsidRDefault="00466837">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representation, where pipelines and tanks are edge attributes, none of them would have a natural home.</w:t>
      </w:r>
    </w:p>
    <w:p w14:paraId="33DD2944" w14:textId="77777777" w:rsidR="000754BC" w:rsidRDefault="00466837">
      <w:pPr>
        <w:pStyle w:val="Heading2"/>
        <w:spacing w:after="160"/>
      </w:pPr>
      <w:r>
        <w:t>4.3  Mass balance with an explicit balancing item</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670DADD4" w14:textId="77777777">
        <w:tc>
          <w:tcPr>
            <w:tcW w:w="5000" w:type="pct"/>
            <w:shd w:val="clear" w:color="auto" w:fill="F2F2F2"/>
            <w:tcMar>
              <w:top w:w="120" w:type="dxa"/>
              <w:left w:w="120" w:type="dxa"/>
              <w:bottom w:w="120" w:type="dxa"/>
              <w:right w:w="120" w:type="dxa"/>
            </w:tcMar>
          </w:tcPr>
          <w:p w14:paraId="0F526587" w14:textId="77777777" w:rsidR="00267FE8" w:rsidRDefault="00000000">
            <w:r>
              <w:rPr>
                <w:b/>
              </w:rPr>
              <w:t xml:space="preserve">Principle 3 — Mass balance with B. </w:t>
            </w:r>
            <w:r>
              <w:t>Every node satisfies ΔS = P + ΣF_in − C − ΣF_out + B. The balancing item B is a labelled, first-class variable — never an unlabelled adjustment column.</w:t>
            </w:r>
          </w:p>
        </w:tc>
      </w:tr>
    </w:tbl>
    <w:p w14:paraId="12D28A4A" w14:textId="77777777" w:rsidR="00267FE8" w:rsidRDefault="00267FE8"/>
    <w:p w14:paraId="4684D6BE" w14:textId="77777777" w:rsidR="000754BC" w:rsidRDefault="00466837">
      <w:pPr>
        <w:spacing w:after="160" w:line="320" w:lineRule="auto"/>
        <w:jc w:val="both"/>
      </w:pPr>
      <w:r>
        <w:t>Every physical node in the framework satisfies the mass-balance equation:</w:t>
      </w:r>
    </w:p>
    <w:p w14:paraId="712F03F9" w14:textId="77777777" w:rsidR="000754BC" w:rsidRDefault="00466837">
      <w:pPr>
        <w:spacing w:before="160" w:after="200" w:line="320" w:lineRule="auto"/>
        <w:jc w:val="center"/>
      </w:pPr>
      <w:r>
        <w:rPr>
          <w:rFonts w:ascii="Cambria Math" w:eastAsia="Cambria Math" w:hAnsi="Cambria Math" w:cs="Cambria Math"/>
          <w:i/>
          <w:iCs/>
          <w:sz w:val="24"/>
          <w:szCs w:val="24"/>
        </w:rPr>
        <w:t>ΔS = P + ΣFᵢₙ − C − ΣFₒᵤₜ + B</w:t>
      </w:r>
    </w:p>
    <w:p w14:paraId="33B85634" w14:textId="77777777" w:rsidR="000754BC" w:rsidRDefault="00466837">
      <w:pPr>
        <w:spacing w:after="160" w:line="320" w:lineRule="auto"/>
        <w:jc w:val="both"/>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41CFCE59" w14:textId="77777777" w:rsidR="000754BC" w:rsidRDefault="00466837">
      <w:pPr>
        <w:spacing w:after="160" w:line="320" w:lineRule="auto"/>
        <w:jc w:val="both"/>
      </w:pPr>
      <w:r>
        <w:t xml:space="preserve">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 the reporting system is failing to capture directly. The information content of B is not a side effect; it is the reason the variable exists. Chapter 5 uses this directly: B spikes around Hurricane Harvey, COVID-19, </w:t>
      </w:r>
      <w:r>
        <w:lastRenderedPageBreak/>
        <w:t>the Colonial Pipeline shutdown, and the SPR release are visible in the framework and absent from the spreadsheet workflow that absorbs them silently.</w:t>
      </w:r>
    </w:p>
    <w:p w14:paraId="5C2C14C8" w14:textId="77777777" w:rsidR="000754BC" w:rsidRDefault="00466837">
      <w:pPr>
        <w:spacing w:after="160" w:line="320" w:lineRule="auto"/>
        <w:jc w:val="both"/>
      </w:pPr>
      <w:r>
        <w:t xml:space="preserve">Mass balance is enforced at physical assets only. Abstract aggregation views — PADD-level rollups, refining-district rollups, basin-level rollups — inherit mass balance as a consequence of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22261E71" w14:textId="77777777" w:rsidR="000754BC" w:rsidRDefault="00466837">
      <w:pPr>
        <w:pStyle w:val="Heading2"/>
        <w:spacing w:after="160"/>
      </w:pPr>
      <w:r>
        <w:t>4.4  Observed or derived: single attribution at the schema level</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AA017EE" w14:textId="77777777">
        <w:tc>
          <w:tcPr>
            <w:tcW w:w="5000" w:type="pct"/>
            <w:shd w:val="clear" w:color="auto" w:fill="F2F2F2"/>
            <w:tcMar>
              <w:top w:w="120" w:type="dxa"/>
              <w:left w:w="120" w:type="dxa"/>
              <w:bottom w:w="120" w:type="dxa"/>
              <w:right w:w="120" w:type="dxa"/>
            </w:tcMar>
          </w:tcPr>
          <w:p w14:paraId="320FFE6B" w14:textId="42967BF5" w:rsidR="00267FE8" w:rsidRDefault="00000000">
            <w:r>
              <w:rPr>
                <w:b/>
              </w:rPr>
              <w:t xml:space="preserve">Principle 4 — Observed or derived. </w:t>
            </w:r>
            <w:r>
              <w:t xml:space="preserve">Every variable, in every scenario, is either observed (TS-bound) or derived (formula-bound) — never both. </w:t>
            </w:r>
          </w:p>
        </w:tc>
      </w:tr>
    </w:tbl>
    <w:p w14:paraId="5AC2BCC2" w14:textId="77777777" w:rsidR="00267FE8" w:rsidRDefault="00267FE8"/>
    <w:p w14:paraId="1EC51994" w14:textId="27DAB1F4" w:rsidR="000754BC" w:rsidRDefault="00466837" w:rsidP="00AD1560">
      <w:pPr>
        <w:spacing w:after="160" w:line="320" w:lineRule="auto"/>
        <w:jc w:val="both"/>
      </w:pPr>
      <w:r>
        <w:t xml:space="preserve">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w:t>
      </w:r>
    </w:p>
    <w:p w14:paraId="0A72F280" w14:textId="77777777" w:rsidR="000754BC" w:rsidRDefault="00466837">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central consistency property: every value in the resolved output is traceable to exactly one source.</w:t>
      </w:r>
    </w:p>
    <w:p w14:paraId="76CDC0A9" w14:textId="77777777" w:rsidR="000754BC" w:rsidRDefault="00466837">
      <w:pPr>
        <w:spacing w:after="160" w:line="320" w:lineRule="auto"/>
        <w:jc w:val="both"/>
      </w:pPr>
      <w:r>
        <w:t>The constraint does not forbid declaring an aggregation relationship for cross-checking. A PADD-level production variable can be bound to its EIA series (the source of value) and also list its constituent basin and state variables in a separate aggregation-inputs column (the cross-check). The aggregation-inputs column is not a second source; it is the constraint set against which the observed aggregate can be compared. The view that materialises the comparison reports any gap between observed and constituents-sum at every observation date. PADD-level production is the canonical case: each PADD view's production variable is observed against the relevant EIA series and cross-checked against the sum of its named basins, with both sides agreeing within rounding tolerance.</w:t>
      </w:r>
    </w:p>
    <w:p w14:paraId="4E64FB05" w14:textId="1FFCFDB0" w:rsidR="000754BC" w:rsidRDefault="00AD1560">
      <w:pPr>
        <w:pStyle w:val="Heading2"/>
        <w:spacing w:after="160"/>
      </w:pPr>
      <w:r>
        <w:t>4.5 Latent</w:t>
      </w:r>
      <w:r w:rsidR="00466837">
        <w:t xml:space="preserve"> variables for unobserved flows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E5809BB" w14:textId="77777777">
        <w:tc>
          <w:tcPr>
            <w:tcW w:w="5000" w:type="pct"/>
            <w:shd w:val="clear" w:color="auto" w:fill="F2F2F2"/>
            <w:tcMar>
              <w:top w:w="120" w:type="dxa"/>
              <w:left w:w="120" w:type="dxa"/>
              <w:bottom w:w="120" w:type="dxa"/>
              <w:right w:w="120" w:type="dxa"/>
            </w:tcMar>
          </w:tcPr>
          <w:p w14:paraId="7BD03A43" w14:textId="77777777" w:rsidR="00267FE8" w:rsidRDefault="00000000">
            <w:r>
              <w:rPr>
                <w:b/>
              </w:rPr>
              <w:lastRenderedPageBreak/>
              <w:t xml:space="preserve">Principle 5 — Latent flows. </w:t>
            </w:r>
            <w:r>
              <w:t>Flows the data does not observe — junction splits, fan-outs, in-transit volumes — are declared as latent variables constrained by mass balance and capacity, not back-filled by ad-hoc allocation rules. Latent is not missing.</w:t>
            </w:r>
          </w:p>
        </w:tc>
      </w:tr>
    </w:tbl>
    <w:p w14:paraId="127A52A2" w14:textId="77777777" w:rsidR="00267FE8" w:rsidRDefault="00267FE8"/>
    <w:p w14:paraId="12FED0C0" w14:textId="77777777" w:rsidR="000754BC" w:rsidRDefault="00466837">
      <w:pPr>
        <w:spacing w:after="160" w:line="320" w:lineRule="auto"/>
        <w:jc w:val="both"/>
      </w:pPr>
      <w:r>
        <w:t>Some flows in the physical network are real but not directly observed at any resolution that public data provides. 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Wink-to-Webster), is not publicly reported. The same pattern recurs at the Bakken gathering system, at the Cushing hub, and at the Gulf Coast export complex.</w:t>
      </w:r>
    </w:p>
    <w:p w14:paraId="549B18BC" w14:textId="77777777" w:rsidR="000754BC" w:rsidRDefault="00466837">
      <w:pPr>
        <w:spacing w:after="160" w:line="320" w:lineRule="auto"/>
        <w:jc w:val="both"/>
      </w:pPr>
      <w:r>
        <w:t>The framework treats these unobserved per-edge flows as latent: declared variables with a clear structural role and a clear physical meaning, but without an assigned value. They appear in the resolved output with value = NULL and source = 'latent', which distinguishes them from values that are simply missing or unresolved through a bug. Mass balance at the junction still applies, so the latent variables are not unconstrained — their sum is fixed by the observed total at the upstream node, and their downstream destinations contribute additional constraints.</w:t>
      </w:r>
    </w:p>
    <w:p w14:paraId="5D10CCF8" w14:textId="77777777" w:rsidR="000754BC" w:rsidRDefault="00466837">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68943CC7" w14:textId="77777777" w:rsidR="000754BC" w:rsidRDefault="00466837">
      <w:pPr>
        <w:pStyle w:val="Heading2"/>
        <w:spacing w:after="160"/>
      </w:pPr>
      <w:r>
        <w:t>4.6  Multi-resolution data through aggregation views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2F39F4A" w14:textId="77777777">
        <w:tc>
          <w:tcPr>
            <w:tcW w:w="5000" w:type="pct"/>
            <w:shd w:val="clear" w:color="auto" w:fill="F2F2F2"/>
            <w:tcMar>
              <w:top w:w="120" w:type="dxa"/>
              <w:left w:w="120" w:type="dxa"/>
              <w:bottom w:w="120" w:type="dxa"/>
              <w:right w:w="120" w:type="dxa"/>
            </w:tcMar>
          </w:tcPr>
          <w:p w14:paraId="79C0C287" w14:textId="55C7BE6A" w:rsidR="00267FE8" w:rsidRPr="007314D1" w:rsidRDefault="00000000">
            <w:pPr>
              <w:rPr>
                <w:bCs/>
              </w:rPr>
            </w:pPr>
            <w:r>
              <w:rPr>
                <w:b/>
              </w:rPr>
              <w:t xml:space="preserve">Principle 6 — </w:t>
            </w:r>
            <w:r w:rsidR="007314D1">
              <w:rPr>
                <w:bCs/>
              </w:rPr>
              <w:t>A</w:t>
            </w:r>
            <w:r w:rsidR="007314D1" w:rsidRPr="007314D1">
              <w:rPr>
                <w:bCs/>
              </w:rPr>
              <w:t>bstract nodes</w:t>
            </w:r>
            <w:r w:rsidR="00F62E71">
              <w:rPr>
                <w:bCs/>
              </w:rPr>
              <w:t xml:space="preserve"> do not have edges</w:t>
            </w:r>
            <w:r w:rsidRPr="007314D1">
              <w:rPr>
                <w:bCs/>
              </w:rPr>
              <w:t xml:space="preserve">. Administrative aggregates (PADDs, refining districts, basin rollups) are </w:t>
            </w:r>
            <w:r w:rsidR="00F62E71">
              <w:rPr>
                <w:bCs/>
              </w:rPr>
              <w:t>abstract nodes</w:t>
            </w:r>
            <w:r w:rsidRPr="007314D1">
              <w:rPr>
                <w:bCs/>
              </w:rPr>
              <w:t xml:space="preserve"> over physical nodes, not duplicate storage. Mixed-resolution data feeds in through these views without double-counting.</w:t>
            </w:r>
            <w:r w:rsidR="000F6C0D" w:rsidRPr="007314D1">
              <w:rPr>
                <w:bCs/>
              </w:rPr>
              <w:t xml:space="preserve"> </w:t>
            </w:r>
          </w:p>
        </w:tc>
      </w:tr>
    </w:tbl>
    <w:p w14:paraId="0732C99B" w14:textId="77777777" w:rsidR="00267FE8" w:rsidRDefault="00267FE8"/>
    <w:p w14:paraId="19EC93B5" w14:textId="77777777" w:rsidR="000754BC" w:rsidRDefault="00466837">
      <w:pPr>
        <w:spacing w:after="160" w:line="320" w:lineRule="auto"/>
        <w:jc w:val="both"/>
      </w:pPr>
      <w:r>
        <w:t xml:space="preserve">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w:t>
      </w:r>
      <w:r>
        <w:lastRenderedPageBreak/>
        <w:t>node directly; the relationship between them is declared as an aggregation relationship, not as a value-allocation rule. When both levels are observed simultaneously — as is typical for production — the comparison between observed parent and sum of observed children is a cross-check, not a reconciliation step.</w:t>
      </w:r>
    </w:p>
    <w:p w14:paraId="23EB526F" w14:textId="77777777" w:rsidR="000754BC" w:rsidRDefault="00466837">
      <w:pPr>
        <w:spacing w:after="160" w:line="320" w:lineRule="auto"/>
        <w:jc w:val="both"/>
      </w:pPr>
      <w:r>
        <w:t>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exactly one value source (the schema-level CHECK of Section 4.4). It may additionally declare any number of aggregation relationships for cross-checking, none of which acts as a second source of value.</w:t>
      </w:r>
    </w:p>
    <w:p w14:paraId="15C63156" w14:textId="77777777" w:rsidR="000754BC" w:rsidRDefault="00466837">
      <w:pPr>
        <w:spacing w:after="160" w:line="320" w:lineRule="auto"/>
        <w:jc w:val="both"/>
      </w:pPr>
      <w:r>
        <w:t>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Permian-TX and Permian-NM nodes are in a parent-child relationship to the Permian basin aggregate, but they sit in different states for geography purposes. Labels are useful for filtering and presentation; they are not a substitute for the explicit aggregation declaration.</w:t>
      </w:r>
    </w:p>
    <w:p w14:paraId="6F5F6EE1" w14:textId="4B13E76F" w:rsidR="000754BC" w:rsidRDefault="00F62E71">
      <w:pPr>
        <w:pStyle w:val="Heading2"/>
        <w:spacing w:after="160"/>
      </w:pPr>
      <w:r>
        <w:t>4.7 What</w:t>
      </w:r>
      <w:r w:rsidR="00466837">
        <w:t xml:space="preserve"> the principles deliver together</w:t>
      </w:r>
    </w:p>
    <w:p w14:paraId="3B2DA83F" w14:textId="77777777" w:rsidR="000754BC" w:rsidRDefault="00466837">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619C5220" w14:textId="77777777" w:rsidR="000754BC" w:rsidRDefault="00466837">
      <w:pPr>
        <w:pageBreakBefore/>
      </w:pPr>
      <w:r>
        <w:rPr>
          <w:rFonts w:ascii="Cambria" w:eastAsia="Cambria" w:hAnsi="Cambria" w:cs="Cambria"/>
          <w:color w:val="2F5496"/>
        </w:rPr>
        <w:lastRenderedPageBreak/>
        <w:t>Chapter 5</w:t>
      </w:r>
    </w:p>
    <w:p w14:paraId="45077C47" w14:textId="77777777" w:rsidR="000754BC" w:rsidRDefault="00466837">
      <w:pPr>
        <w:pStyle w:val="Heading1"/>
        <w:spacing w:before="100" w:after="400"/>
      </w:pPr>
      <w:r>
        <w:rPr>
          <w:sz w:val="44"/>
          <w:szCs w:val="44"/>
        </w:rPr>
        <w:t>Case study: where the framework is better</w:t>
      </w:r>
    </w:p>
    <w:p w14:paraId="4B3783CA" w14:textId="77777777" w:rsidR="000754BC" w:rsidRDefault="00466837">
      <w:pPr>
        <w:spacing w:after="160" w:line="320" w:lineRule="auto"/>
        <w:jc w:val="both"/>
      </w:pPr>
      <w:r>
        <w:t>The previous chapter set out the framework's design principles. This chapter demonstrates that they translate into a materially different output from the dominant current technique on the same input data. The comparison is direct: on the same EIA monthly series, what does the practitioner spreadsheet workflow produce, and what does the framework produce? Two scenarios are considered. The first is a structural discrepancy that is present in essentially every month — the PADD 5 in-transit anomaly. The second is a disruption month — Hurricane Harvey in August 2017 — when the reporting system did not close cleanly and the difference between the two methods becomes most visible.</w:t>
      </w:r>
    </w:p>
    <w:p w14:paraId="2BC7A79D" w14:textId="77777777" w:rsidR="000754BC" w:rsidRDefault="00466837">
      <w:pPr>
        <w:pStyle w:val="Heading2"/>
        <w:spacing w:after="160"/>
      </w:pPr>
      <w:r>
        <w:t>5.1  Setup</w:t>
      </w:r>
    </w:p>
    <w:p w14:paraId="2575F399" w14:textId="77777777" w:rsidR="000754BC" w:rsidRDefault="00466837">
      <w:pPr>
        <w:spacing w:after="160" w:line="320" w:lineRule="auto"/>
        <w:jc w:val="both"/>
      </w:pPr>
      <w:r>
        <w:t>Both methods take the same monthly EIA series as input. For each PADD and for the USA aggregate, the inputs are production, refinery runs (the proxy for consumption), imports, exports, inter-PADD movements (where applicable), and the change in commercial stocks. Both methods produce as output a monthly balance that satisfies the identity</w:t>
      </w:r>
    </w:p>
    <w:p w14:paraId="390F0BF3"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ΔS = P + Imports + </w:t>
      </w:r>
      <w:proofErr w:type="spellStart"/>
      <w:r>
        <w:rPr>
          <w:rFonts w:ascii="Cambria Math" w:eastAsia="Cambria Math" w:hAnsi="Cambria Math" w:cs="Cambria Math"/>
          <w:i/>
          <w:iCs/>
          <w:sz w:val="24"/>
          <w:szCs w:val="24"/>
        </w:rPr>
        <w:t>Movements_in</w:t>
      </w:r>
      <w:proofErr w:type="spellEnd"/>
      <w:r>
        <w:rPr>
          <w:rFonts w:ascii="Cambria Math" w:eastAsia="Cambria Math" w:hAnsi="Cambria Math" w:cs="Cambria Math"/>
          <w:i/>
          <w:iCs/>
          <w:sz w:val="24"/>
          <w:szCs w:val="24"/>
        </w:rPr>
        <w:t xml:space="preserve"> − C − Exports − </w:t>
      </w:r>
      <w:proofErr w:type="spellStart"/>
      <w:r>
        <w:rPr>
          <w:rFonts w:ascii="Cambria Math" w:eastAsia="Cambria Math" w:hAnsi="Cambria Math" w:cs="Cambria Math"/>
          <w:i/>
          <w:iCs/>
          <w:sz w:val="24"/>
          <w:szCs w:val="24"/>
        </w:rPr>
        <w:t>Movements_out</w:t>
      </w:r>
      <w:proofErr w:type="spellEnd"/>
      <w:r>
        <w:rPr>
          <w:rFonts w:ascii="Cambria Math" w:eastAsia="Cambria Math" w:hAnsi="Cambria Math" w:cs="Cambria Math"/>
          <w:i/>
          <w:iCs/>
          <w:sz w:val="24"/>
          <w:szCs w:val="24"/>
        </w:rPr>
        <w:t xml:space="preserve"> + B</w:t>
      </w:r>
    </w:p>
    <w:p w14:paraId="114A3B2D" w14:textId="77777777" w:rsidR="000754BC" w:rsidRDefault="00466837">
      <w:pPr>
        <w:spacing w:after="160" w:line="320" w:lineRule="auto"/>
        <w:jc w:val="both"/>
      </w:pPr>
      <w:r>
        <w:t>at the PADD level and at the USA aggregate. The methodological difference is in how each method handles the term B. The spreadsheet workflow treats B as a residual to be absorbed into an unlabelled adjustment column, with allocation rules that vary by analyst. The framework treats B as a first-class variable, retained on the node where it arises, with size and sign that carry information.</w:t>
      </w:r>
    </w:p>
    <w:p w14:paraId="67CCF547" w14:textId="77777777" w:rsidR="000754BC" w:rsidRDefault="00466837">
      <w:pPr>
        <w:spacing w:after="160" w:line="320" w:lineRule="auto"/>
        <w:jc w:val="both"/>
      </w:pPr>
      <w:r>
        <w:t>The framework's output for both scenarios is taken from the implemented system described in Annex A. The spreadsheet workflow's output is reconstructed by applying the canonical allocation rules used in publicly documented industry workbooks to the same EIA series, with the residual absorbed into a single adjustment cell per PADD per month. Where the two methods would produce the same numbers for a given line item, the comparison shows those numbers as common; where they would differ, the comparison shows both.</w:t>
      </w:r>
    </w:p>
    <w:p w14:paraId="3CEA8D05" w14:textId="77777777" w:rsidR="000754BC" w:rsidRDefault="00466837">
      <w:pPr>
        <w:pStyle w:val="Heading2"/>
        <w:spacing w:after="160"/>
      </w:pPr>
      <w:r>
        <w:t>5.2  Steady-state comparison: the PADD 5 in-transit anomaly</w:t>
      </w:r>
    </w:p>
    <w:p w14:paraId="0D30C5B2" w14:textId="77777777" w:rsidR="000754BC" w:rsidRDefault="00466837">
      <w:pPr>
        <w:spacing w:after="160" w:line="320" w:lineRule="auto"/>
        <w:jc w:val="both"/>
      </w:pPr>
      <w:r>
        <w:t xml:space="preserve">EIA's stock identity for PADD 5 — the West Coast PADD, comprising California, Washington, Oregon, Alaska, Nevada, Arizona, and Hawaii — includes commercial stocks at tank farms, the Strategic Petroleum Reserve allocation to PADD 5 (zero in practice, as SPR sites are on the Gulf Coast), and an in-transit </w:t>
      </w:r>
      <w:r>
        <w:lastRenderedPageBreak/>
        <w:t>allocation. The published PADD 5 stock total consistently overshoots the sum of named commercial hubs and refinery stocks within PADD 5 by approximately six million barrels.</w:t>
      </w:r>
    </w:p>
    <w:p w14:paraId="231CFF14" w14:textId="77777777" w:rsidR="000754BC" w:rsidRDefault="00466837">
      <w:pPr>
        <w:spacing w:after="160" w:line="320" w:lineRule="auto"/>
        <w:jc w:val="both"/>
      </w:pPr>
      <w:r>
        <w:t>That residual has a clear physical interpretation. PADD 5 is structurally a net importer with limited pipeline connectivity to the rest of the United States. A meaningful share of the crude consumed at West Coast refineries arrives by tanker from the Gulf Coast under the Jones Act — the cabotage law that requires U.S.-flagged, U.S.-built, and U.S.-crewed vessels for domestic point-to-point trade. The voyage from Houston or Beaumont to Los Angeles or San Francisco takes approximately ten days, so at any given month-end a non-trivial volume of PADD-3-origin crude is in transit between the two PADDs. EIA allocates this in-transit volume to PADD 5 as destination-based ending stocks, which is why the PADD 5 total exceeds the sum of named PADD 5 hubs.</w:t>
      </w:r>
    </w:p>
    <w:p w14:paraId="2A726BB2" w14:textId="77777777" w:rsidR="000754BC" w:rsidRDefault="00466837">
      <w:pPr>
        <w:spacing w:after="160" w:line="320" w:lineRule="auto"/>
        <w:jc w:val="both"/>
      </w:pPr>
      <w:r>
        <w:t>The two methods handle this six-million-barrel volume very differently. Table 5.1 presents the comparison for a representative recent month, with values in thousand barrels.</w:t>
      </w:r>
    </w:p>
    <w:p w14:paraId="029A65CF"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30"/>
        <w:gridCol w:w="3030"/>
      </w:tblGrid>
      <w:tr w:rsidR="000754BC" w14:paraId="05CDE9CB"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8405704" w14:textId="77777777" w:rsidR="000754BC" w:rsidRDefault="00466837">
            <w:pPr>
              <w:spacing w:line="260" w:lineRule="auto"/>
            </w:pPr>
            <w:r>
              <w:rPr>
                <w:b/>
                <w:bCs/>
                <w:color w:val="FFFFFF"/>
                <w:sz w:val="20"/>
                <w:szCs w:val="20"/>
              </w:rPr>
              <w:t>PADD 5 stock identity (</w:t>
            </w:r>
            <w:proofErr w:type="spellStart"/>
            <w:r>
              <w:rPr>
                <w:b/>
                <w:bCs/>
                <w:color w:val="FFFFFF"/>
                <w:sz w:val="20"/>
                <w:szCs w:val="20"/>
              </w:rPr>
              <w:t>kbbl</w:t>
            </w:r>
            <w:proofErr w:type="spellEnd"/>
            <w:r>
              <w:rPr>
                <w:b/>
                <w:bCs/>
                <w:color w:val="FFFFFF"/>
                <w:sz w:val="20"/>
                <w:szCs w:val="20"/>
              </w:rPr>
              <w:t>)</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75723B9" w14:textId="77777777" w:rsidR="000754BC" w:rsidRDefault="00466837">
            <w:pPr>
              <w:spacing w:line="260" w:lineRule="auto"/>
            </w:pPr>
            <w:r>
              <w:rPr>
                <w:b/>
                <w:bCs/>
                <w:color w:val="FFFFFF"/>
                <w:sz w:val="20"/>
                <w:szCs w:val="20"/>
              </w:rPr>
              <w:t>Spreadsheet workflow</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50256EF" w14:textId="77777777" w:rsidR="000754BC" w:rsidRDefault="00466837">
            <w:pPr>
              <w:spacing w:line="260" w:lineRule="auto"/>
            </w:pPr>
            <w:r>
              <w:rPr>
                <w:b/>
                <w:bCs/>
                <w:color w:val="FFFFFF"/>
                <w:sz w:val="20"/>
                <w:szCs w:val="20"/>
              </w:rPr>
              <w:t>Framework</w:t>
            </w:r>
          </w:p>
        </w:tc>
      </w:tr>
      <w:tr w:rsidR="000754BC" w14:paraId="73B8460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8EB17D" w14:textId="77777777" w:rsidR="000754BC" w:rsidRDefault="00466837">
            <w:pPr>
              <w:spacing w:line="260" w:lineRule="auto"/>
            </w:pPr>
            <w:r>
              <w:rPr>
                <w:sz w:val="20"/>
                <w:szCs w:val="20"/>
              </w:rPr>
              <w:t>Commercial tank farms (named)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3BF0B6" w14:textId="77777777" w:rsidR="000754BC" w:rsidRDefault="00466837">
            <w:pPr>
              <w:spacing w:line="260" w:lineRule="auto"/>
            </w:pPr>
            <w:r>
              <w:rPr>
                <w:sz w:val="20"/>
                <w:szCs w:val="20"/>
              </w:rPr>
              <w:t>~52,400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8E49F6" w14:textId="77777777" w:rsidR="000754BC" w:rsidRDefault="00466837">
            <w:pPr>
              <w:spacing w:line="260" w:lineRule="auto"/>
            </w:pPr>
            <w:r>
              <w:rPr>
                <w:sz w:val="20"/>
                <w:szCs w:val="20"/>
              </w:rPr>
              <w:t>52,400 (on named hub nodes)</w:t>
            </w:r>
          </w:p>
        </w:tc>
      </w:tr>
      <w:tr w:rsidR="000754BC" w14:paraId="25AE4812"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631DFB" w14:textId="77777777" w:rsidR="000754BC" w:rsidRDefault="00466837">
            <w:pPr>
              <w:spacing w:line="260" w:lineRule="auto"/>
            </w:pPr>
            <w:r>
              <w:rPr>
                <w:sz w:val="20"/>
                <w:szCs w:val="20"/>
              </w:rPr>
              <w:t>Refinery stocks (PADD 5)</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2233E" w14:textId="77777777" w:rsidR="000754BC" w:rsidRDefault="00466837">
            <w:pPr>
              <w:spacing w:line="260" w:lineRule="auto"/>
            </w:pPr>
            <w:r>
              <w:rPr>
                <w:sz w:val="20"/>
                <w:szCs w:val="20"/>
              </w:rPr>
              <w:t>~9,800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8EBB24" w14:textId="77777777" w:rsidR="000754BC" w:rsidRDefault="00466837">
            <w:pPr>
              <w:spacing w:line="260" w:lineRule="auto"/>
            </w:pPr>
            <w:r>
              <w:rPr>
                <w:sz w:val="20"/>
                <w:szCs w:val="20"/>
              </w:rPr>
              <w:t>9,800 (sum over PADD 5 refinery nodes)</w:t>
            </w:r>
          </w:p>
        </w:tc>
      </w:tr>
      <w:tr w:rsidR="000754BC" w14:paraId="3C26F45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0F94E9" w14:textId="77777777" w:rsidR="000754BC" w:rsidRDefault="00466837">
            <w:pPr>
              <w:spacing w:line="260" w:lineRule="auto"/>
            </w:pPr>
            <w:r>
              <w:rPr>
                <w:sz w:val="20"/>
                <w:szCs w:val="20"/>
              </w:rPr>
              <w:t>SPR allocation to PADD 5</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0753A" w14:textId="77777777" w:rsidR="000754BC" w:rsidRDefault="00466837">
            <w:pPr>
              <w:spacing w:line="260" w:lineRule="auto"/>
            </w:pPr>
            <w:r>
              <w:rPr>
                <w:sz w:val="20"/>
                <w:szCs w:val="20"/>
              </w:rPr>
              <w:t>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2E0FF6" w14:textId="77777777" w:rsidR="000754BC" w:rsidRDefault="00466837">
            <w:pPr>
              <w:spacing w:line="260" w:lineRule="auto"/>
            </w:pPr>
            <w:r>
              <w:rPr>
                <w:sz w:val="20"/>
                <w:szCs w:val="20"/>
              </w:rPr>
              <w:t>0</w:t>
            </w:r>
          </w:p>
        </w:tc>
      </w:tr>
      <w:tr w:rsidR="000754BC" w14:paraId="781D3117"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7841EA" w14:textId="77777777" w:rsidR="000754BC" w:rsidRDefault="00466837">
            <w:pPr>
              <w:spacing w:line="260" w:lineRule="auto"/>
            </w:pPr>
            <w:r>
              <w:rPr>
                <w:sz w:val="20"/>
                <w:szCs w:val="20"/>
              </w:rPr>
              <w:t>In-transit from PADD 3</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85811A" w14:textId="77777777" w:rsidR="000754BC" w:rsidRDefault="00466837">
            <w:pPr>
              <w:spacing w:line="260" w:lineRule="auto"/>
            </w:pPr>
            <w:r>
              <w:rPr>
                <w:i/>
                <w:iCs/>
                <w:color w:val="C00000"/>
                <w:sz w:val="20"/>
                <w:szCs w:val="20"/>
              </w:rPr>
              <w:t>(absent: 6,000 lumped into the residual below)</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6AD25" w14:textId="77777777" w:rsidR="000754BC" w:rsidRDefault="00466837">
            <w:pPr>
              <w:spacing w:line="260" w:lineRule="auto"/>
            </w:pPr>
            <w:r>
              <w:rPr>
                <w:b/>
                <w:bCs/>
                <w:color w:val="1F3864"/>
                <w:sz w:val="20"/>
                <w:szCs w:val="20"/>
              </w:rPr>
              <w:t>6,000 (TS-bound on pipe_padd3_to_padd5)</w:t>
            </w:r>
          </w:p>
        </w:tc>
      </w:tr>
      <w:tr w:rsidR="000754BC" w14:paraId="6F3BE251"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13898" w14:textId="77777777" w:rsidR="000754BC" w:rsidRDefault="00466837">
            <w:pPr>
              <w:spacing w:line="260" w:lineRule="auto"/>
            </w:pPr>
            <w:r>
              <w:rPr>
                <w:sz w:val="20"/>
                <w:szCs w:val="20"/>
              </w:rPr>
              <w:t>Total PADD 5 stocks (observed)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4CECC" w14:textId="77777777" w:rsidR="000754BC" w:rsidRDefault="00466837">
            <w:pPr>
              <w:spacing w:line="260" w:lineRule="auto"/>
            </w:pPr>
            <w:r>
              <w:rPr>
                <w:sz w:val="20"/>
                <w:szCs w:val="20"/>
              </w:rPr>
              <w:t>68,200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4E4F0F" w14:textId="77777777" w:rsidR="000754BC" w:rsidRDefault="00466837">
            <w:pPr>
              <w:spacing w:line="260" w:lineRule="auto"/>
            </w:pPr>
            <w:r>
              <w:rPr>
                <w:sz w:val="20"/>
                <w:szCs w:val="20"/>
              </w:rPr>
              <w:t>68,200</w:t>
            </w:r>
          </w:p>
        </w:tc>
      </w:tr>
      <w:tr w:rsidR="000754BC" w14:paraId="2BE1EDB1"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61E9B" w14:textId="77777777" w:rsidR="000754BC" w:rsidRDefault="00466837">
            <w:pPr>
              <w:spacing w:line="260" w:lineRule="auto"/>
            </w:pPr>
            <w:r>
              <w:rPr>
                <w:sz w:val="20"/>
                <w:szCs w:val="20"/>
              </w:rPr>
              <w:t>Unallocated adjustment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B110C6" w14:textId="77777777" w:rsidR="000754BC" w:rsidRDefault="00466837">
            <w:pPr>
              <w:spacing w:line="260" w:lineRule="auto"/>
            </w:pPr>
            <w:r>
              <w:rPr>
                <w:b/>
                <w:bCs/>
                <w:color w:val="C00000"/>
                <w:sz w:val="20"/>
                <w:szCs w:val="20"/>
              </w:rPr>
              <w:t>+6,000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D6E6B" w14:textId="77777777" w:rsidR="000754BC" w:rsidRDefault="00466837">
            <w:pPr>
              <w:spacing w:line="260" w:lineRule="auto"/>
            </w:pPr>
            <w:r>
              <w:rPr>
                <w:sz w:val="20"/>
                <w:szCs w:val="20"/>
              </w:rPr>
              <w:t>0</w:t>
            </w:r>
          </w:p>
        </w:tc>
      </w:tr>
    </w:tbl>
    <w:p w14:paraId="15686B95" w14:textId="77777777" w:rsidR="000754BC" w:rsidRDefault="00466837">
      <w:pPr>
        <w:spacing w:before="80" w:after="240" w:line="280" w:lineRule="auto"/>
        <w:jc w:val="center"/>
      </w:pPr>
      <w:r>
        <w:rPr>
          <w:b/>
          <w:bCs/>
          <w:color w:val="595959"/>
          <w:sz w:val="18"/>
          <w:szCs w:val="18"/>
        </w:rPr>
        <w:t xml:space="preserve">Table 5.1. </w:t>
      </w:r>
      <w:r>
        <w:rPr>
          <w:i/>
          <w:iCs/>
          <w:color w:val="595959"/>
          <w:sz w:val="18"/>
          <w:szCs w:val="18"/>
        </w:rPr>
        <w:t>PADD 5 stock identity, representative month. The spreadsheet workflow leaves six million barrels in an unallocated adjustment row. The framework binds the same volume to a named in-transit corridor node and the partition closes exactly.</w:t>
      </w:r>
    </w:p>
    <w:p w14:paraId="61F3E328" w14:textId="77777777" w:rsidR="000754BC" w:rsidRDefault="00466837">
      <w:pPr>
        <w:spacing w:after="160" w:line="320" w:lineRule="auto"/>
        <w:jc w:val="both"/>
      </w:pPr>
      <w:r>
        <w:t>The difference is not in the total — both methods agree on the published PADD 5 figure — but in where the six million barrels live. In the spreadsheet, they sit in an adjustment row whose label varies between workbooks (“unallocated”, “statistical difference”, “other”, “in transit and other”). Some workbooks absorb the volume silently into commercial stocks, smearing it across hubs in proportion to capacity. The number is real, the analyst usually knows what it represents, but it carries no structural label that a downstream consumer can read.</w:t>
      </w:r>
    </w:p>
    <w:p w14:paraId="645E5FED" w14:textId="77777777" w:rsidR="000754BC" w:rsidRDefault="00466837">
      <w:pPr>
        <w:spacing w:after="160" w:line="320" w:lineRule="auto"/>
        <w:jc w:val="both"/>
      </w:pPr>
      <w:r>
        <w:t xml:space="preserve">In the framework, the same volume binds to a specific node — the PADD-3-to-PADD-5 in-transit pipeline corridor, modelled as a directed asset connecting the Gulf Coast complex to the West Coast PADD with </w:t>
      </w:r>
      <w:r>
        <w:lastRenderedPageBreak/>
        <w:t xml:space="preserve">TS-bound flow variables and a line-fill inventory. The six million barrels are the inventory on that node. PADD 5's stock partition closes exactly: PADD 5 stocks equal the sum of (named commercial hubs) + (refinery stocks) + (in-transit corridor inventory), with no residual. A downstream consumer reading the resolved table sees the volume on a named asset with a clear physical interpretation. A future data source — say, a </w:t>
      </w:r>
      <w:proofErr w:type="spellStart"/>
      <w:r>
        <w:t>Kpler</w:t>
      </w:r>
      <w:proofErr w:type="spellEnd"/>
      <w:r>
        <w:t xml:space="preserve"> feed of actual Jones Act vessel positions — can bind to the same node and replace the corridor-level aggregate with per-vessel detail, without modifying anything else.</w:t>
      </w:r>
    </w:p>
    <w:p w14:paraId="1393049B" w14:textId="77777777" w:rsidR="000754BC" w:rsidRDefault="00466837">
      <w:pPr>
        <w:spacing w:after="160" w:line="320" w:lineRule="auto"/>
        <w:jc w:val="both"/>
      </w:pPr>
      <w:r>
        <w:t>This is a small example in the sense that the six-million-barrel figure is not a forecast-quality difference; both methods report the same PADD 5 total. The example matters because it shows the framework working in steady state, on data that the reporting system handles cleanly enough, producing an output that is structurally more informative for the same input. The next section turns to a month when the reporting system does not handle the data cleanly.</w:t>
      </w:r>
    </w:p>
    <w:p w14:paraId="0A246B4E" w14:textId="77777777" w:rsidR="000754BC" w:rsidRDefault="00466837">
      <w:pPr>
        <w:pStyle w:val="Heading2"/>
        <w:spacing w:after="160"/>
      </w:pPr>
      <w:r>
        <w:t>5.3  Stress-test comparison: Hurricane Harvey, August 2017</w:t>
      </w:r>
    </w:p>
    <w:p w14:paraId="32353D45" w14:textId="77777777" w:rsidR="000754BC" w:rsidRDefault="00466837">
      <w:pPr>
        <w:spacing w:after="160" w:line="320" w:lineRule="auto"/>
        <w:jc w:val="both"/>
      </w:pPr>
      <w:r>
        <w:t>Hurricane Harvey made landfall on the Texas Gulf Coast on 25 August 2017 as a Category 4 storm. Over the following ten days it dropped record rainfall over Houston, flooded refineries across PADD 3, and shut crude and product pipelines for periods ranging from several days to over two weeks. At the peak of the disruption, approximately 25% of U.S. refining capacity was offline — about 4.4 million barrels per day. Gulf Coast import and export terminals were also disrupted, with vessel queues forming offshore while terminal access was restored. The reporting system did not close cleanly that month.</w:t>
      </w:r>
    </w:p>
    <w:p w14:paraId="3F7C40CE" w14:textId="77777777" w:rsidR="000754BC" w:rsidRDefault="00466837">
      <w:pPr>
        <w:spacing w:after="160" w:line="320" w:lineRule="auto"/>
        <w:jc w:val="both"/>
      </w:pPr>
      <w:r>
        <w:t>Table 5.2 presents the PADD 3 monthly balance for August 2017 as the two methods produce it. Values are in thousand barrels per day except for the stock-change line, which is in thousand barrels for the month.</w:t>
      </w:r>
    </w:p>
    <w:p w14:paraId="1CCEF64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0754BC" w14:paraId="3B600321"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ACADAA8" w14:textId="77777777" w:rsidR="000754BC" w:rsidRDefault="00466837">
            <w:pPr>
              <w:spacing w:line="260" w:lineRule="auto"/>
            </w:pPr>
            <w:r>
              <w:rPr>
                <w:b/>
                <w:bCs/>
                <w:color w:val="FFFFFF"/>
                <w:sz w:val="20"/>
                <w:szCs w:val="20"/>
              </w:rPr>
              <w:t>PADD 3 — August 2017</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3334934" w14:textId="77777777" w:rsidR="000754BC" w:rsidRDefault="00466837">
            <w:pPr>
              <w:spacing w:line="260" w:lineRule="auto"/>
            </w:pPr>
            <w:r>
              <w:rPr>
                <w:b/>
                <w:bCs/>
                <w:color w:val="FFFFFF"/>
                <w:sz w:val="20"/>
                <w:szCs w:val="20"/>
              </w:rPr>
              <w:t>Spreadsheet (</w:t>
            </w:r>
            <w:proofErr w:type="spellStart"/>
            <w:r>
              <w:rPr>
                <w:b/>
                <w:bCs/>
                <w:color w:val="FFFFFF"/>
                <w:sz w:val="20"/>
                <w:szCs w:val="20"/>
              </w:rPr>
              <w:t>kbd</w:t>
            </w:r>
            <w:proofErr w:type="spellEnd"/>
            <w:r>
              <w:rPr>
                <w:b/>
                <w:bCs/>
                <w:color w:val="FFFFFF"/>
                <w:sz w:val="20"/>
                <w:szCs w:val="20"/>
              </w:rPr>
              <w:t>)</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18C387E" w14:textId="77777777" w:rsidR="000754BC" w:rsidRDefault="00466837">
            <w:pPr>
              <w:spacing w:line="260" w:lineRule="auto"/>
            </w:pPr>
            <w:r>
              <w:rPr>
                <w:b/>
                <w:bCs/>
                <w:color w:val="FFFFFF"/>
                <w:sz w:val="20"/>
                <w:szCs w:val="20"/>
              </w:rPr>
              <w:t>Framework (</w:t>
            </w:r>
            <w:proofErr w:type="spellStart"/>
            <w:r>
              <w:rPr>
                <w:b/>
                <w:bCs/>
                <w:color w:val="FFFFFF"/>
                <w:sz w:val="20"/>
                <w:szCs w:val="20"/>
              </w:rPr>
              <w:t>kbd</w:t>
            </w:r>
            <w:proofErr w:type="spellEnd"/>
            <w:r>
              <w:rPr>
                <w:b/>
                <w:bCs/>
                <w:color w:val="FFFFFF"/>
                <w:sz w:val="20"/>
                <w:szCs w:val="20"/>
              </w:rPr>
              <w:t>)</w:t>
            </w:r>
          </w:p>
        </w:tc>
      </w:tr>
      <w:tr w:rsidR="000754BC" w14:paraId="0992479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64DC28" w14:textId="77777777" w:rsidR="000754BC" w:rsidRDefault="00466837">
            <w:pPr>
              <w:spacing w:line="260" w:lineRule="auto"/>
            </w:pPr>
            <w:r>
              <w:rPr>
                <w:sz w:val="20"/>
                <w:szCs w:val="20"/>
              </w:rPr>
              <w:t>Production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EDC32" w14:textId="77777777" w:rsidR="000754BC" w:rsidRDefault="00466837">
            <w:pPr>
              <w:spacing w:line="260" w:lineRule="auto"/>
            </w:pPr>
            <w:r>
              <w:rPr>
                <w:sz w:val="20"/>
                <w:szCs w:val="20"/>
              </w:rPr>
              <w:t>5,920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25922" w14:textId="77777777" w:rsidR="000754BC" w:rsidRDefault="00466837">
            <w:pPr>
              <w:spacing w:line="260" w:lineRule="auto"/>
            </w:pPr>
            <w:r>
              <w:rPr>
                <w:sz w:val="20"/>
                <w:szCs w:val="20"/>
              </w:rPr>
              <w:t>5,920</w:t>
            </w:r>
          </w:p>
        </w:tc>
      </w:tr>
      <w:tr w:rsidR="000754BC" w14:paraId="0329598D"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053D3" w14:textId="77777777" w:rsidR="000754BC" w:rsidRDefault="00466837">
            <w:pPr>
              <w:spacing w:line="260" w:lineRule="auto"/>
            </w:pPr>
            <w:r>
              <w:rPr>
                <w:sz w:val="20"/>
                <w:szCs w:val="20"/>
              </w:rPr>
              <w:t>Imports (foreign)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2CB0CE" w14:textId="77777777" w:rsidR="000754BC" w:rsidRDefault="00466837">
            <w:pPr>
              <w:spacing w:line="260" w:lineRule="auto"/>
            </w:pPr>
            <w:r>
              <w:rPr>
                <w:sz w:val="20"/>
                <w:szCs w:val="20"/>
              </w:rPr>
              <w:t>2,640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77892" w14:textId="77777777" w:rsidR="000754BC" w:rsidRDefault="00466837">
            <w:pPr>
              <w:spacing w:line="260" w:lineRule="auto"/>
            </w:pPr>
            <w:r>
              <w:rPr>
                <w:sz w:val="20"/>
                <w:szCs w:val="20"/>
              </w:rPr>
              <w:t>2,640</w:t>
            </w:r>
          </w:p>
        </w:tc>
      </w:tr>
      <w:tr w:rsidR="000754BC" w14:paraId="0B66D78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5D27E6" w14:textId="77777777" w:rsidR="000754BC" w:rsidRDefault="00466837">
            <w:pPr>
              <w:spacing w:line="260" w:lineRule="auto"/>
            </w:pPr>
            <w:r>
              <w:rPr>
                <w:sz w:val="20"/>
                <w:szCs w:val="20"/>
              </w:rPr>
              <w:t>Movements in (from PADD 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08CCE" w14:textId="77777777" w:rsidR="000754BC" w:rsidRDefault="00466837">
            <w:pPr>
              <w:spacing w:line="260" w:lineRule="auto"/>
            </w:pPr>
            <w:r>
              <w:rPr>
                <w:sz w:val="20"/>
                <w:szCs w:val="20"/>
              </w:rPr>
              <w:t>112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B69B0C" w14:textId="77777777" w:rsidR="000754BC" w:rsidRDefault="00466837">
            <w:pPr>
              <w:spacing w:line="260" w:lineRule="auto"/>
            </w:pPr>
            <w:r>
              <w:rPr>
                <w:sz w:val="20"/>
                <w:szCs w:val="20"/>
              </w:rPr>
              <w:t>112</w:t>
            </w:r>
          </w:p>
        </w:tc>
      </w:tr>
      <w:tr w:rsidR="000754BC" w14:paraId="231CDC37"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72A6B" w14:textId="77777777" w:rsidR="000754BC" w:rsidRDefault="00466837">
            <w:pPr>
              <w:spacing w:line="260" w:lineRule="auto"/>
            </w:pPr>
            <w:r>
              <w:rPr>
                <w:sz w:val="20"/>
                <w:szCs w:val="20"/>
              </w:rPr>
              <w:t>Refinery runs (consumption)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D2EC37" w14:textId="77777777" w:rsidR="000754BC" w:rsidRDefault="00466837">
            <w:pPr>
              <w:spacing w:line="260" w:lineRule="auto"/>
            </w:pPr>
            <w:r>
              <w:rPr>
                <w:sz w:val="20"/>
                <w:szCs w:val="20"/>
              </w:rPr>
              <w:t>−8,180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BCCD4D" w14:textId="77777777" w:rsidR="000754BC" w:rsidRDefault="00466837">
            <w:pPr>
              <w:spacing w:line="260" w:lineRule="auto"/>
            </w:pPr>
            <w:r>
              <w:rPr>
                <w:sz w:val="20"/>
                <w:szCs w:val="20"/>
              </w:rPr>
              <w:t>−8,180</w:t>
            </w:r>
          </w:p>
        </w:tc>
      </w:tr>
      <w:tr w:rsidR="000754BC" w14:paraId="34B5898F"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38EA45" w14:textId="77777777" w:rsidR="000754BC" w:rsidRDefault="00466837">
            <w:pPr>
              <w:spacing w:line="260" w:lineRule="auto"/>
            </w:pPr>
            <w:r>
              <w:rPr>
                <w:sz w:val="20"/>
                <w:szCs w:val="20"/>
              </w:rPr>
              <w:t>Exports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802D10" w14:textId="77777777" w:rsidR="000754BC" w:rsidRDefault="00466837">
            <w:pPr>
              <w:spacing w:line="260" w:lineRule="auto"/>
            </w:pPr>
            <w:r>
              <w:rPr>
                <w:sz w:val="20"/>
                <w:szCs w:val="20"/>
              </w:rPr>
              <w:t>−1,180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4D8A0B" w14:textId="77777777" w:rsidR="000754BC" w:rsidRDefault="00466837">
            <w:pPr>
              <w:spacing w:line="260" w:lineRule="auto"/>
            </w:pPr>
            <w:r>
              <w:rPr>
                <w:sz w:val="20"/>
                <w:szCs w:val="20"/>
              </w:rPr>
              <w:t>−1,180</w:t>
            </w:r>
          </w:p>
        </w:tc>
      </w:tr>
      <w:tr w:rsidR="000754BC" w14:paraId="0EE9F4DC"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B0A51" w14:textId="77777777" w:rsidR="000754BC" w:rsidRDefault="00466837">
            <w:pPr>
              <w:spacing w:line="260" w:lineRule="auto"/>
            </w:pPr>
            <w:r>
              <w:rPr>
                <w:sz w:val="20"/>
                <w:szCs w:val="20"/>
              </w:rPr>
              <w:t>Movements out (to PADD 1, 2, 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779753" w14:textId="77777777" w:rsidR="000754BC" w:rsidRDefault="00466837">
            <w:pPr>
              <w:spacing w:line="260" w:lineRule="auto"/>
            </w:pPr>
            <w:r>
              <w:rPr>
                <w:sz w:val="20"/>
                <w:szCs w:val="20"/>
              </w:rPr>
              <w:t>−1,260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F51316" w14:textId="77777777" w:rsidR="000754BC" w:rsidRDefault="00466837">
            <w:pPr>
              <w:spacing w:line="260" w:lineRule="auto"/>
            </w:pPr>
            <w:r>
              <w:rPr>
                <w:sz w:val="20"/>
                <w:szCs w:val="20"/>
              </w:rPr>
              <w:t>−1,260</w:t>
            </w:r>
          </w:p>
        </w:tc>
      </w:tr>
      <w:tr w:rsidR="000754BC" w14:paraId="6B1641F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634270" w14:textId="77777777" w:rsidR="000754BC" w:rsidRDefault="00466837">
            <w:pPr>
              <w:spacing w:line="260" w:lineRule="auto"/>
            </w:pPr>
            <w:r>
              <w:rPr>
                <w:sz w:val="20"/>
                <w:szCs w:val="20"/>
              </w:rPr>
              <w:t xml:space="preserve">Δ Stocks (commercial + SPR, </w:t>
            </w:r>
            <w:proofErr w:type="spellStart"/>
            <w:r>
              <w:rPr>
                <w:sz w:val="20"/>
                <w:szCs w:val="20"/>
              </w:rPr>
              <w:t>kbbl</w:t>
            </w:r>
            <w:proofErr w:type="spellEnd"/>
            <w:r>
              <w:rPr>
                <w:sz w:val="20"/>
                <w:szCs w:val="20"/>
              </w:rPr>
              <w:t>)</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F89B1B" w14:textId="77777777" w:rsidR="000754BC" w:rsidRDefault="00466837">
            <w:pPr>
              <w:spacing w:line="260" w:lineRule="auto"/>
            </w:pPr>
            <w:r>
              <w:rPr>
                <w:sz w:val="20"/>
                <w:szCs w:val="20"/>
              </w:rPr>
              <w:t>−8,800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631B2B" w14:textId="77777777" w:rsidR="000754BC" w:rsidRDefault="00466837">
            <w:pPr>
              <w:spacing w:line="260" w:lineRule="auto"/>
            </w:pPr>
            <w:r>
              <w:rPr>
                <w:sz w:val="20"/>
                <w:szCs w:val="20"/>
              </w:rPr>
              <w:t>−8,800</w:t>
            </w:r>
          </w:p>
        </w:tc>
      </w:tr>
      <w:tr w:rsidR="000754BC" w14:paraId="25BFC8CB"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ECCE89" w14:textId="77777777" w:rsidR="000754BC" w:rsidRDefault="00466837">
            <w:pPr>
              <w:spacing w:line="260" w:lineRule="auto"/>
            </w:pPr>
            <w:r>
              <w:rPr>
                <w:sz w:val="20"/>
                <w:szCs w:val="20"/>
              </w:rPr>
              <w:lastRenderedPageBreak/>
              <w:t>Implied balance before residual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BC2DB8" w14:textId="77777777" w:rsidR="000754BC" w:rsidRDefault="00466837">
            <w:pPr>
              <w:spacing w:line="260" w:lineRule="auto"/>
            </w:pPr>
            <w:r>
              <w:rPr>
                <w:b/>
                <w:bCs/>
                <w:sz w:val="20"/>
                <w:szCs w:val="20"/>
              </w:rPr>
              <w:t>+340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32BE6B" w14:textId="77777777" w:rsidR="000754BC" w:rsidRDefault="00466837">
            <w:pPr>
              <w:spacing w:line="260" w:lineRule="auto"/>
            </w:pPr>
            <w:r>
              <w:rPr>
                <w:b/>
                <w:bCs/>
                <w:sz w:val="20"/>
                <w:szCs w:val="20"/>
              </w:rPr>
              <w:t>+340</w:t>
            </w:r>
          </w:p>
        </w:tc>
      </w:tr>
      <w:tr w:rsidR="000754BC" w14:paraId="22BC221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86D6E2" w14:textId="77777777" w:rsidR="000754BC" w:rsidRDefault="00466837">
            <w:pPr>
              <w:spacing w:line="260" w:lineRule="auto"/>
            </w:pPr>
            <w:r>
              <w:rPr>
                <w:sz w:val="20"/>
                <w:szCs w:val="20"/>
              </w:rPr>
              <w:t>Adjustment column (unlabelled)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E6C59" w14:textId="77777777" w:rsidR="000754BC" w:rsidRDefault="00466837">
            <w:pPr>
              <w:spacing w:line="260" w:lineRule="auto"/>
            </w:pPr>
            <w:r>
              <w:rPr>
                <w:b/>
                <w:bCs/>
                <w:color w:val="C00000"/>
                <w:sz w:val="20"/>
                <w:szCs w:val="20"/>
              </w:rPr>
              <w:t>−340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F80C6" w14:textId="77777777" w:rsidR="000754BC" w:rsidRDefault="00466837">
            <w:pPr>
              <w:spacing w:line="260" w:lineRule="auto"/>
            </w:pPr>
            <w:r>
              <w:rPr>
                <w:i/>
                <w:iCs/>
                <w:sz w:val="20"/>
                <w:szCs w:val="20"/>
              </w:rPr>
              <w:t>(not used)</w:t>
            </w:r>
          </w:p>
        </w:tc>
      </w:tr>
      <w:tr w:rsidR="000754BC" w14:paraId="7EC5490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4B75B" w14:textId="77777777" w:rsidR="000754BC" w:rsidRDefault="00466837">
            <w:pPr>
              <w:spacing w:line="260" w:lineRule="auto"/>
            </w:pPr>
            <w:r>
              <w:rPr>
                <w:sz w:val="20"/>
                <w:szCs w:val="20"/>
              </w:rPr>
              <w:t>Balancing item B (labelled, on PADD 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AE038" w14:textId="77777777" w:rsidR="000754BC" w:rsidRDefault="00466837">
            <w:pPr>
              <w:spacing w:line="260" w:lineRule="auto"/>
            </w:pPr>
            <w:r>
              <w:rPr>
                <w:i/>
                <w:iCs/>
                <w:sz w:val="20"/>
                <w:szCs w:val="20"/>
              </w:rPr>
              <w:t>(not present)</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68AD18" w14:textId="77777777" w:rsidR="000754BC" w:rsidRDefault="00466837">
            <w:pPr>
              <w:spacing w:line="260" w:lineRule="auto"/>
            </w:pPr>
            <w:r>
              <w:rPr>
                <w:b/>
                <w:bCs/>
                <w:color w:val="1F3864"/>
                <w:sz w:val="20"/>
                <w:szCs w:val="20"/>
              </w:rPr>
              <w:t>+340</w:t>
            </w:r>
          </w:p>
        </w:tc>
      </w:tr>
      <w:tr w:rsidR="000754BC" w14:paraId="40D3CCC5"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8EC304" w14:textId="77777777" w:rsidR="000754BC" w:rsidRDefault="00466837">
            <w:pPr>
              <w:spacing w:line="260" w:lineRule="auto"/>
            </w:pPr>
            <w:r>
              <w:rPr>
                <w:sz w:val="20"/>
                <w:szCs w:val="20"/>
              </w:rPr>
              <w:t>Bottom row (closure check)</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DC62DF" w14:textId="77777777" w:rsidR="000754BC" w:rsidRDefault="00466837">
            <w:pPr>
              <w:spacing w:line="260" w:lineRule="auto"/>
            </w:pPr>
            <w:r>
              <w:rPr>
                <w:sz w:val="20"/>
                <w:szCs w:val="20"/>
              </w:rPr>
              <w:t>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C9C692" w14:textId="77777777" w:rsidR="000754BC" w:rsidRDefault="00466837">
            <w:pPr>
              <w:spacing w:line="260" w:lineRule="auto"/>
            </w:pPr>
            <w:r>
              <w:rPr>
                <w:sz w:val="20"/>
                <w:szCs w:val="20"/>
              </w:rPr>
              <w:t>0</w:t>
            </w:r>
          </w:p>
        </w:tc>
      </w:tr>
    </w:tbl>
    <w:p w14:paraId="1863739E" w14:textId="77777777" w:rsidR="000754BC" w:rsidRDefault="00466837">
      <w:pPr>
        <w:spacing w:before="80" w:after="240" w:line="280" w:lineRule="auto"/>
        <w:jc w:val="center"/>
      </w:pPr>
      <w:r>
        <w:rPr>
          <w:b/>
          <w:bCs/>
          <w:color w:val="595959"/>
          <w:sz w:val="18"/>
          <w:szCs w:val="18"/>
        </w:rPr>
        <w:t xml:space="preserve">Table 5.2. </w:t>
      </w:r>
      <w:r>
        <w:rPr>
          <w:i/>
          <w:iCs/>
          <w:color w:val="595959"/>
          <w:sz w:val="18"/>
          <w:szCs w:val="18"/>
        </w:rPr>
        <w:t xml:space="preserve">PADD 3 monthly balance, August 2017. Both methods take the same EIA inputs and arrive at the same +340 </w:t>
      </w:r>
      <w:proofErr w:type="spellStart"/>
      <w:r>
        <w:rPr>
          <w:i/>
          <w:iCs/>
          <w:color w:val="595959"/>
          <w:sz w:val="18"/>
          <w:szCs w:val="18"/>
        </w:rPr>
        <w:t>kbd</w:t>
      </w:r>
      <w:proofErr w:type="spellEnd"/>
      <w:r>
        <w:rPr>
          <w:i/>
          <w:iCs/>
          <w:color w:val="595959"/>
          <w:sz w:val="18"/>
          <w:szCs w:val="18"/>
        </w:rPr>
        <w:t xml:space="preserve"> implied residual. The spreadsheet workflow absorbs it into an unlabelled adjustment cell. The framework retains it as a labelled balancing item B on the PADD 3 node.</w:t>
      </w:r>
    </w:p>
    <w:p w14:paraId="3A5723E7" w14:textId="77777777" w:rsidR="000754BC" w:rsidRDefault="00466837">
      <w:pPr>
        <w:spacing w:after="160" w:line="320" w:lineRule="auto"/>
        <w:jc w:val="both"/>
      </w:pPr>
      <w:r>
        <w:t xml:space="preserve">The implied residual of +340 </w:t>
      </w:r>
      <w:proofErr w:type="spellStart"/>
      <w:r>
        <w:t>kbd</w:t>
      </w:r>
      <w:proofErr w:type="spellEnd"/>
      <w:r>
        <w:t xml:space="preserve"> is large by historical standards. PADD 3's balancing item over the full 2015–2024 period has a typical absolute value in the few tens of </w:t>
      </w:r>
      <w:proofErr w:type="spellStart"/>
      <w:r>
        <w:t>kbd</w:t>
      </w:r>
      <w:proofErr w:type="spellEnd"/>
      <w:r>
        <w:t>. The August 2017 value is roughly an order of magnitude above that baseline, and it is positive — observed stock changes are larger (or, in this case, less negative) than the reported flows would imply. Physically, this is consistent with crude that left PADD 3 by tanker before the storm and was reported as exported, while the receiving inventories at downstream destinations had not yet caught up; with delayed pipeline custody-transfer reports; and with refinery process losses that fell as throughput collapsed.</w:t>
      </w:r>
    </w:p>
    <w:p w14:paraId="3C0934E7" w14:textId="77777777" w:rsidR="000754BC" w:rsidRDefault="00466837">
      <w:pPr>
        <w:spacing w:after="160" w:line="320" w:lineRule="auto"/>
        <w:jc w:val="both"/>
      </w:pPr>
      <w:r>
        <w:t xml:space="preserve">The framework retains this +340 </w:t>
      </w:r>
      <w:proofErr w:type="spellStart"/>
      <w:r>
        <w:t>kbd</w:t>
      </w:r>
      <w:proofErr w:type="spellEnd"/>
      <w:r>
        <w:t xml:space="preserve"> as the value of B at the PADD 3 node for August 2017, labelled, traceable, available to any downstream consumer that reads the resolved table. The spreadsheet workflow records the same number in an unlabelled adjustment cell. The two outputs are numerically identical in every other line of the balance, but a downstream consumer encounters them very differently. A model that uses balance residuals as a signal for under-reported flows — under-reported exports can move spot prices ahead of the next publication date — can read the framework's B series directly and detect the August 2017 spike. The spreadsheet's adjustment column carries the same information, but its label gives the analyst no reason to treat it as anything other than statistical noise.</w:t>
      </w:r>
    </w:p>
    <w:p w14:paraId="483F4F8B" w14:textId="77777777" w:rsidR="000754BC" w:rsidRDefault="00466837">
      <w:pPr>
        <w:spacing w:after="160" w:line="320" w:lineRule="auto"/>
        <w:jc w:val="both"/>
      </w:pPr>
      <w:r>
        <w:t>Mass balance still holds at every physical node within PADD 3, by construction, in the framework. Partition closure still holds — PADD 3's reported stock change equals the sum over named hubs, refinery stocks, and the SPR portion within PADD 3. The framework does not invent a balance; it makes visible what was already in the data.</w:t>
      </w:r>
    </w:p>
    <w:p>
      <w:pPr>
        <w:pStyle w:val="Heading2"/>
      </w:pPr>
      <w:r>
        <w:t xml:space="preserve">5.4  Multi-source integration: layering pipeline-flow data on top of EIA aggregates</w:t>
      </w:r>
    </w:p>
    <w:p>
      <w:r>
        <w:t xml:space="preserve">The previous two examples both worked from a single authoritative data source: EIA monthly aggregates at the PADD or USA level. In commercial practice this is not how the workflow ends. Once a desk has a working monthly balance, the next economically valuable refinement is finer-resolution data on individual physical assets — daily inventory at the Cushing tank farm, daily flow on the Permian outbound pipelines, vessel positions in the Houston Ship Channel. The dominant commercial source for crude pipeline flows in North America is Wood Mackenzie's Genscape service, which reports daily flow rates on named pipelines via electromagnetic sensors mounted on the lines themselves. Genscape publishes named-pipeline coverage of approximately ninety-one percent of capacity connected to Cushing and ninety percent of capacity crossing the United States–Canada border, including Enbridge Mainline, the Keystone system, the Permian outbound complex (Gray Oak, Cactus II, BridgeTex, Midland-to-ECHO), and the Cushing connectors (Seaway, Spearhead, Pony Express).</w:t>
      </w:r>
    </w:p>
    <w:p>
      <w:r>
        <w:t xml:space="preserve">Adding Genscape data to a working EIA spreadsheet looks straightforward on first inspection — append columns, point the formulas at the new cells, recompute the balance — but the integration breaks on five distinct mismatches that the spreadsheet has no schema-level way to resolve. The frequencies disagree: Genscape reports daily, EIA monthly, and a Genscape pipeline that is down for four days mid-month leaves no trace in its monthly mean, so the analyst must choose between losing the operational signal and adding a parallel daily sheet whose totals must still reconcile to the monthly aggregates upstream. The geographies disagree: Genscape names a pipeline (DAPL, Keystone) while EIA names a PADD pair (movements from PADD 2 to PADD 3), and a single EIA inter-PADD figure aggregates over an undisclosed set of pipelines, some of which Genscape names individually and some of which it does not. Double-counting becomes a live risk on every new column: if DAPL flows are appended as a separate series and the EIA PADD-2-to-PADD-3 movement series already incorporates them, every barrel on DAPL is now in the balance twice unless the analyst manually subtracts it from one side. Coverage is incomplete by design: the nine percent of Cushing-connected capacity that Genscape does not monitor still shows up in the EIA aggregate, so a residual-pipeline column has to be maintained by hand each month, recomputed from the difference between the EIA inter-PADD movement and the sum of Genscape-named flows for the same corridor. Finally, the integration is not stable: every time Genscape adds coverage of a new pipeline — Seminole-Red, EPIC Crude, the latest reversed segment — the analyst must add a column, decide which existing aggregate it should be subtracted from, and update the residual definition. None of these decisions are encoded; they live in the analyst's head and in the workbook's commented cells, and they evolve as personnel rotate. The cumulative effect is that adding a finer-resolution data source to the spreadsheet does not deepen the balance; it makes the balance more fragile, because the same physical crude is now traced through two reconciliation paths with no schema-level guarantee that the paths agree.</w:t>
      </w:r>
    </w:p>
    <w:p>
      <w:r>
        <w:t>Table 5.4 illustrates the difference on a representative month for PADD 2, the Midwest PADD whose stock identity is anchored on Cushing and whose pipeline complex is the most heavily Genscape-monitored in the country. The figures are illustrative of the order of magnitude observed in commercial pipeline-flow reports; precise values depend on the subscription product and the month.</w:t>
      </w:r>
    </w:p>
    <w:p>
      <w:r>
        <w:rPr>
          <w:b/>
        </w:rPr>
        <w:t xml:space="preserve">Table 5.4. </w:t>
      </w:r>
      <w:r>
        <w:rPr>
          <w:i/>
        </w:rPr>
        <w:t xml:space="preserve">Layering Genscape pipeline-flow data on top of EIA monthly aggregates for PADD 2, representative month. The spreadsheet column accumulates one new cell per named pipeline, a residual cell for un-named Genscape coverage gaps, and a manual subtraction from the EIA inter-PADD column to prevent double-counting. The framework column TS-binds each Genscape flow to a named pipeline node and the EIA aggregate to the PADD-view node; the aggregation view ties them and flags divergence automatically.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blGrid>
        <w:gridCol w:w="2400"/>
        <w:gridCol w:w="3300"/>
        <w:gridCol w:w="3300"/>
      </w:tblGrid>
      <w:tr>
        <w:tc>
          <w:tcPr>
            <w:tcW w:w="2400" w:type="dxa"/>
            <w:shd w:val="clear" w:color="auto" w:fill="DDDDDD"/>
          </w:tcPr>
          <w:p>
            <w:pPr>
              <w:spacing w:before="40" w:after="40"/>
            </w:pPr>
            <w:r>
              <w:rPr>
                <w:b/>
              </w:rPr>
              <w:t xml:space="preserve">Item</w:t>
            </w:r>
          </w:p>
        </w:tc>
        <w:tc>
          <w:tcPr>
            <w:tcW w:w="3300" w:type="dxa"/>
            <w:shd w:val="clear" w:color="auto" w:fill="DDDDDD"/>
          </w:tcPr>
          <w:p>
            <w:pPr>
              <w:spacing w:before="40" w:after="40"/>
            </w:pPr>
            <w:r>
              <w:rPr>
                <w:b/>
              </w:rPr>
              <w:t xml:space="preserve">Spreadsheet workflow</w:t>
            </w:r>
          </w:p>
        </w:tc>
        <w:tc>
          <w:tcPr>
            <w:tcW w:w="3300" w:type="dxa"/>
            <w:shd w:val="clear" w:color="auto" w:fill="DDDDDD"/>
          </w:tcPr>
          <w:p>
            <w:pPr>
              <w:spacing w:before="40" w:after="40"/>
            </w:pPr>
            <w:r>
              <w:rPr>
                <w:b/>
              </w:rPr>
              <w:t xml:space="preserve">Framework</w:t>
            </w:r>
          </w:p>
        </w:tc>
      </w:tr>
      <w:tr>
        <w:tc>
          <w:tcPr>
            <w:tcW w:w="2400" w:type="dxa"/>
          </w:tcPr>
          <w:p>
            <w:pPr>
              <w:spacing w:before="40" w:after="40"/>
            </w:pPr>
            <w:r>
              <w:t xml:space="preserve">EIA PADD-2 stock change (monthly)</w:t>
            </w:r>
          </w:p>
        </w:tc>
        <w:tc>
          <w:tcPr>
            <w:tcW w:w="3300" w:type="dxa"/>
          </w:tcPr>
          <w:p>
            <w:pPr>
              <w:spacing w:before="40" w:after="40"/>
            </w:pPr>
            <w:r>
              <w:t xml:space="preserve">Single cell in the PADD-2 sheet</w:t>
            </w:r>
          </w:p>
        </w:tc>
        <w:tc>
          <w:tcPr>
            <w:tcW w:w="3300" w:type="dxa"/>
          </w:tcPr>
          <w:p>
            <w:pPr>
              <w:spacing w:before="40" w:after="40"/>
            </w:pPr>
            <w:r>
              <w:t xml:space="preserve">padd2_view.inventory TS-bound to MCRSTP21</w:t>
            </w:r>
          </w:p>
        </w:tc>
      </w:tr>
      <w:tr>
        <w:tc>
          <w:tcPr>
            <w:tcW w:w="2400" w:type="dxa"/>
          </w:tcPr>
          <w:p>
            <w:pPr>
              <w:spacing w:before="40" w:after="40"/>
            </w:pPr>
            <w:r>
              <w:t xml:space="preserve">EIA PADD-3-to-PADD-2 movements (monthly)</w:t>
            </w:r>
          </w:p>
        </w:tc>
        <w:tc>
          <w:tcPr>
            <w:tcW w:w="3300" w:type="dxa"/>
          </w:tcPr>
          <w:p>
            <w:pPr>
              <w:spacing w:before="40" w:after="40"/>
            </w:pPr>
            <w:r>
              <w:t xml:space="preserve">Single cell; later partly back-subtracted</w:t>
            </w:r>
          </w:p>
        </w:tc>
        <w:tc>
          <w:tcPr>
            <w:tcW w:w="3300" w:type="dxa"/>
          </w:tcPr>
          <w:p>
            <w:pPr>
              <w:spacing w:before="40" w:after="40"/>
            </w:pPr>
            <w:r>
              <w:t xml:space="preserve">padd3.outflow → padd2.inflow TS-bound to inter-PADD series</w:t>
            </w:r>
          </w:p>
        </w:tc>
      </w:tr>
      <w:tr>
        <w:tc>
          <w:tcPr>
            <w:tcW w:w="2400" w:type="dxa"/>
          </w:tcPr>
          <w:p>
            <w:pPr>
              <w:spacing w:before="40" w:after="40"/>
            </w:pPr>
            <w:r>
              <w:t xml:space="preserve">Genscape DAPL flow (daily, monthly mean)</w:t>
            </w:r>
          </w:p>
        </w:tc>
        <w:tc>
          <w:tcPr>
            <w:tcW w:w="3300" w:type="dxa"/>
          </w:tcPr>
          <w:p>
            <w:pPr>
              <w:spacing w:before="40" w:after="40"/>
            </w:pPr>
            <w:r>
              <w:t xml:space="preserve">New column "DAPL kbd"; subtract from EIA movement</w:t>
            </w:r>
          </w:p>
        </w:tc>
        <w:tc>
          <w:tcPr>
            <w:tcW w:w="3300" w:type="dxa"/>
          </w:tcPr>
          <w:p>
            <w:pPr>
              <w:spacing w:before="40" w:after="40"/>
            </w:pPr>
            <w:r>
              <w:t xml:space="preserve">dapl.outflow → cushing.inflow TS-bound to Genscape series</w:t>
            </w:r>
          </w:p>
        </w:tc>
      </w:tr>
      <w:tr>
        <w:tc>
          <w:tcPr>
            <w:tcW w:w="2400" w:type="dxa"/>
          </w:tcPr>
          <w:p>
            <w:pPr>
              <w:spacing w:before="40" w:after="40"/>
            </w:pPr>
            <w:r>
              <w:t xml:space="preserve">Genscape Keystone flow (daily, monthly mean)</w:t>
            </w:r>
          </w:p>
        </w:tc>
        <w:tc>
          <w:tcPr>
            <w:tcW w:w="3300" w:type="dxa"/>
          </w:tcPr>
          <w:p>
            <w:pPr>
              <w:spacing w:before="40" w:after="40"/>
            </w:pPr>
            <w:r>
              <w:t xml:space="preserve">New column "Keystone kbd"; subtract from EIA movement</w:t>
            </w:r>
          </w:p>
        </w:tc>
        <w:tc>
          <w:tcPr>
            <w:tcW w:w="3300" w:type="dxa"/>
          </w:tcPr>
          <w:p>
            <w:pPr>
              <w:spacing w:before="40" w:after="40"/>
            </w:pPr>
            <w:r>
              <w:t xml:space="preserve">keystone.outflow → patoka.inflow TS-bound to Genscape series</w:t>
            </w:r>
          </w:p>
        </w:tc>
      </w:tr>
      <w:tr>
        <w:tc>
          <w:tcPr>
            <w:tcW w:w="2400" w:type="dxa"/>
          </w:tcPr>
          <w:p>
            <w:pPr>
              <w:spacing w:before="40" w:after="40"/>
            </w:pPr>
            <w:r>
              <w:t xml:space="preserve">Genscape Seaway-reversed flow</w:t>
            </w:r>
          </w:p>
        </w:tc>
        <w:tc>
          <w:tcPr>
            <w:tcW w:w="3300" w:type="dxa"/>
          </w:tcPr>
          <w:p>
            <w:pPr>
              <w:spacing w:before="40" w:after="40"/>
            </w:pPr>
            <w:r>
              <w:t xml:space="preserve">New column; sign convention has to be tracked manually</w:t>
            </w:r>
          </w:p>
        </w:tc>
        <w:tc>
          <w:tcPr>
            <w:tcW w:w="3300" w:type="dxa"/>
          </w:tcPr>
          <w:p>
            <w:pPr>
              <w:spacing w:before="40" w:after="40"/>
            </w:pPr>
            <w:r>
              <w:t xml:space="preserve">Reverse-direction edge with its own flow variable; sign is structural</w:t>
            </w:r>
          </w:p>
        </w:tc>
      </w:tr>
      <w:tr>
        <w:tc>
          <w:tcPr>
            <w:tcW w:w="2400" w:type="dxa"/>
          </w:tcPr>
          <w:p>
            <w:pPr>
              <w:spacing w:before="40" w:after="40"/>
            </w:pPr>
            <w:r>
              <w:t xml:space="preserve">Un-named pipelines (≈9 % of capacity)</w:t>
            </w:r>
          </w:p>
        </w:tc>
        <w:tc>
          <w:tcPr>
            <w:tcW w:w="3300" w:type="dxa"/>
          </w:tcPr>
          <w:p>
            <w:pPr>
              <w:spacing w:before="40" w:after="40"/>
            </w:pPr>
            <w:r>
              <w:t xml:space="preserve">"Residual pipelines" column, recomputed manually each month</w:t>
            </w:r>
          </w:p>
        </w:tc>
        <w:tc>
          <w:tcPr>
            <w:tcW w:w="3300" w:type="dxa"/>
          </w:tcPr>
          <w:p>
            <w:pPr>
              <w:spacing w:before="40" w:after="40"/>
            </w:pPr>
            <w:r>
              <w:t xml:space="preserve">Emerges as the difference on the PADD-view node automatically</w:t>
            </w:r>
          </w:p>
        </w:tc>
      </w:tr>
      <w:tr>
        <w:tc>
          <w:tcPr>
            <w:tcW w:w="2400" w:type="dxa"/>
          </w:tcPr>
          <w:p>
            <w:pPr>
              <w:spacing w:before="40" w:after="40"/>
            </w:pPr>
            <w:r>
              <w:t xml:space="preserve">Cross-check that ΣGenscape ≈ EIA inter-PADD</w:t>
            </w:r>
          </w:p>
        </w:tc>
        <w:tc>
          <w:tcPr>
            <w:tcW w:w="3300" w:type="dxa"/>
          </w:tcPr>
          <w:p>
            <w:pPr>
              <w:spacing w:before="40" w:after="40"/>
            </w:pPr>
            <w:r>
              <w:t xml:space="preserve">Eyeballed; absent unless the analyst writes a hand-coded formula</w:t>
            </w:r>
          </w:p>
        </w:tc>
        <w:tc>
          <w:tcPr>
            <w:tcW w:w="3300" w:type="dxa"/>
          </w:tcPr>
          <w:p>
            <w:pPr>
              <w:spacing w:before="40" w:after="40"/>
            </w:pPr>
            <w:r>
              <w:t xml:space="preserve">v_aggregation_consistency flags divergence in resolved output</w:t>
            </w:r>
          </w:p>
        </w:tc>
      </w:tr>
      <w:tr>
        <w:tc>
          <w:tcPr>
            <w:tcW w:w="2400" w:type="dxa"/>
          </w:tcPr>
          <w:p>
            <w:pPr>
              <w:spacing w:before="40" w:after="40"/>
            </w:pPr>
            <w:r>
              <w:t xml:space="preserve">New pipeline coverage (e.g. Seminole-Red goes live)</w:t>
            </w:r>
          </w:p>
        </w:tc>
        <w:tc>
          <w:tcPr>
            <w:tcW w:w="3300" w:type="dxa"/>
          </w:tcPr>
          <w:p>
            <w:pPr>
              <w:spacing w:before="40" w:after="40"/>
            </w:pPr>
            <w:r>
              <w:t xml:space="preserve">Add column; rewrite residual definition; rebuild subtractions</w:t>
            </w:r>
          </w:p>
        </w:tc>
        <w:tc>
          <w:tcPr>
            <w:tcW w:w="3300" w:type="dxa"/>
          </w:tcPr>
          <w:p>
            <w:pPr>
              <w:spacing w:before="40" w:after="40"/>
            </w:pPr>
            <w:r>
              <w:t xml:space="preserve">Add a node + TS binding; aggregation view picks it up</w:t>
            </w:r>
          </w:p>
        </w:tc>
      </w:tr>
    </w:tbl>
    <w:p>
      <w:r>
        <w:t xml:space="preserve"/>
      </w:r>
    </w:p>
    <w:p>
      <w:r>
        <w:t xml:space="preserve">The structural point is the same as in the previous two examples, but the failure mode is different. In §5.2 and §5.3 the spreadsheet's residual cell silently absorbed a meaningful physical signal that the framework would have surfaced. Here the spreadsheet does not absorb the signal — it surfaces all of it — but each new signal compounds the integration burden, because the spreadsheet's only mechanism for adding finer-resolution data is to add columns and patch the formulas downstream by hand. The framework treats Genscape and EIA as observations on different nodes of the same graph: EIA aggregates bind to PADD-view nodes, Genscape flows bind to pipeline nodes, the aggregation view ties them through the partition formula on the PADD-view, and the schema-level CHECK on single attribution makes the double-counting failure mode unrepresentable. The cost of adding a new Genscape-covered pipeline is not a workbook rewrite; it is a new TS binding on an existing node. The orthogonality between the physical layer and the data layer — Principle 1 — is what makes this true. The physical asset graph already contains every pipeline of interest as a node; subscribing to a finer-resolution data source for a subset of those pipelines does not require any structural change to the graph. It changes the data layer only.</w:t>
      </w:r>
    </w:p>
    <w:p w14:paraId="3FDB683B" w14:textId="77777777" w:rsidR="000754BC" w:rsidRDefault="00466837">
      <w:pPr>
        <w:pStyle w:val="Heading2"/>
        <w:spacing w:after="160"/>
      </w:pPr>
      <w:r>
        <w:t>5.5  The same pattern on other named events</w:t>
      </w:r>
    </w:p>
    <w:p w14:paraId="5F3A6604" w14:textId="77777777" w:rsidR="000754BC" w:rsidRDefault="00466837">
      <w:pPr>
        <w:spacing w:after="160" w:line="320" w:lineRule="auto"/>
        <w:jc w:val="both"/>
      </w:pPr>
      <w:r>
        <w:t>The August 2017 spike is not isolated. Table 5.4 reports the absolute value of B at the USA aggregate level for four named disruption events over the modelled period, alongside the median monthly absolute B over the full ten-year window for comparison.</w:t>
      </w:r>
    </w:p>
    <w:p w14:paraId="5E688556"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500"/>
        <w:gridCol w:w="2400"/>
        <w:gridCol w:w="2500"/>
      </w:tblGrid>
      <w:tr w:rsidR="000754BC" w14:paraId="22E14247" w14:textId="77777777">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024EF" w14:textId="77777777" w:rsidR="000754BC" w:rsidRDefault="00466837">
            <w:pPr>
              <w:spacing w:line="260" w:lineRule="auto"/>
            </w:pPr>
            <w:r>
              <w:rPr>
                <w:b/>
                <w:bCs/>
                <w:color w:val="FFFFFF"/>
                <w:sz w:val="20"/>
                <w:szCs w:val="20"/>
              </w:rPr>
              <w:lastRenderedPageBreak/>
              <w:t>Event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E25C5DB" w14:textId="77777777" w:rsidR="000754BC" w:rsidRDefault="00466837">
            <w:pPr>
              <w:spacing w:line="260" w:lineRule="auto"/>
            </w:pPr>
            <w:r>
              <w:rPr>
                <w:b/>
                <w:bCs/>
                <w:color w:val="FFFFFF"/>
                <w:sz w:val="20"/>
                <w:szCs w:val="20"/>
              </w:rPr>
              <w:t>Month(s)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44518" w14:textId="77777777" w:rsidR="000754BC" w:rsidRDefault="00466837">
            <w:pPr>
              <w:spacing w:line="260" w:lineRule="auto"/>
            </w:pPr>
            <w:r>
              <w:rPr>
                <w:b/>
                <w:bCs/>
                <w:color w:val="FFFFFF"/>
                <w:sz w:val="20"/>
                <w:szCs w:val="20"/>
              </w:rPr>
              <w:t>|B| at USA aggregate (</w:t>
            </w:r>
            <w:proofErr w:type="spellStart"/>
            <w:r>
              <w:rPr>
                <w:b/>
                <w:bCs/>
                <w:color w:val="FFFFFF"/>
                <w:sz w:val="20"/>
                <w:szCs w:val="20"/>
              </w:rPr>
              <w:t>kbd</w:t>
            </w:r>
            <w:proofErr w:type="spellEnd"/>
            <w:r>
              <w:rPr>
                <w:b/>
                <w:bCs/>
                <w:color w:val="FFFFFF"/>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7B57B9" w14:textId="77777777" w:rsidR="000754BC" w:rsidRDefault="00466837">
            <w:pPr>
              <w:spacing w:line="260" w:lineRule="auto"/>
            </w:pPr>
            <w:r>
              <w:rPr>
                <w:b/>
                <w:bCs/>
                <w:color w:val="FFFFFF"/>
                <w:sz w:val="20"/>
                <w:szCs w:val="20"/>
              </w:rPr>
              <w:t>Multiple of median |B|</w:t>
            </w:r>
          </w:p>
        </w:tc>
      </w:tr>
      <w:tr w:rsidR="000754BC" w14:paraId="4047CE39"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87130" w14:textId="77777777" w:rsidR="000754BC" w:rsidRDefault="00466837">
            <w:pPr>
              <w:spacing w:line="260" w:lineRule="auto"/>
            </w:pPr>
            <w:r>
              <w:rPr>
                <w:sz w:val="20"/>
                <w:szCs w:val="20"/>
              </w:rPr>
              <w:t>Median, all months 2015–2024 (baseline)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DB1EA5" w14:textId="77777777" w:rsidR="000754BC" w:rsidRDefault="00466837">
            <w:pPr>
              <w:spacing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338278" w14:textId="77777777" w:rsidR="000754BC" w:rsidRDefault="00466837">
            <w:pPr>
              <w:spacing w:line="260" w:lineRule="auto"/>
            </w:pPr>
            <w:r>
              <w:rPr>
                <w:sz w:val="20"/>
                <w:szCs w:val="20"/>
              </w:rPr>
              <w:t>~45</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213054" w14:textId="77777777" w:rsidR="000754BC" w:rsidRDefault="00466837">
            <w:pPr>
              <w:spacing w:line="260" w:lineRule="auto"/>
            </w:pPr>
            <w:r>
              <w:rPr>
                <w:sz w:val="20"/>
                <w:szCs w:val="20"/>
              </w:rPr>
              <w:t>1.0×</w:t>
            </w:r>
          </w:p>
        </w:tc>
      </w:tr>
      <w:tr w:rsidR="000754BC" w14:paraId="50D83DE4"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BF3408" w14:textId="77777777" w:rsidR="000754BC" w:rsidRDefault="00466837">
            <w:pPr>
              <w:spacing w:line="260" w:lineRule="auto"/>
            </w:pPr>
            <w:r>
              <w:rPr>
                <w:sz w:val="20"/>
                <w:szCs w:val="20"/>
              </w:rPr>
              <w:t>Hurricane Harvey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3BC9C8" w14:textId="77777777" w:rsidR="000754BC" w:rsidRDefault="00466837">
            <w:pPr>
              <w:spacing w:line="260" w:lineRule="auto"/>
            </w:pPr>
            <w:r>
              <w:rPr>
                <w:sz w:val="20"/>
                <w:szCs w:val="20"/>
              </w:rPr>
              <w:t>Aug 2017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B8E44F" w14:textId="77777777" w:rsidR="000754BC" w:rsidRDefault="00466837">
            <w:pPr>
              <w:spacing w:line="260" w:lineRule="auto"/>
            </w:pPr>
            <w:r>
              <w:rPr>
                <w:sz w:val="20"/>
                <w:szCs w:val="20"/>
              </w:rPr>
              <w:t>~410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1B7EB3" w14:textId="77777777" w:rsidR="000754BC" w:rsidRDefault="00466837">
            <w:pPr>
              <w:spacing w:line="260" w:lineRule="auto"/>
            </w:pPr>
            <w:r>
              <w:rPr>
                <w:sz w:val="20"/>
                <w:szCs w:val="20"/>
              </w:rPr>
              <w:t>~9×</w:t>
            </w:r>
          </w:p>
        </w:tc>
      </w:tr>
      <w:tr w:rsidR="000754BC" w14:paraId="1D16BBE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B3BC2" w14:textId="77777777" w:rsidR="000754BC" w:rsidRDefault="00466837">
            <w:pPr>
              <w:spacing w:line="260" w:lineRule="auto"/>
            </w:pPr>
            <w:r>
              <w:rPr>
                <w:sz w:val="20"/>
                <w:szCs w:val="20"/>
              </w:rPr>
              <w:t>COVID-19 demand collapse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C0497C" w14:textId="77777777" w:rsidR="000754BC" w:rsidRDefault="00466837">
            <w:pPr>
              <w:spacing w:line="260" w:lineRule="auto"/>
            </w:pPr>
            <w:r>
              <w:rPr>
                <w:sz w:val="20"/>
                <w:szCs w:val="20"/>
              </w:rPr>
              <w:t>Apr 2020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CFE2E2" w14:textId="77777777" w:rsidR="000754BC" w:rsidRDefault="00466837">
            <w:pPr>
              <w:spacing w:line="260" w:lineRule="auto"/>
            </w:pPr>
            <w:r>
              <w:rPr>
                <w:sz w:val="20"/>
                <w:szCs w:val="20"/>
              </w:rPr>
              <w:t>~720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F9A7E" w14:textId="77777777" w:rsidR="000754BC" w:rsidRDefault="00466837">
            <w:pPr>
              <w:spacing w:line="260" w:lineRule="auto"/>
            </w:pPr>
            <w:r>
              <w:rPr>
                <w:sz w:val="20"/>
                <w:szCs w:val="20"/>
              </w:rPr>
              <w:t>~16×</w:t>
            </w:r>
          </w:p>
        </w:tc>
      </w:tr>
      <w:tr w:rsidR="000754BC" w14:paraId="4AFC9E03"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44479" w14:textId="77777777" w:rsidR="000754BC" w:rsidRDefault="00466837">
            <w:pPr>
              <w:spacing w:line="260" w:lineRule="auto"/>
            </w:pPr>
            <w:r>
              <w:rPr>
                <w:sz w:val="20"/>
                <w:szCs w:val="20"/>
              </w:rPr>
              <w:t>Colonial Pipeline shutdown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339379" w14:textId="77777777" w:rsidR="000754BC" w:rsidRDefault="00466837">
            <w:pPr>
              <w:spacing w:line="260" w:lineRule="auto"/>
            </w:pPr>
            <w:r>
              <w:rPr>
                <w:sz w:val="20"/>
                <w:szCs w:val="20"/>
              </w:rPr>
              <w:t>May 2021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AD67AA" w14:textId="77777777" w:rsidR="000754BC" w:rsidRDefault="00466837">
            <w:pPr>
              <w:spacing w:line="260" w:lineRule="auto"/>
            </w:pPr>
            <w:r>
              <w:rPr>
                <w:sz w:val="20"/>
                <w:szCs w:val="20"/>
              </w:rPr>
              <w:t>~260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ED561" w14:textId="77777777" w:rsidR="000754BC" w:rsidRDefault="00466837">
            <w:pPr>
              <w:spacing w:line="260" w:lineRule="auto"/>
            </w:pPr>
            <w:r>
              <w:rPr>
                <w:sz w:val="20"/>
                <w:szCs w:val="20"/>
              </w:rPr>
              <w:t>~6×</w:t>
            </w:r>
          </w:p>
        </w:tc>
      </w:tr>
      <w:tr w:rsidR="000754BC" w14:paraId="1807670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46C6A2" w14:textId="77777777" w:rsidR="000754BC" w:rsidRDefault="00466837">
            <w:pPr>
              <w:spacing w:line="260" w:lineRule="auto"/>
            </w:pPr>
            <w:r>
              <w:rPr>
                <w:sz w:val="20"/>
                <w:szCs w:val="20"/>
              </w:rPr>
              <w:t>Strategic Petroleum Reserve release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3F241F" w14:textId="77777777" w:rsidR="000754BC" w:rsidRDefault="00466837">
            <w:pPr>
              <w:spacing w:line="260" w:lineRule="auto"/>
            </w:pPr>
            <w:r>
              <w:rPr>
                <w:sz w:val="20"/>
                <w:szCs w:val="20"/>
              </w:rPr>
              <w:t>2022 (peak)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5988FC" w14:textId="77777777" w:rsidR="000754BC" w:rsidRDefault="00466837">
            <w:pPr>
              <w:spacing w:line="260" w:lineRule="auto"/>
            </w:pPr>
            <w:r>
              <w:rPr>
                <w:sz w:val="20"/>
                <w:szCs w:val="20"/>
              </w:rPr>
              <w:t>~340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E90F93" w14:textId="77777777" w:rsidR="000754BC" w:rsidRDefault="00466837">
            <w:pPr>
              <w:spacing w:line="260" w:lineRule="auto"/>
            </w:pPr>
            <w:r>
              <w:rPr>
                <w:sz w:val="20"/>
                <w:szCs w:val="20"/>
              </w:rPr>
              <w:t>~8×</w:t>
            </w:r>
          </w:p>
        </w:tc>
      </w:tr>
    </w:tbl>
    <w:p w14:paraId="6F091FBB" w14:textId="77777777" w:rsidR="000754BC" w:rsidRDefault="00466837">
      <w:pPr>
        <w:spacing w:before="80" w:after="240" w:line="280" w:lineRule="auto"/>
        <w:jc w:val="center"/>
      </w:pPr>
      <w:r>
        <w:rPr>
          <w:b/>
          <w:bCs/>
          <w:color w:val="595959"/>
          <w:sz w:val="18"/>
          <w:szCs w:val="18"/>
        </w:rPr>
        <w:t xml:space="preserve">Table 5.4. </w:t>
      </w:r>
      <w:r>
        <w:rPr>
          <w:i/>
          <w:iCs/>
          <w:color w:val="595959"/>
          <w:sz w:val="18"/>
          <w:szCs w:val="18"/>
        </w:rPr>
        <w:t>Absolute value of the balancing item B at the USA aggregate level around named disruption events, compared with the ten-year median. Values are illustrative of the order of magnitude observed in the framework's resolved output; precise figures depend on the data revisions current at the time of reading.</w:t>
      </w:r>
    </w:p>
    <w:p w14:paraId="4C134A1C" w14:textId="77777777" w:rsidR="000754BC" w:rsidRDefault="00466837">
      <w:pPr>
        <w:spacing w:after="160" w:line="320" w:lineRule="auto"/>
        <w:jc w:val="both"/>
      </w:pPr>
      <w:r>
        <w:t xml:space="preserve">Two points are worth noting. First, B is consistently low outside disruption events — the median across 120 months is around 45 </w:t>
      </w:r>
      <w:proofErr w:type="spellStart"/>
      <w:r>
        <w:t>kbd</w:t>
      </w:r>
      <w:proofErr w:type="spellEnd"/>
      <w:r>
        <w:t xml:space="preserve"> in absolute value, on top of a USA-level flow scale of roughly 16,000 </w:t>
      </w:r>
      <w:proofErr w:type="spellStart"/>
      <w:r>
        <w:t>kbd</w:t>
      </w:r>
      <w:proofErr w:type="spellEnd"/>
      <w:r>
        <w:t xml:space="preserve"> of crude moving through the system, so the steady-state residual is well under one percent of total throughput. The reporting system, in normal periods, closes well. Second, around named events B rises by roughly an order of magnitude. The framework preserves this signal; the spreadsheet workflow absorbs it.</w:t>
      </w:r>
    </w:p>
    <w:p w14:paraId="1B0EF3B5" w14:textId="77777777" w:rsidR="000754BC" w:rsidRDefault="00466837">
      <w:pPr>
        <w:pStyle w:val="Heading2"/>
        <w:spacing w:after="160"/>
      </w:pPr>
      <w:r>
        <w:t>5.6  What the comparison establishes</w:t>
      </w:r>
    </w:p>
    <w:p w14:paraId="27A830EF" w14:textId="77777777" w:rsidR="000754BC" w:rsidRDefault="00466837">
      <w:pPr>
        <w:spacing w:after="160" w:line="320" w:lineRule="auto"/>
        <w:jc w:val="both"/>
      </w:pPr>
      <w:r>
        <w:t>The two scenarios together establish three points about the framework relative to the dominant current technique.</w:t>
      </w:r>
    </w:p>
    <w:p w14:paraId="7A6A13EB" w14:textId="77777777" w:rsidR="000754BC" w:rsidRDefault="00466837">
      <w:pPr>
        <w:spacing w:after="160" w:line="320" w:lineRule="auto"/>
        <w:jc w:val="both"/>
      </w:pPr>
      <w:r>
        <w:rPr>
          <w:b/>
          <w:bCs/>
        </w:rPr>
        <w:t xml:space="preserve">The framework produces a structurally more informative output on the same input data. </w:t>
      </w:r>
      <w:r>
        <w:t>In steady state, persistent reporting structures like the PADD 5 in-transit anomaly land on named nodes rather than in unallocated adjustment cells. The bottom-line totals are the same, but the structure is more honest about where the barrels are.</w:t>
      </w:r>
    </w:p>
    <w:p w14:paraId="528B0911" w14:textId="77777777" w:rsidR="000754BC" w:rsidRDefault="00466837">
      <w:pPr>
        <w:spacing w:after="160" w:line="320" w:lineRule="auto"/>
        <w:jc w:val="both"/>
      </w:pPr>
      <w:r>
        <w:rPr>
          <w:b/>
          <w:bCs/>
        </w:rPr>
        <w:t xml:space="preserve">The difference becomes most visible precisely when balance information is most economically valuable. </w:t>
      </w:r>
      <w:r>
        <w:t>During disruptions, the spreadsheet workflow's adjustment column silently absorbs residuals that the framework's balancing item makes visible. These are the months when oil prices move and when balance reconstruction matters most for the decisions that depend on it.</w:t>
      </w:r>
    </w:p>
    <w:p w14:paraId="3AE7C431" w14:textId="77777777" w:rsidR="000754BC" w:rsidRDefault="00466837">
      <w:pPr>
        <w:spacing w:after="160" w:line="320" w:lineRule="auto"/>
        <w:jc w:val="both"/>
      </w:pPr>
      <w:r>
        <w:rPr>
          <w:b/>
          <w:bCs/>
        </w:rPr>
        <w:t xml:space="preserve">The framework's output is consumable downstream without further cleaning. </w:t>
      </w:r>
      <w:r>
        <w:t xml:space="preserve">A linear programme that allocates the latent Permian outflows reads from the resolved table directly; mass balance and capacity become LP rows automatically. A graph neural network that forecasts inventories reads the same resolved </w:t>
      </w:r>
      <w:r>
        <w:lastRenderedPageBreak/>
        <w:t xml:space="preserve">table as a node feature matrix over the fixed adjacency of </w:t>
      </w:r>
      <w:proofErr w:type="spellStart"/>
      <w:r>
        <w:t>v_flow_edges</w:t>
      </w:r>
      <w:proofErr w:type="spellEnd"/>
      <w:r>
        <w:t>. A price model that uses balance residuals as a signal reads the labelled B series directly. None of these consumers requires manual un-hiding of disruption residuals that different analysts handle inconsistently.</w:t>
      </w:r>
    </w:p>
    <w:p w14:paraId="685E5EAB" w14:textId="77777777" w:rsidR="000754BC" w:rsidRDefault="00466837">
      <w:pPr>
        <w:spacing w:after="160" w:line="320" w:lineRule="auto"/>
        <w:jc w:val="both"/>
      </w:pPr>
      <w:r>
        <w:t>These are not theoretical claims. The U.S. crude oil instance described in Annex A — 251 assets, 433 directed flow edges, 1,870 variables, ten years of monthly observations — is a working implementation that produces the numbers reported in this chapter. The framework's contribution is not that it solves a problem the current technique cannot solve; it is that it solves the same problem in a way that does not throw away the information the data already contains.</w:t>
      </w:r>
    </w:p>
    <w:p w14:paraId="0762C248" w14:textId="77777777" w:rsidR="000754BC" w:rsidRDefault="00466837">
      <w:pPr>
        <w:pageBreakBefore/>
      </w:pPr>
      <w:r>
        <w:rPr>
          <w:rFonts w:ascii="Cambria" w:eastAsia="Cambria" w:hAnsi="Cambria" w:cs="Cambria"/>
          <w:color w:val="2F5496"/>
        </w:rPr>
        <w:lastRenderedPageBreak/>
        <w:t>Chapter 6</w:t>
      </w:r>
    </w:p>
    <w:p w14:paraId="72C3F6CE" w14:textId="77777777" w:rsidR="000754BC" w:rsidRDefault="00466837">
      <w:pPr>
        <w:pStyle w:val="Heading1"/>
        <w:spacing w:before="100" w:after="400"/>
      </w:pPr>
      <w:r>
        <w:rPr>
          <w:sz w:val="44"/>
          <w:szCs w:val="44"/>
        </w:rPr>
        <w:t>Conclusion and future work</w:t>
      </w:r>
    </w:p>
    <w:p w14:paraId="62E034F2" w14:textId="77777777" w:rsidR="000754BC" w:rsidRDefault="00466837">
      <w:pPr>
        <w:pStyle w:val="Heading2"/>
        <w:spacing w:after="160"/>
      </w:pPr>
      <w:r>
        <w:t>6.1  Contribution</w:t>
      </w:r>
    </w:p>
    <w:p w14:paraId="4E5C0859" w14:textId="77777777" w:rsidR="000754BC" w:rsidRDefault="00466837">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source of value, enforced at the schema level; and flows that are real but unobserved are labelled latent rather than filled with heuristics.</w:t>
      </w:r>
    </w:p>
    <w:p w14:paraId="3BB90F68" w14:textId="77777777" w:rsidR="000754BC" w:rsidRDefault="00466837">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4590D0CA" w14:textId="77777777" w:rsidR="000754BC" w:rsidRDefault="00466837">
      <w:pPr>
        <w:pStyle w:val="Heading2"/>
        <w:spacing w:after="160"/>
      </w:pPr>
      <w:r>
        <w:t>6.2  Limitations</w:t>
      </w:r>
    </w:p>
    <w:p w14:paraId="5FA69E36" w14:textId="77777777" w:rsidR="000754BC" w:rsidRDefault="00466837">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16106CBD" w14:textId="77777777" w:rsidR="000754BC" w:rsidRDefault="00466837">
      <w:pPr>
        <w:spacing w:after="160" w:line="320" w:lineRule="auto"/>
        <w:jc w:val="both"/>
      </w:pPr>
      <w:r>
        <w:t>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work, and depends on additional context that the framework does not currently host.</w:t>
      </w:r>
    </w:p>
    <w:p w14:paraId="0F285073" w14:textId="77777777" w:rsidR="000754BC" w:rsidRDefault="00466837">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18A311B0" w14:textId="77777777" w:rsidR="000754BC" w:rsidRDefault="00466837">
      <w:pPr>
        <w:pStyle w:val="Heading2"/>
        <w:spacing w:after="160"/>
      </w:pPr>
      <w:r>
        <w:t>6.3  Future work</w:t>
      </w:r>
    </w:p>
    <w:p w14:paraId="42EA5279" w14:textId="77777777" w:rsidR="000754BC" w:rsidRDefault="00466837">
      <w:pPr>
        <w:spacing w:after="160" w:line="320" w:lineRule="auto"/>
        <w:jc w:val="both"/>
      </w:pPr>
      <w:r>
        <w:t>Three lines of future work follow naturally from the framework as it stands.</w:t>
      </w:r>
    </w:p>
    <w:p w14:paraId="326AB503" w14:textId="77777777" w:rsidR="000754BC" w:rsidRDefault="00466837">
      <w:pPr>
        <w:spacing w:after="160" w:line="320" w:lineRule="auto"/>
        <w:jc w:val="both"/>
      </w:pPr>
      <w:r>
        <w:rPr>
          <w:b/>
          <w:bCs/>
        </w:rPr>
        <w:t xml:space="preserve">Per-grade decomposition. </w:t>
      </w:r>
      <w:r>
        <w:t xml:space="preserve">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 hold at each node, and per-grade latent flows would be available to downstream consumers in the same form as the single-commodity </w:t>
      </w:r>
      <w:proofErr w:type="spellStart"/>
      <w:r>
        <w:t>latents</w:t>
      </w:r>
      <w:proofErr w:type="spellEnd"/>
      <w:r>
        <w:t xml:space="preserve"> are today.</w:t>
      </w:r>
    </w:p>
    <w:p w14:paraId="42AF11C0" w14:textId="77777777" w:rsidR="000754BC" w:rsidRDefault="00466837">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 not leak across time, target selection, baseline comparison — but the data layer is ready. This is the line of work this framework is most directly designed to enable.</w:t>
      </w:r>
    </w:p>
    <w:p w14:paraId="5148CE89" w14:textId="77777777" w:rsidR="000754BC" w:rsidRDefault="00466837">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analogous instances for these other networks with only minor adjustments to the variable types and the node taxonomy.</w:t>
      </w:r>
    </w:p>
    <w:p w14:paraId="71284B2A" w14:textId="77777777" w:rsidR="000754BC" w:rsidRDefault="00466837">
      <w:pPr>
        <w:pStyle w:val="Heading2"/>
        <w:spacing w:after="160"/>
      </w:pPr>
      <w:r>
        <w:t>6.4  Closing remarks</w:t>
      </w:r>
    </w:p>
    <w:p w14:paraId="31D86B97" w14:textId="77777777" w:rsidR="000754BC" w:rsidRDefault="00466837">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56A457E5" w14:textId="77777777" w:rsidR="000754BC" w:rsidRDefault="00466837">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79CCD670" w14:textId="77777777" w:rsidR="000754BC" w:rsidRDefault="00466837">
      <w:pPr>
        <w:pStyle w:val="Heading1"/>
        <w:pageBreakBefore/>
        <w:spacing w:before="0" w:after="400"/>
      </w:pPr>
      <w:r>
        <w:lastRenderedPageBreak/>
        <w:t>References</w:t>
      </w:r>
    </w:p>
    <w:p w14:paraId="424B7642" w14:textId="77777777" w:rsidR="000754BC" w:rsidRDefault="00466837">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64048749" w14:textId="77777777" w:rsidR="000754BC" w:rsidRDefault="00466837">
      <w:pPr>
        <w:spacing w:after="140" w:line="280" w:lineRule="auto"/>
        <w:ind w:left="720" w:hanging="720"/>
      </w:pPr>
      <w:r>
        <w:t>Bornstein, G., Krusell, P., &amp; Rebelo, S. (2017). Lags, costs, and shocks: An equilibrium model of the oil industry. NBER Working Paper 23423. Cambridge, MA: National Bureau of Economic Research.</w:t>
      </w:r>
    </w:p>
    <w:p w14:paraId="1CC6D609" w14:textId="77777777" w:rsidR="000754BC" w:rsidRDefault="00466837">
      <w:pPr>
        <w:spacing w:after="140" w:line="280" w:lineRule="auto"/>
        <w:ind w:left="720" w:hanging="720"/>
      </w:pPr>
      <w:r>
        <w:t>Fattouh, B. (2011). An anatomy of the crude oil pricing system. Oxford Institute for Energy Studies WPM 40.</w:t>
      </w:r>
    </w:p>
    <w:p w14:paraId="130DDAEF" w14:textId="77777777" w:rsidR="000754BC" w:rsidRDefault="00466837">
      <w:pPr>
        <w:spacing w:after="140" w:line="280" w:lineRule="auto"/>
        <w:ind w:left="720" w:hanging="720"/>
      </w:pPr>
      <w:r w:rsidRPr="00F855CC">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1594B721" w14:textId="77777777" w:rsidR="000754BC" w:rsidRDefault="00466837">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0542183A" w14:textId="77777777" w:rsidR="000754BC" w:rsidRDefault="00466837">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3A81521" w14:textId="77777777" w:rsidR="000754BC" w:rsidRDefault="00466837">
      <w:pPr>
        <w:spacing w:after="140" w:line="280" w:lineRule="auto"/>
        <w:ind w:left="720" w:hanging="720"/>
      </w:pPr>
      <w:r>
        <w:t>Hamilton, J. D. (2009). Understanding crude oil prices. The Energy Journal, 30(2), 179–206.</w:t>
      </w:r>
    </w:p>
    <w:p w14:paraId="723F6555" w14:textId="77777777" w:rsidR="000754BC" w:rsidRDefault="00466837">
      <w:pPr>
        <w:spacing w:after="140" w:line="280" w:lineRule="auto"/>
        <w:ind w:left="720" w:hanging="720"/>
      </w:pPr>
      <w:r>
        <w:t>Hamilton, W. L., Ying, Z., &amp; Leskovec, J. (2017). Inductive representation learning on large graphs. Advances in Neural Information Processing Systems, 30, 1024–1034.</w:t>
      </w:r>
    </w:p>
    <w:p w14:paraId="051F5FA0" w14:textId="77777777" w:rsidR="000754BC" w:rsidRDefault="00466837">
      <w:pPr>
        <w:spacing w:after="140" w:line="280" w:lineRule="auto"/>
        <w:ind w:left="720" w:hanging="720"/>
      </w:pPr>
      <w:r>
        <w:t>International Energy Agency. (2024). Oil Market Report. Paris: IEA. Methodology notes accessed via https://www.iea.org/reports/oil-market-report.</w:t>
      </w:r>
    </w:p>
    <w:p w14:paraId="1FA4266A" w14:textId="77777777" w:rsidR="000754BC" w:rsidRDefault="00466837">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7626734" w14:textId="77777777" w:rsidR="000754BC" w:rsidRDefault="00466837">
      <w:pPr>
        <w:spacing w:after="140" w:line="280" w:lineRule="auto"/>
        <w:ind w:left="720" w:hanging="720"/>
      </w:pPr>
      <w:r>
        <w:t>Joly, M., Moro, L. F. L., &amp; Pinto, J. M. (2002). Planning and scheduling for petroleum refineries using mathematical programming. Brazilian Journal of Chemical Engineering, 19(2), 207–228.</w:t>
      </w:r>
    </w:p>
    <w:p w14:paraId="151E26A9" w14:textId="77777777" w:rsidR="000754BC" w:rsidRDefault="00466837">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40BDE31B" w14:textId="77777777" w:rsidR="000754BC" w:rsidRDefault="00466837">
      <w:pPr>
        <w:spacing w:after="140" w:line="280" w:lineRule="auto"/>
        <w:ind w:left="720" w:hanging="720"/>
      </w:pPr>
      <w:r>
        <w:t>Kilian, L., &amp; Murphy, D. P. (2014). The role of inventories and speculative trading in the global market for crude oil. Journal of Applied Econometrics, 29(3), 454–478.</w:t>
      </w:r>
    </w:p>
    <w:p w14:paraId="4FBE681C" w14:textId="77777777" w:rsidR="000754BC" w:rsidRDefault="00466837">
      <w:pPr>
        <w:spacing w:after="140" w:line="280" w:lineRule="auto"/>
        <w:ind w:left="720" w:hanging="720"/>
      </w:pPr>
      <w:r>
        <w:lastRenderedPageBreak/>
        <w:t>Kipf, T. N., &amp; Welling, M. (2017). Semi-supervised classification with graph convolutional networks. Proceedings of the 5th International Conference on Learning Representations.</w:t>
      </w:r>
    </w:p>
    <w:p w14:paraId="56ACEA30" w14:textId="77777777" w:rsidR="000754BC" w:rsidRDefault="00466837">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42A1227B" w14:textId="77777777" w:rsidR="000754BC" w:rsidRDefault="00466837">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3AB4A9DE" w14:textId="77777777" w:rsidR="000754BC" w:rsidRDefault="00466837">
      <w:pPr>
        <w:spacing w:after="140" w:line="280" w:lineRule="auto"/>
        <w:ind w:left="720" w:hanging="720"/>
      </w:pPr>
      <w:r>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FE573AE" w14:textId="77777777" w:rsidR="000754BC" w:rsidRDefault="00466837">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0939F5E" w14:textId="77777777" w:rsidR="000754BC" w:rsidRDefault="00466837">
      <w:pPr>
        <w:spacing w:after="140" w:line="280" w:lineRule="auto"/>
        <w:ind w:left="720" w:hanging="720"/>
      </w:pPr>
      <w:r>
        <w:t>Pindyck, R. S. (2001). The dynamics of commodity spot and futures markets: A primer. The Energy Journal, 22(3), 1–29.</w:t>
      </w:r>
    </w:p>
    <w:p w14:paraId="1A55CC17" w14:textId="77777777" w:rsidR="000754BC" w:rsidRDefault="00466837">
      <w:pPr>
        <w:spacing w:after="140" w:line="280" w:lineRule="auto"/>
        <w:ind w:left="720" w:hanging="720"/>
      </w:pPr>
      <w:r>
        <w:t>Pinto, J. M., Joly, M., &amp; Moro, L. F. L. (2000). Planning and scheduling models for refinery operations. Computers &amp; Chemical Engineering, 24(9–10), 2259–2276.</w:t>
      </w:r>
    </w:p>
    <w:p w14:paraId="68835A41" w14:textId="77777777" w:rsidR="000754BC" w:rsidRDefault="00466837">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122A6FE5" w14:textId="77777777" w:rsidR="000754BC" w:rsidRDefault="00466837">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01135679" w14:textId="77777777" w:rsidR="000754BC" w:rsidRDefault="00466837">
      <w:pPr>
        <w:spacing w:after="140" w:line="280" w:lineRule="auto"/>
        <w:ind w:left="720" w:hanging="720"/>
      </w:pPr>
      <w:r>
        <w:t>Stopford, M. (2009). Maritime Economics (3rd ed.). London: Routledge.</w:t>
      </w:r>
    </w:p>
    <w:p w14:paraId="5DE90EDC" w14:textId="77777777" w:rsidR="000754BC" w:rsidRDefault="00466837">
      <w:pPr>
        <w:spacing w:after="140" w:line="280" w:lineRule="auto"/>
        <w:ind w:left="720" w:hanging="720"/>
      </w:pPr>
      <w:r>
        <w:t>U.S. Energy Information Administration. (2024). What drives crude oil prices: Balance. Washington, DC: U.S. Department of Energy. https://www.eia.gov/finance/markets/crudeoil/balance.php</w:t>
      </w:r>
    </w:p>
    <w:p w14:paraId="50EC02E3" w14:textId="77777777" w:rsidR="000754BC" w:rsidRDefault="00466837">
      <w:pPr>
        <w:spacing w:after="140" w:line="280" w:lineRule="auto"/>
        <w:ind w:left="720" w:hanging="720"/>
      </w:pPr>
      <w:r w:rsidRPr="00F855CC">
        <w:rPr>
          <w:lang w:val="it-IT"/>
        </w:rPr>
        <w:t xml:space="preserve">Veličković, P., Cucurull, G., Casanova, A., Romero, A., Liò, P., &amp; Bengio, Y. (2018). </w:t>
      </w:r>
      <w:r>
        <w:t>Graph attention networks. Proceedings of the 6th International Conference on Learning Representations.</w:t>
      </w:r>
    </w:p>
    <w:p w14:paraId="0937922A" w14:textId="77777777" w:rsidR="000754BC" w:rsidRDefault="00466837">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3EF049D" w14:textId="77777777" w:rsidR="000754BC" w:rsidRDefault="00466837">
      <w:pPr>
        <w:spacing w:after="140" w:line="280" w:lineRule="auto"/>
        <w:ind w:left="720" w:hanging="720"/>
      </w:pPr>
      <w:r>
        <w:t>Working, H. (1949). The theory of price of storage. American Economic Review, 39(6), 1254–1262.</w:t>
      </w:r>
    </w:p>
    <w:p w14:paraId="7390CD14" w14:textId="77777777" w:rsidR="000754BC" w:rsidRDefault="00466837">
      <w:pPr>
        <w:spacing w:after="140" w:line="280" w:lineRule="auto"/>
        <w:ind w:left="720" w:hanging="720"/>
      </w:pPr>
      <w:r>
        <w:t>Wu, Z., Pan, S., Chen, F., Long, G., Zhang, C., &amp; Yu, P. S. (2020). A comprehensive survey on graph neural networks. IEEE Transactions on Neural Networks and Learning Systems, 32(1), 4–24.</w:t>
      </w:r>
    </w:p>
    <w:p w14:paraId="15187480" w14:textId="77777777" w:rsidR="000754BC" w:rsidRDefault="00466837">
      <w:pPr>
        <w:spacing w:after="140" w:line="280" w:lineRule="auto"/>
        <w:ind w:left="720" w:hanging="720"/>
      </w:pPr>
      <w:r w:rsidRPr="00F855CC">
        <w:rPr>
          <w:lang w:val="pt-BR"/>
        </w:rPr>
        <w:lastRenderedPageBreak/>
        <w:t xml:space="preserve">Xu, D., Ruan, C., Korpeoglu, E., Kumar, S., &amp; Achan, K. (2020). </w:t>
      </w:r>
      <w:r>
        <w:t>Inductive representation learning on temporal graphs. Proceedings of the 8th International Conference on Learning Representations.</w:t>
      </w:r>
    </w:p>
    <w:p w14:paraId="663A0C45" w14:textId="77777777" w:rsidR="000754BC" w:rsidRDefault="00466837">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BF58EA1" w14:textId="77777777" w:rsidR="000754BC" w:rsidRDefault="00466837">
      <w:pPr>
        <w:pageBreakBefore/>
      </w:pPr>
      <w:r>
        <w:rPr>
          <w:rFonts w:ascii="Cambria" w:eastAsia="Cambria" w:hAnsi="Cambria" w:cs="Cambria"/>
          <w:color w:val="2F5496"/>
        </w:rPr>
        <w:lastRenderedPageBreak/>
        <w:t>Annex A</w:t>
      </w:r>
    </w:p>
    <w:p w14:paraId="766D8EFA" w14:textId="77777777" w:rsidR="000754BC" w:rsidRDefault="00466837">
      <w:pPr>
        <w:pStyle w:val="Heading1"/>
        <w:spacing w:before="100" w:after="400"/>
      </w:pPr>
      <w:r>
        <w:t>Implementation</w:t>
      </w:r>
    </w:p>
    <w:p w14:paraId="6412FA83" w14:textId="77777777" w:rsidR="000754BC" w:rsidRDefault="00466837">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472170CB" w14:textId="77777777" w:rsidR="000754BC" w:rsidRDefault="00466837">
      <w:pPr>
        <w:pStyle w:val="Heading2"/>
        <w:spacing w:after="160"/>
      </w:pPr>
      <w:r>
        <w:t>A.1  Schema</w:t>
      </w:r>
    </w:p>
    <w:p w14:paraId="68F10997" w14:textId="77777777" w:rsidR="000754BC" w:rsidRDefault="00466837">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0209CAA3" w14:textId="77777777" w:rsidR="000754BC" w:rsidRDefault="00466837">
      <w:pPr>
        <w:spacing w:after="160" w:line="320" w:lineRule="auto"/>
        <w:jc w:val="both"/>
      </w:pPr>
      <w:r>
        <w:rPr>
          <w:b/>
          <w:bCs/>
        </w:rPr>
        <w:t>assets</w:t>
      </w:r>
      <w:r>
        <w:t xml:space="preserve"> is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4CAF8E74" w14:textId="77777777" w:rsidR="000754BC" w:rsidRDefault="00466837">
      <w:pPr>
        <w:spacing w:after="160" w:line="320" w:lineRule="auto"/>
        <w:jc w:val="both"/>
      </w:pPr>
      <w:r>
        <w:rPr>
          <w:b/>
          <w:bCs/>
        </w:rPr>
        <w:t>nodes</w:t>
      </w:r>
      <w:r>
        <w:t xml:space="preserve"> represents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5F8DDAD" w14:textId="77777777" w:rsidR="000754BC" w:rsidRDefault="00466837">
      <w:pPr>
        <w:spacing w:after="160" w:line="320" w:lineRule="auto"/>
        <w:jc w:val="both"/>
      </w:pPr>
      <w:r>
        <w:rPr>
          <w:b/>
          <w:bCs/>
        </w:rPr>
        <w:t>variables</w:t>
      </w:r>
      <w:r>
        <w:t xml:space="preserve"> carries the data attributes of nodes. Each variable has a type (production, consumption, inventory, balancing item, inflow, outflow, phi), a commodity (crude, in the active scenario), an optional </w:t>
      </w:r>
      <w:proofErr w:type="spellStart"/>
      <w:r>
        <w:t>related_node_id</w:t>
      </w:r>
      <w:proofErr w:type="spellEnd"/>
      <w:r>
        <w:t xml:space="preserve"> (for inflow, outflow, and phi variables that reference another node), and a name that serves as a stable audit identifier.</w:t>
      </w:r>
    </w:p>
    <w:p w14:paraId="375CDEAF" w14:textId="77777777" w:rsidR="000754BC" w:rsidRDefault="00466837">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num_nonnulls</w:t>
      </w:r>
      <w:proofErr w:type="spellEnd"/>
      <w:r>
        <w:t>(</w:t>
      </w:r>
      <w:proofErr w:type="spellStart"/>
      <w:r>
        <w:t>timeseries_id</w:t>
      </w:r>
      <w:proofErr w:type="spellEnd"/>
      <w:r>
        <w:t>, formula) = 1). An attempt to insert an assignment that is both time-series-bound and formula-bound, or neither, is rejected by the database.</w:t>
      </w:r>
    </w:p>
    <w:p w14:paraId="00D7B931" w14:textId="77777777" w:rsidR="000754BC" w:rsidRDefault="00466837">
      <w:pPr>
        <w:spacing w:after="160" w:line="320" w:lineRule="auto"/>
        <w:jc w:val="both"/>
      </w:pPr>
      <w:r>
        <w:t xml:space="preserve">Geographic metadata is kept in a separate </w:t>
      </w:r>
      <w:proofErr w:type="spellStart"/>
      <w:r>
        <w:t>oil_network.locations</w:t>
      </w:r>
      <w:proofErr w:type="spell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6EE84991" w14:textId="77777777" w:rsidR="000754BC" w:rsidRDefault="00466837">
      <w:pPr>
        <w:pStyle w:val="Heading2"/>
        <w:spacing w:after="160"/>
      </w:pPr>
      <w:r>
        <w:t>A.2  The starter U.S. crude oil graph</w:t>
      </w:r>
    </w:p>
    <w:p w14:paraId="605B256E" w14:textId="77777777" w:rsidR="000754BC" w:rsidRDefault="00466837">
      <w:pPr>
        <w:spacing w:after="160" w:line="320" w:lineRule="auto"/>
        <w:jc w:val="both"/>
      </w:pPr>
      <w:r>
        <w:lastRenderedPageBreak/>
        <w:t>The active scenario, starter_us_crude_2015_2025, instantiates the U.S. crude oil network at monthly resolution from January 2015 to December 2024 inclusive. Table A.1 summarises the node inventory by class.</w:t>
      </w:r>
    </w:p>
    <w:p w14:paraId="23B7C59A"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754BC" w14:paraId="486CA12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C247A36" w14:textId="77777777" w:rsidR="000754BC" w:rsidRDefault="00466837">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E715E94" w14:textId="77777777" w:rsidR="000754BC" w:rsidRDefault="00466837">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E46425C" w14:textId="77777777" w:rsidR="000754BC" w:rsidRDefault="00466837">
            <w:pPr>
              <w:spacing w:line="260" w:lineRule="auto"/>
            </w:pPr>
            <w:r>
              <w:rPr>
                <w:b/>
                <w:bCs/>
                <w:color w:val="FFFFFF"/>
                <w:sz w:val="20"/>
                <w:szCs w:val="20"/>
              </w:rPr>
              <w:t>Examples</w:t>
            </w:r>
          </w:p>
        </w:tc>
      </w:tr>
      <w:tr w:rsidR="000754BC" w14:paraId="5ED2669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F5E4A" w14:textId="77777777" w:rsidR="000754BC" w:rsidRDefault="00466837">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FFCB" w14:textId="77777777" w:rsidR="000754BC" w:rsidRDefault="00466837">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F075" w14:textId="77777777" w:rsidR="000754BC" w:rsidRDefault="00466837">
            <w:pPr>
              <w:spacing w:line="260" w:lineRule="auto"/>
            </w:pPr>
            <w:r>
              <w:rPr>
                <w:sz w:val="20"/>
                <w:szCs w:val="20"/>
              </w:rPr>
              <w:t>Permian-TX, Permian-NM, Bakken-ND, Bakken-MT, Eagle Ford-TX, Gulf of America offshore, state-conventional fields, per-PADD residuals</w:t>
            </w:r>
          </w:p>
        </w:tc>
      </w:tr>
      <w:tr w:rsidR="000754BC" w14:paraId="5B33E10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6572B" w14:textId="77777777" w:rsidR="000754BC" w:rsidRDefault="00466837">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ADBD3"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0FE0E7" w14:textId="77777777" w:rsidR="000754BC" w:rsidRDefault="00466837">
            <w:pPr>
              <w:spacing w:line="260" w:lineRule="auto"/>
            </w:pPr>
            <w:r>
              <w:rPr>
                <w:sz w:val="20"/>
                <w:szCs w:val="20"/>
              </w:rPr>
              <w:t>Permian-TX, Permian-NM, Bakken-ND, Bakken-MT, Eagle Ford, ANS gathering systems</w:t>
            </w:r>
          </w:p>
        </w:tc>
      </w:tr>
      <w:tr w:rsidR="000754BC" w14:paraId="33F0E3C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4D6F2F" w14:textId="77777777" w:rsidR="000754BC" w:rsidRDefault="00466837">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AF5881"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E34593" w14:textId="77777777" w:rsidR="000754BC" w:rsidRDefault="00466837">
            <w:pPr>
              <w:spacing w:line="260" w:lineRule="auto"/>
            </w:pPr>
            <w:r>
              <w:rPr>
                <w:sz w:val="20"/>
                <w:szCs w:val="20"/>
              </w:rPr>
              <w:t>Midland, Wink, Crane, Johnson's Corner, Three Rivers, Valdez</w:t>
            </w:r>
          </w:p>
        </w:tc>
      </w:tr>
      <w:tr w:rsidR="000754BC" w14:paraId="30FEA7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F3F28" w14:textId="77777777" w:rsidR="000754BC" w:rsidRDefault="00466837">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6B0A8" w14:textId="77777777" w:rsidR="000754BC" w:rsidRDefault="00466837">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3EFAE" w14:textId="77777777" w:rsidR="000754BC" w:rsidRDefault="00466837">
            <w:pPr>
              <w:spacing w:line="260" w:lineRule="auto"/>
            </w:pPr>
            <w:r>
              <w:rPr>
                <w:sz w:val="20"/>
                <w:szCs w:val="20"/>
              </w:rPr>
              <w:t>Cushing (with three operator sub-terminals), Patoka, Houston, St. James, LOOP, others</w:t>
            </w:r>
          </w:p>
        </w:tc>
      </w:tr>
      <w:tr w:rsidR="000754BC" w14:paraId="407C2E8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D4F76" w14:textId="77777777" w:rsidR="000754BC" w:rsidRDefault="00466837">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E327D" w14:textId="77777777" w:rsidR="000754BC" w:rsidRDefault="00466837">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D055" w14:textId="77777777" w:rsidR="000754BC" w:rsidRDefault="00466837">
            <w:pPr>
              <w:spacing w:line="260" w:lineRule="auto"/>
            </w:pPr>
            <w:r>
              <w:rPr>
                <w:sz w:val="20"/>
                <w:szCs w:val="20"/>
              </w:rPr>
              <w:t>Bayou Choctaw, Big Hill, Bryan Mound, West Hackberry</w:t>
            </w:r>
          </w:p>
        </w:tc>
      </w:tr>
      <w:tr w:rsidR="000754BC" w14:paraId="60ED813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12523" w14:textId="77777777" w:rsidR="000754BC" w:rsidRDefault="00466837">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CAAFD7" w14:textId="77777777" w:rsidR="000754BC" w:rsidRDefault="00466837">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8BC52" w14:textId="77777777" w:rsidR="000754BC" w:rsidRDefault="00466837">
            <w:pPr>
              <w:spacing w:line="260" w:lineRule="auto"/>
            </w:pPr>
            <w:r>
              <w:rPr>
                <w:sz w:val="20"/>
                <w:szCs w:val="20"/>
              </w:rPr>
              <w:t>19 named refineries, 5 PADD residuals, sub-aggregates totalling 24 active facilities</w:t>
            </w:r>
          </w:p>
        </w:tc>
      </w:tr>
      <w:tr w:rsidR="000754BC" w14:paraId="3C5BEBD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83C6C6" w14:textId="77777777" w:rsidR="000754BC" w:rsidRDefault="00466837">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D4397" w14:textId="77777777" w:rsidR="000754BC" w:rsidRDefault="00466837">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6D165" w14:textId="77777777" w:rsidR="000754BC" w:rsidRDefault="00466837">
            <w:pPr>
              <w:spacing w:line="260" w:lineRule="auto"/>
            </w:pPr>
            <w:r>
              <w:rPr>
                <w:sz w:val="20"/>
                <w:szCs w:val="20"/>
              </w:rPr>
              <w:t>20 named U.S.-internal lines, 4 cross-border, 12 inter-PADD aggregates, Bakken cross-state connector</w:t>
            </w:r>
          </w:p>
        </w:tc>
      </w:tr>
      <w:tr w:rsidR="000754BC" w14:paraId="64CDC32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73F412" w14:textId="77777777" w:rsidR="000754BC" w:rsidRDefault="00466837">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72344" w14:textId="77777777" w:rsidR="000754BC" w:rsidRDefault="00466837">
            <w:pPr>
              <w:spacing w:line="260" w:lineRule="auto"/>
            </w:pPr>
            <w:r>
              <w:rPr>
                <w:sz w:val="20"/>
                <w:szCs w:val="20"/>
              </w:rPr>
              <w:t>20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C0C18C" w14:textId="77777777" w:rsidR="000754BC" w:rsidRDefault="00466837">
            <w:pPr>
              <w:spacing w:line="260" w:lineRule="auto"/>
            </w:pPr>
            <w:r>
              <w:rPr>
                <w:sz w:val="20"/>
                <w:szCs w:val="20"/>
              </w:rPr>
              <w:t>Ingleside, Houston complex, Nederland, LOOP, per-PADD import and export aggregates</w:t>
            </w:r>
          </w:p>
        </w:tc>
      </w:tr>
      <w:tr w:rsidR="000754BC" w14:paraId="0C6B36B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C52203" w14:textId="77777777" w:rsidR="000754BC" w:rsidRDefault="00466837">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69B50" w14:textId="77777777" w:rsidR="000754BC" w:rsidRDefault="00466837">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713E2E" w14:textId="77777777" w:rsidR="000754BC" w:rsidRDefault="00466837">
            <w:pPr>
              <w:spacing w:line="260" w:lineRule="auto"/>
            </w:pPr>
            <w:r>
              <w:rPr>
                <w:sz w:val="20"/>
                <w:szCs w:val="20"/>
              </w:rPr>
              <w:t>Foreign supply, Canadian oil sands, foreign export destination</w:t>
            </w:r>
          </w:p>
        </w:tc>
      </w:tr>
      <w:tr w:rsidR="000754BC" w14:paraId="32605D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DDED3" w14:textId="77777777" w:rsidR="000754BC" w:rsidRDefault="00466837">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9F2CE" w14:textId="77777777" w:rsidR="000754BC" w:rsidRDefault="00466837">
            <w:pPr>
              <w:spacing w:line="260" w:lineRule="auto"/>
            </w:pPr>
            <w:r>
              <w:rPr>
                <w:sz w:val="20"/>
                <w:szCs w:val="20"/>
              </w:rPr>
              <w:t>34</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E4C4D8" w14:textId="77777777" w:rsidR="000754BC" w:rsidRDefault="00466837">
            <w:pPr>
              <w:spacing w:line="260" w:lineRule="auto"/>
            </w:pPr>
            <w:r>
              <w:rPr>
                <w:sz w:val="20"/>
                <w:szCs w:val="20"/>
              </w:rPr>
              <w:t>USA view, PADD views, refining-district views, state views, basin aggregates, stock-decomposition aggregates</w:t>
            </w:r>
          </w:p>
        </w:tc>
      </w:tr>
    </w:tbl>
    <w:p w14:paraId="35F47DB8" w14:textId="77777777" w:rsidR="000754BC" w:rsidRDefault="00466837">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7F87D754" w14:textId="77777777" w:rsidR="000754BC" w:rsidRDefault="00466837">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195CA967" w14:textId="77777777" w:rsidR="000754BC" w:rsidRDefault="00466837">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per-edge junction flows.</w:t>
      </w:r>
    </w:p>
    <w:p w14:paraId="12DB9FE0" w14:textId="77777777" w:rsidR="000754BC" w:rsidRDefault="00466837">
      <w:pPr>
        <w:pStyle w:val="Heading2"/>
        <w:spacing w:after="160"/>
      </w:pPr>
      <w:r>
        <w:t>A.3  The resolver</w:t>
      </w:r>
    </w:p>
    <w:p w14:paraId="0E91047B" w14:textId="77777777" w:rsidR="000754BC" w:rsidRDefault="00466837">
      <w:pPr>
        <w:spacing w:after="160" w:line="320" w:lineRule="auto"/>
        <w:jc w:val="both"/>
      </w:pPr>
      <w:r>
        <w:t>The resolver is a Python script (resolve_scenario.py) that reads variable assignments for a given scenario, applies a dispatch loop over the variable set, and writes a per-(scenario, variable, observation date) value table. The dispatch rules are applied in priority order:</w:t>
      </w:r>
    </w:p>
    <w:p w14:paraId="6C65ADAF" w14:textId="77777777" w:rsidR="000754BC" w:rsidRDefault="00466837">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13C50BF6" w14:textId="77777777" w:rsidR="000754BC" w:rsidRDefault="00466837">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096899BD" w14:textId="77777777" w:rsidR="000754BC" w:rsidRDefault="00466837">
      <w:pPr>
        <w:pStyle w:val="ListParagraph"/>
        <w:numPr>
          <w:ilvl w:val="0"/>
          <w:numId w:val="2"/>
        </w:numPr>
        <w:spacing w:after="80" w:line="300" w:lineRule="auto"/>
      </w:pPr>
      <w:r>
        <w:rPr>
          <w:b/>
          <w:bCs/>
        </w:rPr>
        <w:t xml:space="preserve">Latent: </w:t>
      </w:r>
      <w:r>
        <w:t>if the formula resolves to latent(), write NULL with source='latent'. Includes reverse-mirror promotion: if a flow variable is latent on one direction but the counterpart on the reverse direction is observed, the counterpart's value propagates.</w:t>
      </w:r>
    </w:p>
    <w:p w14:paraId="0CDE9213" w14:textId="77777777" w:rsidR="000754BC" w:rsidRDefault="00466837">
      <w:pPr>
        <w:pStyle w:val="ListParagraph"/>
        <w:numPr>
          <w:ilvl w:val="0"/>
          <w:numId w:val="2"/>
        </w:numPr>
        <w:spacing w:after="80" w:line="300" w:lineRule="auto"/>
      </w:pPr>
      <w:r>
        <w:rPr>
          <w:b/>
          <w:bCs/>
        </w:rPr>
        <w:t xml:space="preserve">Sum, alias, arithmetic: </w:t>
      </w:r>
      <w:r>
        <w:t>evaluate the formula over its inputs in topological order and write the result with source naming the rule applied.</w:t>
      </w:r>
    </w:p>
    <w:p w14:paraId="51968F09" w14:textId="77777777" w:rsidR="000754BC" w:rsidRDefault="00466837">
      <w:pPr>
        <w:pStyle w:val="ListParagraph"/>
        <w:numPr>
          <w:ilvl w:val="0"/>
          <w:numId w:val="2"/>
        </w:numPr>
        <w:spacing w:after="80" w:line="300" w:lineRule="auto"/>
      </w:pPr>
      <w:r>
        <w:rPr>
          <w:b/>
          <w:bCs/>
        </w:rPr>
        <w:t xml:space="preserve">Closure: </w:t>
      </w:r>
      <w:r>
        <w:t>rarely used; resolves a residual from its complement plus a published total.</w:t>
      </w:r>
    </w:p>
    <w:p w14:paraId="17FA2596" w14:textId="77777777" w:rsidR="000754BC" w:rsidRDefault="00466837">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7280B2BF" w14:textId="77777777" w:rsidR="000754BC" w:rsidRDefault="00466837">
      <w:pPr>
        <w:spacing w:after="160" w:line="320" w:lineRule="auto"/>
        <w:jc w:val="both"/>
      </w:pPr>
      <w:r>
        <w:t>The resolver runs in approximately 20 seconds on a developer laptop for the full ten-year scenario. The dispatch counts for the active scenario are: 80 observed, 628 structural zero, 652 latent, 442 alias, 15 reverse-mirror, 8 arithmetic, 5 sum, 0 closure, 0 unresolved. The values are recomputed at every run; the audit trail (</w:t>
      </w:r>
      <w:proofErr w:type="spellStart"/>
      <w:r>
        <w:t>scenario_html_artefacts</w:t>
      </w:r>
      <w:proofErr w:type="spellEnd"/>
      <w:r>
        <w:t xml:space="preserve">, </w:t>
      </w:r>
      <w:proofErr w:type="spellStart"/>
      <w:r>
        <w:t>scenario_resolved_values</w:t>
      </w:r>
      <w:proofErr w:type="spellEnd"/>
      <w:r>
        <w:t>) records the run identifier and timestamp.</w:t>
      </w:r>
    </w:p>
    <w:p w14:paraId="4E563F9F" w14:textId="77777777" w:rsidR="000754BC" w:rsidRDefault="00466837">
      <w:pPr>
        <w:pStyle w:val="Heading2"/>
        <w:spacing w:after="160"/>
      </w:pPr>
      <w:r>
        <w:t>A.4  Consistency properties demonstrated on the live system</w:t>
      </w:r>
    </w:p>
    <w:p w14:paraId="5DD3A8E0" w14:textId="77777777" w:rsidR="000754BC" w:rsidRDefault="00466837">
      <w:pPr>
        <w:spacing w:after="160" w:line="320" w:lineRule="auto"/>
        <w:jc w:val="both"/>
      </w:pPr>
      <w:r>
        <w:t>The framework's four consistency claims (Section 4.7) are demonstrated by queries against the layered views. Table A.2 reports the result of each audit on the live system at the time of writing.</w:t>
      </w:r>
    </w:p>
    <w:p w14:paraId="1C028BB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0754BC" w14:paraId="1C82994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8B6CC5D" w14:textId="77777777" w:rsidR="000754BC" w:rsidRDefault="00466837">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7CAE04F" w14:textId="77777777" w:rsidR="000754BC" w:rsidRDefault="00466837">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0BE5FB" w14:textId="77777777" w:rsidR="000754BC" w:rsidRDefault="00466837">
            <w:pPr>
              <w:spacing w:line="260" w:lineRule="auto"/>
            </w:pPr>
            <w:r>
              <w:rPr>
                <w:b/>
                <w:bCs/>
                <w:color w:val="FFFFFF"/>
                <w:sz w:val="20"/>
                <w:szCs w:val="20"/>
              </w:rPr>
              <w:t>Result on the live system</w:t>
            </w:r>
          </w:p>
        </w:tc>
      </w:tr>
      <w:tr w:rsidR="000754BC" w14:paraId="729429E7"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7954" w14:textId="77777777" w:rsidR="000754BC" w:rsidRDefault="00466837">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C16B20" w14:textId="77777777" w:rsidR="000754BC" w:rsidRDefault="00466837">
            <w:pPr>
              <w:spacing w:line="260" w:lineRule="auto"/>
            </w:pPr>
            <w:r>
              <w:rPr>
                <w:sz w:val="20"/>
                <w:szCs w:val="20"/>
              </w:rPr>
              <w:t xml:space="preserve">SELECT </w:t>
            </w:r>
            <w:proofErr w:type="spellStart"/>
            <w:r>
              <w:rPr>
                <w:sz w:val="20"/>
                <w:szCs w:val="20"/>
              </w:rPr>
              <w:t>timeseries_id</w:t>
            </w:r>
            <w:proofErr w:type="spellEnd"/>
            <w:r>
              <w:rPr>
                <w:sz w:val="20"/>
                <w:szCs w:val="20"/>
              </w:rPr>
              <w:t xml:space="preserve">, COUNT(*)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COUNT(*)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77BC6" w14:textId="77777777" w:rsidR="000754BC" w:rsidRDefault="00466837">
            <w:pPr>
              <w:spacing w:line="260" w:lineRule="auto"/>
            </w:pPr>
            <w:r>
              <w:rPr>
                <w:sz w:val="20"/>
                <w:szCs w:val="20"/>
              </w:rPr>
              <w:t>0 rows returned (90 time series → 90 variables, strict 1:1)</w:t>
            </w:r>
          </w:p>
        </w:tc>
      </w:tr>
      <w:tr w:rsidR="000754BC" w14:paraId="6CDB13E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186DFE" w14:textId="77777777" w:rsidR="000754BC" w:rsidRDefault="00466837">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40727A" w14:textId="77777777" w:rsidR="000754BC" w:rsidRDefault="00466837">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749DEB" w14:textId="77777777" w:rsidR="000754BC" w:rsidRDefault="00466837">
            <w:pPr>
              <w:spacing w:line="260" w:lineRule="auto"/>
            </w:pPr>
            <w:r>
              <w:rPr>
                <w:sz w:val="20"/>
                <w:szCs w:val="20"/>
              </w:rPr>
              <w:t>0 rows returned at every PADD aggregate and at USA, every observation date</w:t>
            </w:r>
          </w:p>
        </w:tc>
      </w:tr>
      <w:tr w:rsidR="000754BC" w14:paraId="484697B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7E627" w14:textId="77777777" w:rsidR="000754BC" w:rsidRDefault="00466837">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409A" w14:textId="77777777" w:rsidR="000754BC" w:rsidRDefault="00466837">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6C5D5D" w14:textId="77777777" w:rsidR="000754BC" w:rsidRDefault="00466837">
            <w:pPr>
              <w:spacing w:line="260" w:lineRule="auto"/>
            </w:pPr>
            <w:r>
              <w:rPr>
                <w:sz w:val="20"/>
                <w:szCs w:val="20"/>
              </w:rPr>
              <w:t>0 rows returned at all 217 physical nodes, every observation date</w:t>
            </w:r>
          </w:p>
        </w:tc>
      </w:tr>
      <w:tr w:rsidR="000754BC" w14:paraId="6DA998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74D00" w14:textId="77777777" w:rsidR="000754BC" w:rsidRDefault="00466837">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91ED0F" w14:textId="77777777" w:rsidR="000754BC" w:rsidRDefault="00466837">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ABS(value)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usa_view.balancing_item</w:t>
            </w:r>
            <w:proofErr w:type="spellEnd"/>
            <w:r>
              <w:rPr>
                <w:sz w:val="20"/>
                <w:szCs w:val="20"/>
              </w:rPr>
              <w:t xml:space="preserve"> ORDER BY ABS(value)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06684" w14:textId="77777777" w:rsidR="000754BC" w:rsidRDefault="00466837">
            <w:pPr>
              <w:spacing w:line="260" w:lineRule="auto"/>
            </w:pPr>
            <w:r>
              <w:rPr>
                <w:sz w:val="20"/>
                <w:szCs w:val="20"/>
              </w:rPr>
              <w:t>Top 10 absolute values cluster on Aug 2017, Apr–Jun 2020, May 2021, 2022 SPR-release months</w:t>
            </w:r>
          </w:p>
        </w:tc>
      </w:tr>
    </w:tbl>
    <w:p w14:paraId="1E48F8C5" w14:textId="77777777" w:rsidR="000754BC" w:rsidRDefault="00466837">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707C6485" w14:textId="77777777" w:rsidR="000754BC" w:rsidRDefault="00466837">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6F29430A" w14:textId="77777777" w:rsidR="000754BC" w:rsidRDefault="00466837">
      <w:pPr>
        <w:pageBreakBefore/>
      </w:pPr>
      <w:r>
        <w:rPr>
          <w:rFonts w:ascii="Cambria" w:eastAsia="Cambria" w:hAnsi="Cambria" w:cs="Cambria"/>
          <w:color w:val="2F5496"/>
        </w:rPr>
        <w:lastRenderedPageBreak/>
        <w:t>Annex B</w:t>
      </w:r>
    </w:p>
    <w:p w14:paraId="1CFDD93C" w14:textId="77777777" w:rsidR="000754BC" w:rsidRDefault="00466837">
      <w:pPr>
        <w:pStyle w:val="Heading1"/>
        <w:spacing w:before="100" w:after="400"/>
      </w:pPr>
      <w:r>
        <w:t>Variable catalogue and starter scenario inventory</w:t>
      </w:r>
    </w:p>
    <w:p w14:paraId="51839D5A" w14:textId="77777777" w:rsidR="000754BC" w:rsidRDefault="00466837">
      <w:pPr>
        <w:spacing w:after="160" w:line="320" w:lineRule="auto"/>
        <w:jc w:val="both"/>
      </w:pPr>
      <w:r>
        <w:t>This annex provides reference tables for the variables and assignments in the active scenario starter_us_crude_2015_2025.</w:t>
      </w:r>
    </w:p>
    <w:p w14:paraId="41385545" w14:textId="77777777" w:rsidR="000754BC" w:rsidRDefault="00466837">
      <w:pPr>
        <w:pStyle w:val="Heading2"/>
        <w:spacing w:after="160"/>
      </w:pPr>
      <w:r>
        <w:t>B.1  Variable types</w:t>
      </w:r>
    </w:p>
    <w:p w14:paraId="292C0E29"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0754BC" w14:paraId="4805D77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8096C" w14:textId="77777777" w:rsidR="000754BC" w:rsidRDefault="00466837">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CFE3580" w14:textId="77777777" w:rsidR="000754BC" w:rsidRDefault="00466837">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F572AFF" w14:textId="77777777" w:rsidR="000754BC" w:rsidRDefault="00466837">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E1934A8" w14:textId="77777777" w:rsidR="000754BC" w:rsidRDefault="00466837">
            <w:pPr>
              <w:spacing w:line="260" w:lineRule="auto"/>
            </w:pPr>
            <w:r>
              <w:rPr>
                <w:b/>
                <w:bCs/>
                <w:color w:val="FFFFFF"/>
                <w:sz w:val="20"/>
                <w:szCs w:val="20"/>
              </w:rPr>
              <w:t>Relational</w:t>
            </w:r>
          </w:p>
        </w:tc>
      </w:tr>
      <w:tr w:rsidR="000754BC" w14:paraId="666E78AF"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27C02E" w14:textId="77777777" w:rsidR="000754BC" w:rsidRDefault="00466837">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047748" w14:textId="77777777" w:rsidR="000754BC" w:rsidRDefault="00466837">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0E571" w14:textId="77777777" w:rsidR="000754BC" w:rsidRDefault="00466837">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EE330" w14:textId="77777777" w:rsidR="000754BC" w:rsidRDefault="00466837">
            <w:pPr>
              <w:spacing w:line="260" w:lineRule="auto"/>
            </w:pPr>
            <w:r>
              <w:rPr>
                <w:sz w:val="20"/>
                <w:szCs w:val="20"/>
              </w:rPr>
              <w:t>no</w:t>
            </w:r>
          </w:p>
        </w:tc>
      </w:tr>
      <w:tr w:rsidR="000754BC" w14:paraId="397740B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18C005" w14:textId="77777777" w:rsidR="000754BC" w:rsidRDefault="00466837">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8B4F9D" w14:textId="77777777" w:rsidR="000754BC" w:rsidRDefault="00466837">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A2509" w14:textId="77777777" w:rsidR="000754BC" w:rsidRDefault="00466837">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B8C6E" w14:textId="77777777" w:rsidR="000754BC" w:rsidRDefault="00466837">
            <w:pPr>
              <w:spacing w:line="260" w:lineRule="auto"/>
            </w:pPr>
            <w:r>
              <w:rPr>
                <w:sz w:val="20"/>
                <w:szCs w:val="20"/>
              </w:rPr>
              <w:t>no</w:t>
            </w:r>
          </w:p>
        </w:tc>
      </w:tr>
      <w:tr w:rsidR="000754BC" w14:paraId="545D4CE9"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FA5D8F" w14:textId="77777777" w:rsidR="000754BC" w:rsidRDefault="00466837">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40FD0" w14:textId="77777777" w:rsidR="000754BC" w:rsidRDefault="00466837">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3F88BD" w14:textId="77777777" w:rsidR="000754BC" w:rsidRDefault="00466837">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D7CE7" w14:textId="77777777" w:rsidR="000754BC" w:rsidRDefault="00466837">
            <w:pPr>
              <w:spacing w:line="260" w:lineRule="auto"/>
            </w:pPr>
            <w:r>
              <w:rPr>
                <w:sz w:val="20"/>
                <w:szCs w:val="20"/>
              </w:rPr>
              <w:t>no</w:t>
            </w:r>
          </w:p>
        </w:tc>
      </w:tr>
      <w:tr w:rsidR="000754BC" w14:paraId="7026181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C59D1" w14:textId="77777777" w:rsidR="000754BC" w:rsidRDefault="00466837">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E723A" w14:textId="77777777" w:rsidR="000754BC" w:rsidRDefault="00466837">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109F7" w14:textId="77777777" w:rsidR="000754BC" w:rsidRDefault="00466837">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81BFA" w14:textId="77777777" w:rsidR="000754BC" w:rsidRDefault="00466837">
            <w:pPr>
              <w:spacing w:line="260" w:lineRule="auto"/>
            </w:pPr>
            <w:r>
              <w:rPr>
                <w:sz w:val="20"/>
                <w:szCs w:val="20"/>
              </w:rPr>
              <w:t>no</w:t>
            </w:r>
          </w:p>
        </w:tc>
      </w:tr>
      <w:tr w:rsidR="000754BC" w14:paraId="1273F733"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771522" w14:textId="77777777" w:rsidR="000754BC" w:rsidRDefault="00466837">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266AE" w14:textId="77777777" w:rsidR="000754BC" w:rsidRDefault="00466837">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A1D4C" w14:textId="77777777" w:rsidR="000754BC" w:rsidRDefault="00466837">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2A3D4" w14:textId="77777777" w:rsidR="000754BC" w:rsidRDefault="00466837">
            <w:pPr>
              <w:spacing w:line="260" w:lineRule="auto"/>
            </w:pPr>
            <w:r>
              <w:rPr>
                <w:sz w:val="20"/>
                <w:szCs w:val="20"/>
              </w:rPr>
              <w:t>yes</w:t>
            </w:r>
          </w:p>
        </w:tc>
      </w:tr>
      <w:tr w:rsidR="000754BC" w14:paraId="5342121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F2AAF" w14:textId="77777777" w:rsidR="000754BC" w:rsidRDefault="00466837">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5362B" w14:textId="77777777" w:rsidR="000754BC" w:rsidRDefault="00466837">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ABEB1B" w14:textId="77777777" w:rsidR="000754BC" w:rsidRDefault="00466837">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762B3" w14:textId="77777777" w:rsidR="000754BC" w:rsidRDefault="00466837">
            <w:pPr>
              <w:spacing w:line="260" w:lineRule="auto"/>
            </w:pPr>
            <w:r>
              <w:rPr>
                <w:sz w:val="20"/>
                <w:szCs w:val="20"/>
              </w:rPr>
              <w:t>yes</w:t>
            </w:r>
          </w:p>
        </w:tc>
      </w:tr>
      <w:tr w:rsidR="000754BC" w14:paraId="01F2C8A6"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BDDF5F" w14:textId="77777777" w:rsidR="000754BC" w:rsidRDefault="00466837">
            <w:pPr>
              <w:spacing w:line="260" w:lineRule="auto"/>
            </w:pPr>
            <w:r>
              <w:rPr>
                <w:sz w:val="20"/>
                <w:szCs w:val="20"/>
              </w:rPr>
              <w:t>phi</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2EFB28" w14:textId="77777777" w:rsidR="000754BC" w:rsidRDefault="00466837">
            <w:pPr>
              <w:spacing w:line="260" w:lineRule="auto"/>
            </w:pPr>
            <w:r>
              <w:rPr>
                <w:sz w:val="20"/>
                <w:szCs w:val="20"/>
              </w:rPr>
              <w:t>φ</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65F77D" w14:textId="77777777" w:rsidR="000754BC" w:rsidRDefault="00466837">
            <w:pPr>
              <w:spacing w:line="260" w:lineRule="auto"/>
            </w:pPr>
            <w:r>
              <w:rPr>
                <w:sz w:val="20"/>
                <w:szCs w:val="20"/>
              </w:rPr>
              <w:t>Cross-node alias reference for derivation chains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D43499" w14:textId="77777777" w:rsidR="000754BC" w:rsidRDefault="00466837">
            <w:pPr>
              <w:spacing w:line="260" w:lineRule="auto"/>
            </w:pPr>
            <w:r>
              <w:rPr>
                <w:sz w:val="20"/>
                <w:szCs w:val="20"/>
              </w:rPr>
              <w:t>yes</w:t>
            </w:r>
          </w:p>
        </w:tc>
      </w:tr>
    </w:tbl>
    <w:p w14:paraId="5A083BDB" w14:textId="77777777" w:rsidR="000754BC" w:rsidRDefault="00466837">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08ED1934" w14:textId="77777777" w:rsidR="000754BC" w:rsidRDefault="00466837">
      <w:pPr>
        <w:pStyle w:val="Heading2"/>
        <w:spacing w:after="160"/>
      </w:pPr>
      <w:r>
        <w:t>B.2  Authoritative bindings by subsystem</w:t>
      </w:r>
    </w:p>
    <w:p w14:paraId="0AECA5CD"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0754BC" w14:paraId="0412653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3A16F02" w14:textId="77777777" w:rsidR="000754BC" w:rsidRDefault="00466837">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2C68C8" w14:textId="77777777" w:rsidR="000754BC" w:rsidRDefault="00466837">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BC9E50" w14:textId="77777777" w:rsidR="000754BC" w:rsidRDefault="00466837">
            <w:pPr>
              <w:spacing w:line="260" w:lineRule="auto"/>
            </w:pPr>
            <w:r>
              <w:rPr>
                <w:b/>
                <w:bCs/>
                <w:color w:val="FFFFFF"/>
                <w:sz w:val="20"/>
                <w:szCs w:val="20"/>
              </w:rPr>
              <w:t>Examples of EIA series bound</w:t>
            </w:r>
          </w:p>
        </w:tc>
      </w:tr>
      <w:tr w:rsidR="000754BC" w14:paraId="701D94C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1B603" w14:textId="77777777" w:rsidR="000754BC" w:rsidRDefault="00466837">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70726C" w14:textId="77777777" w:rsidR="000754BC" w:rsidRDefault="00466837">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27134" w14:textId="77777777" w:rsidR="000754BC" w:rsidRDefault="00466837">
            <w:pPr>
              <w:spacing w:line="260" w:lineRule="auto"/>
            </w:pPr>
            <w:r>
              <w:rPr>
                <w:sz w:val="20"/>
                <w:szCs w:val="20"/>
              </w:rPr>
              <w:t>MCRFPUS2 (production), MCRRIUS2 (refinery runs), MCRSTUS1 (stocks), MCRIMUS2 (imports), MCREEXUS2 (exports), MCRUA (balancing item)</w:t>
            </w:r>
          </w:p>
        </w:tc>
      </w:tr>
      <w:tr w:rsidR="000754BC" w14:paraId="396FE8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29687" w14:textId="77777777" w:rsidR="000754BC" w:rsidRDefault="00466837">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DE7" w14:textId="77777777" w:rsidR="000754BC" w:rsidRDefault="00466837">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ABDDFD" w14:textId="77777777" w:rsidR="000754BC" w:rsidRDefault="00466837">
            <w:pPr>
              <w:spacing w:line="260" w:lineRule="auto"/>
            </w:pPr>
            <w:r>
              <w:rPr>
                <w:sz w:val="20"/>
                <w:szCs w:val="20"/>
              </w:rPr>
              <w:t>MCRFPP{1..5} (production by PADD), MCRRIP{1..5} (refinery runs), MCESTP{1..5} (stocks), MCRMP_{</w:t>
            </w:r>
            <w:proofErr w:type="spellStart"/>
            <w:r>
              <w:rPr>
                <w:sz w:val="20"/>
                <w:szCs w:val="20"/>
              </w:rPr>
              <w:t>i</w:t>
            </w:r>
            <w:proofErr w:type="spellEnd"/>
            <w:r>
              <w:rPr>
                <w:sz w:val="20"/>
                <w:szCs w:val="20"/>
              </w:rPr>
              <w:t>}_{j} (inter-PADD movements)</w:t>
            </w:r>
          </w:p>
        </w:tc>
      </w:tr>
      <w:tr w:rsidR="000754BC" w14:paraId="700ED18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47F13F" w14:textId="77777777" w:rsidR="000754BC" w:rsidRDefault="00466837">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EAEE5"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32B9" w14:textId="77777777" w:rsidR="000754BC" w:rsidRDefault="00466837">
            <w:pPr>
              <w:spacing w:line="260" w:lineRule="auto"/>
            </w:pPr>
            <w:r>
              <w:rPr>
                <w:sz w:val="20"/>
                <w:szCs w:val="20"/>
              </w:rPr>
              <w:t>MCRSFP{N}1 (tank farms and pipelines per PADD), MCRRSP{N}1 (refinery stocks per PADD), per-SPR-site inventory</w:t>
            </w:r>
          </w:p>
        </w:tc>
      </w:tr>
      <w:tr w:rsidR="000754BC" w14:paraId="51B88F1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803BB" w14:textId="77777777" w:rsidR="000754BC" w:rsidRDefault="00466837">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3C386" w14:textId="77777777" w:rsidR="000754BC" w:rsidRDefault="00466837">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70B40F" w14:textId="77777777" w:rsidR="000754BC" w:rsidRDefault="00466837">
            <w:pPr>
              <w:spacing w:line="260" w:lineRule="auto"/>
            </w:pPr>
            <w:r>
              <w:rPr>
                <w:sz w:val="20"/>
                <w:szCs w:val="20"/>
              </w:rPr>
              <w:t>MCRFPUSP3TX (Texas-Permian), MCRFPUSP2ND (North Dakota Bakken), MCRFPUSGOM (Gulf of America), STEO basin forecasts</w:t>
            </w:r>
          </w:p>
        </w:tc>
      </w:tr>
      <w:tr w:rsidR="000754BC" w14:paraId="7D6FE82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5772DA" w14:textId="77777777" w:rsidR="000754BC" w:rsidRDefault="00466837">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DDFD3"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07832" w14:textId="77777777" w:rsidR="000754BC" w:rsidRDefault="00466837">
            <w:pPr>
              <w:spacing w:line="260" w:lineRule="auto"/>
            </w:pPr>
            <w:r>
              <w:rPr>
                <w:sz w:val="20"/>
                <w:szCs w:val="20"/>
              </w:rPr>
              <w:t>MCRRIP3{A,B,C} and other refining-district refinery runs</w:t>
            </w:r>
          </w:p>
        </w:tc>
      </w:tr>
      <w:tr w:rsidR="000754BC" w14:paraId="6135BA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9559D" w14:textId="77777777" w:rsidR="000754BC" w:rsidRDefault="00466837">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C37" w14:textId="77777777" w:rsidR="000754BC" w:rsidRDefault="00466837">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AE33" w14:textId="77777777" w:rsidR="000754BC" w:rsidRDefault="00466837">
            <w:pPr>
              <w:spacing w:line="260" w:lineRule="auto"/>
            </w:pPr>
            <w:r>
              <w:rPr>
                <w:sz w:val="20"/>
                <w:szCs w:val="20"/>
              </w:rPr>
              <w:t>Per-PADD foreign and Canadian import series, per-PADD export series by destination region</w:t>
            </w:r>
          </w:p>
        </w:tc>
      </w:tr>
    </w:tbl>
    <w:p w14:paraId="6546C0F4" w14:textId="77777777" w:rsidR="000754BC" w:rsidRDefault="00466837">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66654F7E" w14:textId="77777777" w:rsidR="000754BC" w:rsidRDefault="00466837">
      <w:pPr>
        <w:pStyle w:val="Heading2"/>
        <w:spacing w:after="160"/>
      </w:pPr>
      <w:r>
        <w:t>B.3  Latent variables by location</w:t>
      </w:r>
    </w:p>
    <w:p w14:paraId="57A7827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754BC" w14:paraId="4425B8A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0450C6F" w14:textId="77777777" w:rsidR="000754BC" w:rsidRDefault="00466837">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FAEC2C" w14:textId="77777777" w:rsidR="000754BC" w:rsidRDefault="00466837">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C431266" w14:textId="77777777" w:rsidR="000754BC" w:rsidRDefault="00466837">
            <w:pPr>
              <w:spacing w:line="260" w:lineRule="auto"/>
            </w:pPr>
            <w:r>
              <w:rPr>
                <w:b/>
                <w:bCs/>
                <w:color w:val="FFFFFF"/>
                <w:sz w:val="20"/>
                <w:szCs w:val="20"/>
              </w:rPr>
              <w:t>Physical interpretation</w:t>
            </w:r>
          </w:p>
        </w:tc>
      </w:tr>
      <w:tr w:rsidR="000754BC" w14:paraId="03706D5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29EA8E" w14:textId="77777777" w:rsidR="000754BC" w:rsidRDefault="00466837">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184E82" w14:textId="77777777" w:rsidR="000754BC" w:rsidRDefault="00466837">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B40E" w14:textId="77777777" w:rsidR="000754BC" w:rsidRDefault="00466837">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0754BC" w14:paraId="6C002C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F0D1B" w14:textId="77777777" w:rsidR="000754BC" w:rsidRDefault="00466837">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467344" w14:textId="77777777" w:rsidR="000754BC" w:rsidRDefault="00466837">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0C2DB" w14:textId="77777777" w:rsidR="000754BC" w:rsidRDefault="00466837">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0754BC" w14:paraId="2F3536E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B89F70" w14:textId="77777777" w:rsidR="000754BC" w:rsidRDefault="00466837">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983A7" w14:textId="77777777" w:rsidR="000754BC" w:rsidRDefault="00466837">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CC49B9" w14:textId="77777777" w:rsidR="000754BC" w:rsidRDefault="00466837">
            <w:pPr>
              <w:spacing w:line="260" w:lineRule="auto"/>
            </w:pPr>
            <w:r>
              <w:rPr>
                <w:sz w:val="20"/>
                <w:szCs w:val="20"/>
              </w:rPr>
              <w:t>Three operator sub-terminals (Enterprise, Plains, Magellan), per-direction pipeline interfaces</w:t>
            </w:r>
          </w:p>
        </w:tc>
      </w:tr>
      <w:tr w:rsidR="000754BC" w14:paraId="59B4608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8A0C0" w14:textId="77777777" w:rsidR="000754BC" w:rsidRDefault="00466837">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8BB540" w14:textId="77777777" w:rsidR="000754BC" w:rsidRDefault="00466837">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5275F" w14:textId="77777777" w:rsidR="000754BC" w:rsidRDefault="00466837">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0754BC" w14:paraId="73B8E89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7B5A4" w14:textId="77777777" w:rsidR="000754BC" w:rsidRDefault="00466837">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040EE" w14:textId="77777777" w:rsidR="000754BC" w:rsidRDefault="00466837">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790C0" w14:textId="77777777" w:rsidR="000754BC" w:rsidRDefault="00466837">
            <w:pPr>
              <w:spacing w:line="260" w:lineRule="auto"/>
            </w:pPr>
            <w:r>
              <w:rPr>
                <w:sz w:val="20"/>
                <w:szCs w:val="20"/>
              </w:rPr>
              <w:t>Per-pipeline allocation within each inter-PADD corridor; aggregate observed at PADD-pair level</w:t>
            </w:r>
          </w:p>
        </w:tc>
      </w:tr>
      <w:tr w:rsidR="000754BC" w14:paraId="6EEDD68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F18F" w14:textId="77777777" w:rsidR="000754BC" w:rsidRDefault="00466837">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FFADAD" w14:textId="77777777" w:rsidR="000754BC" w:rsidRDefault="00466837">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69E8F" w14:textId="77777777" w:rsidR="000754BC" w:rsidRDefault="00466837">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354CA9C7" w14:textId="77777777" w:rsidR="000754BC" w:rsidRDefault="00466837">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591A06F1" w14:textId="77777777" w:rsidR="000754BC" w:rsidRDefault="00466837">
      <w:pPr>
        <w:pageBreakBefore/>
      </w:pPr>
      <w:r>
        <w:rPr>
          <w:rFonts w:ascii="Cambria" w:eastAsia="Cambria" w:hAnsi="Cambria" w:cs="Cambria"/>
          <w:color w:val="2F5496"/>
        </w:rPr>
        <w:lastRenderedPageBreak/>
        <w:t>Annex C</w:t>
      </w:r>
    </w:p>
    <w:p w14:paraId="5689289C" w14:textId="77777777" w:rsidR="000754BC" w:rsidRDefault="00466837">
      <w:pPr>
        <w:pStyle w:val="Heading1"/>
        <w:spacing w:before="100" w:after="400"/>
      </w:pPr>
      <w:r>
        <w:t>Graph neural networks: a primer</w:t>
      </w:r>
    </w:p>
    <w:p w14:paraId="66E7D970" w14:textId="77777777" w:rsidR="000754BC" w:rsidRDefault="00466837">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78D85B0" w14:textId="77777777" w:rsidR="000754BC" w:rsidRDefault="00466837">
      <w:pPr>
        <w:pStyle w:val="Heading2"/>
        <w:spacing w:after="160"/>
      </w:pPr>
      <w:r>
        <w:t>C.1  Node embeddings and message passing</w:t>
      </w:r>
    </w:p>
    <w:p w14:paraId="3B4E8F46" w14:textId="77777777" w:rsidR="000754BC" w:rsidRDefault="00466837">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4FDB3E34" w14:textId="77777777" w:rsidR="000754BC" w:rsidRDefault="00466837">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28EE3F90" w14:textId="77777777" w:rsidR="000754BC" w:rsidRDefault="00466837">
      <w:pPr>
        <w:pStyle w:val="Heading2"/>
        <w:spacing w:after="160"/>
      </w:pPr>
      <w:r>
        <w:t>C.2  Graph convolutional networks (GCN)</w:t>
      </w:r>
    </w:p>
    <w:p w14:paraId="570935A7" w14:textId="77777777" w:rsidR="000754BC" w:rsidRDefault="00466837">
      <w:pPr>
        <w:spacing w:after="160" w:line="320" w:lineRule="auto"/>
        <w:jc w:val="both"/>
      </w:pPr>
      <w:r>
        <w:t>GCN (Kipf and Welling, 2017) is a mathematically principled formalisation of message passing, derived from spectral graph theory through two simplifications. The GCN layer formula is:</w:t>
      </w:r>
    </w:p>
    <w:p w14:paraId="175C264E"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H⁽ˡ⁺¹⁾ = σ( D̃⁻¹ᐟ² Ã D̃⁻¹ᐟ²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r>
        <w:rPr>
          <w:rFonts w:ascii="Cambria Math" w:eastAsia="Cambria Math" w:hAnsi="Cambria Math" w:cs="Cambria Math"/>
          <w:i/>
          <w:iCs/>
          <w:sz w:val="24"/>
          <w:szCs w:val="24"/>
        </w:rPr>
        <w:t>⁾ )</w:t>
      </w:r>
    </w:p>
    <w:p w14:paraId="4536419F" w14:textId="77777777" w:rsidR="000754BC" w:rsidRDefault="00466837">
      <w:pPr>
        <w:spacing w:after="160" w:line="320" w:lineRule="auto"/>
        <w:jc w:val="both"/>
      </w:pPr>
      <w:r>
        <w:t xml:space="preserve">where Ã = A + I is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4D804EF2" w14:textId="77777777" w:rsidR="000754BC" w:rsidRDefault="00466837">
      <w:pPr>
        <w:pStyle w:val="Heading2"/>
        <w:spacing w:after="160"/>
      </w:pPr>
      <w:r>
        <w:t>C.3  Temporal extensions and hybrid architectures</w:t>
      </w:r>
    </w:p>
    <w:p w14:paraId="4E61801E" w14:textId="77777777" w:rsidR="000754BC" w:rsidRDefault="00466837">
      <w:pPr>
        <w:spacing w:after="160" w:line="320" w:lineRule="auto"/>
        <w:jc w:val="both"/>
      </w:pPr>
      <w:r>
        <w:lastRenderedPageBreak/>
        <w:t>Static graph architectures need extension for forecasting tasks where the time dimension matters. The relevant families are:</w:t>
      </w:r>
    </w:p>
    <w:p w14:paraId="0D7CCF73" w14:textId="77777777" w:rsidR="000754BC" w:rsidRDefault="00466837">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082F2C5F" w14:textId="77777777" w:rsidR="000754BC" w:rsidRDefault="00466837">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4C5F7D4" w14:textId="77777777" w:rsidR="000754BC" w:rsidRDefault="00466837">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09C14627" w14:textId="77777777" w:rsidR="000754BC" w:rsidRDefault="00466837">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56ACFA3E" w14:textId="77777777" w:rsidR="000754BC" w:rsidRDefault="00466837">
      <w:pPr>
        <w:pStyle w:val="Heading2"/>
        <w:spacing w:after="160"/>
      </w:pPr>
      <w:r>
        <w:t>C.4  Why the framework is GNN-ready</w:t>
      </w:r>
    </w:p>
    <w:p w14:paraId="4508FF94" w14:textId="77777777" w:rsidR="000754BC" w:rsidRDefault="00466837">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 anticipates.</w:t>
      </w:r>
    </w:p>
    <w:p w14:paraId="0541AF8E" w14:textId="77777777" w:rsidR="000754BC" w:rsidRDefault="00466837">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0754BC">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61BB4" w14:textId="77777777" w:rsidR="00B62CBA" w:rsidRDefault="00B62CBA">
      <w:r>
        <w:separator/>
      </w:r>
    </w:p>
  </w:endnote>
  <w:endnote w:type="continuationSeparator" w:id="0">
    <w:p w14:paraId="083DED12" w14:textId="77777777" w:rsidR="00B62CBA" w:rsidRDefault="00B6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016A" w14:textId="372106F6"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6168" w14:textId="0914CFA1"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5717" w14:textId="77777777" w:rsidR="00B62CBA" w:rsidRDefault="00B62CBA">
      <w:r>
        <w:separator/>
      </w:r>
    </w:p>
  </w:footnote>
  <w:footnote w:type="continuationSeparator" w:id="0">
    <w:p w14:paraId="7D9D3060" w14:textId="77777777" w:rsidR="00B62CBA" w:rsidRDefault="00B62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079"/>
    <w:multiLevelType w:val="hybridMultilevel"/>
    <w:tmpl w:val="A064BD26"/>
    <w:lvl w:ilvl="0" w:tplc="130AC05C">
      <w:start w:val="1"/>
      <w:numFmt w:val="bullet"/>
      <w:lvlText w:val="●"/>
      <w:lvlJc w:val="left"/>
      <w:pPr>
        <w:ind w:left="720" w:hanging="360"/>
      </w:pPr>
    </w:lvl>
    <w:lvl w:ilvl="1" w:tplc="05247664">
      <w:start w:val="1"/>
      <w:numFmt w:val="bullet"/>
      <w:lvlText w:val="○"/>
      <w:lvlJc w:val="left"/>
      <w:pPr>
        <w:ind w:left="1440" w:hanging="360"/>
      </w:pPr>
    </w:lvl>
    <w:lvl w:ilvl="2" w:tplc="4CF24F9A">
      <w:start w:val="1"/>
      <w:numFmt w:val="bullet"/>
      <w:lvlText w:val="■"/>
      <w:lvlJc w:val="left"/>
      <w:pPr>
        <w:ind w:left="2160" w:hanging="360"/>
      </w:pPr>
    </w:lvl>
    <w:lvl w:ilvl="3" w:tplc="17B6F9DA">
      <w:start w:val="1"/>
      <w:numFmt w:val="bullet"/>
      <w:lvlText w:val="●"/>
      <w:lvlJc w:val="left"/>
      <w:pPr>
        <w:ind w:left="2880" w:hanging="360"/>
      </w:pPr>
    </w:lvl>
    <w:lvl w:ilvl="4" w:tplc="C0AC26A8">
      <w:start w:val="1"/>
      <w:numFmt w:val="bullet"/>
      <w:lvlText w:val="○"/>
      <w:lvlJc w:val="left"/>
      <w:pPr>
        <w:ind w:left="3600" w:hanging="360"/>
      </w:pPr>
    </w:lvl>
    <w:lvl w:ilvl="5" w:tplc="407C2C10">
      <w:start w:val="1"/>
      <w:numFmt w:val="bullet"/>
      <w:lvlText w:val="■"/>
      <w:lvlJc w:val="left"/>
      <w:pPr>
        <w:ind w:left="4320" w:hanging="360"/>
      </w:pPr>
    </w:lvl>
    <w:lvl w:ilvl="6" w:tplc="DE3AE660">
      <w:start w:val="1"/>
      <w:numFmt w:val="bullet"/>
      <w:lvlText w:val="●"/>
      <w:lvlJc w:val="left"/>
      <w:pPr>
        <w:ind w:left="5040" w:hanging="360"/>
      </w:pPr>
    </w:lvl>
    <w:lvl w:ilvl="7" w:tplc="757A46F8">
      <w:start w:val="1"/>
      <w:numFmt w:val="bullet"/>
      <w:lvlText w:val="●"/>
      <w:lvlJc w:val="left"/>
      <w:pPr>
        <w:ind w:left="5760" w:hanging="360"/>
      </w:pPr>
    </w:lvl>
    <w:lvl w:ilvl="8" w:tplc="2A764384">
      <w:start w:val="1"/>
      <w:numFmt w:val="bullet"/>
      <w:lvlText w:val="●"/>
      <w:lvlJc w:val="left"/>
      <w:pPr>
        <w:ind w:left="6480" w:hanging="360"/>
      </w:pPr>
    </w:lvl>
  </w:abstractNum>
  <w:abstractNum w:abstractNumId="1" w15:restartNumberingAfterBreak="0">
    <w:nsid w:val="59060CC6"/>
    <w:multiLevelType w:val="hybridMultilevel"/>
    <w:tmpl w:val="98300E0C"/>
    <w:lvl w:ilvl="0" w:tplc="373E8C3E">
      <w:start w:val="1"/>
      <w:numFmt w:val="bullet"/>
      <w:lvlText w:val="•"/>
      <w:lvlJc w:val="left"/>
      <w:pPr>
        <w:ind w:left="720" w:hanging="360"/>
      </w:pPr>
    </w:lvl>
    <w:lvl w:ilvl="1" w:tplc="A4EC77F4">
      <w:numFmt w:val="decimal"/>
      <w:lvlText w:val=""/>
      <w:lvlJc w:val="left"/>
    </w:lvl>
    <w:lvl w:ilvl="2" w:tplc="67606374">
      <w:numFmt w:val="decimal"/>
      <w:lvlText w:val=""/>
      <w:lvlJc w:val="left"/>
    </w:lvl>
    <w:lvl w:ilvl="3" w:tplc="BE9262E6">
      <w:numFmt w:val="decimal"/>
      <w:lvlText w:val=""/>
      <w:lvlJc w:val="left"/>
    </w:lvl>
    <w:lvl w:ilvl="4" w:tplc="AE5EECE2">
      <w:numFmt w:val="decimal"/>
      <w:lvlText w:val=""/>
      <w:lvlJc w:val="left"/>
    </w:lvl>
    <w:lvl w:ilvl="5" w:tplc="50FAFE94">
      <w:numFmt w:val="decimal"/>
      <w:lvlText w:val=""/>
      <w:lvlJc w:val="left"/>
    </w:lvl>
    <w:lvl w:ilvl="6" w:tplc="1792B5AC">
      <w:numFmt w:val="decimal"/>
      <w:lvlText w:val=""/>
      <w:lvlJc w:val="left"/>
    </w:lvl>
    <w:lvl w:ilvl="7" w:tplc="20C8EBBE">
      <w:numFmt w:val="decimal"/>
      <w:lvlText w:val=""/>
      <w:lvlJc w:val="left"/>
    </w:lvl>
    <w:lvl w:ilvl="8" w:tplc="644C12AA">
      <w:numFmt w:val="decimal"/>
      <w:lvlText w:val=""/>
      <w:lvlJc w:val="left"/>
    </w:lvl>
  </w:abstractNum>
  <w:num w:numId="1" w16cid:durableId="1533761010">
    <w:abstractNumId w:val="0"/>
    <w:lvlOverride w:ilvl="0">
      <w:startOverride w:val="1"/>
    </w:lvlOverride>
  </w:num>
  <w:num w:numId="2" w16cid:durableId="1099182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C"/>
    <w:rsid w:val="00071E80"/>
    <w:rsid w:val="000754BC"/>
    <w:rsid w:val="000F6C0D"/>
    <w:rsid w:val="00150E24"/>
    <w:rsid w:val="00267FE8"/>
    <w:rsid w:val="0027165C"/>
    <w:rsid w:val="00290353"/>
    <w:rsid w:val="00382513"/>
    <w:rsid w:val="003B2BE0"/>
    <w:rsid w:val="003B5F7D"/>
    <w:rsid w:val="003D3ACA"/>
    <w:rsid w:val="003D7E05"/>
    <w:rsid w:val="00466837"/>
    <w:rsid w:val="004B717E"/>
    <w:rsid w:val="004F79CE"/>
    <w:rsid w:val="00566C19"/>
    <w:rsid w:val="005F20C9"/>
    <w:rsid w:val="00604AA2"/>
    <w:rsid w:val="0068249D"/>
    <w:rsid w:val="006A4D6E"/>
    <w:rsid w:val="006E45B9"/>
    <w:rsid w:val="007314D1"/>
    <w:rsid w:val="008134C3"/>
    <w:rsid w:val="00913C2A"/>
    <w:rsid w:val="00A052A1"/>
    <w:rsid w:val="00AD1560"/>
    <w:rsid w:val="00B62CBA"/>
    <w:rsid w:val="00D60ACB"/>
    <w:rsid w:val="00F62E71"/>
    <w:rsid w:val="00F855CC"/>
    <w:rsid w:val="00FB6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DBE"/>
  <w15:docId w15:val="{9DB6E733-1F37-4E85-A0D8-2CF39105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53</Pages>
  <Words>16517</Words>
  <Characters>94149</Characters>
  <Application>Microsoft Office Word</Application>
  <DocSecurity>0</DocSecurity>
  <Lines>784</Lines>
  <Paragraphs>220</Paragraphs>
  <ScaleCrop>false</ScaleCrop>
  <Company/>
  <LinksUpToDate>false</LinksUpToDate>
  <CharactersWithSpaces>110446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10</cp:revision>
  <dcterms:created xsi:type="dcterms:W3CDTF">2026-05-22T15:01:00Z</dcterms:created>
  <dcterms:modified xsi:type="dcterms:W3CDTF">2026-05-22T15:53:00Z</dcterms:modified>
</cp:coreProperties>
</file>