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r>
        <w:rPr>
          <w:i/>
          <w:iCs/>
        </w:rPr>
        <w:t>Master's degree in Information Management Systems</w:t>
      </w:r>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4.6   Multi-resolution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23</w:t>
      </w:r>
    </w:p>
    <w:p w14:paraId="4E249A37" w14:textId="77777777" w:rsidR="000754BC" w:rsidRDefault="00466837">
      <w:pPr>
        <w:tabs>
          <w:tab w:val="right" w:leader="dot" w:pos="9260"/>
        </w:tabs>
        <w:spacing w:before="30" w:after="30" w:line="280" w:lineRule="auto"/>
        <w:ind w:left="360"/>
      </w:pPr>
      <w:r>
        <w:t>5.2   Steady-state comparison: the PADD 5 in-transit anomaly</w:t>
      </w:r>
      <w:r>
        <w:tab/>
        <w:t>23</w:t>
      </w:r>
    </w:p>
    <w:p w14:paraId="6D3D14FB" w14:textId="77777777" w:rsidR="000754BC" w:rsidRDefault="00466837">
      <w:pPr>
        <w:tabs>
          <w:tab w:val="right" w:leader="dot" w:pos="9260"/>
        </w:tabs>
        <w:spacing w:before="30" w:after="30" w:line="280" w:lineRule="auto"/>
        <w:ind w:left="360"/>
      </w:pPr>
      <w:r>
        <w:t>5.3   Stress-test comparison: Hurricane Harvey, August 2017</w:t>
      </w:r>
      <w:r>
        <w:tab/>
        <w:t>25</w:t>
      </w:r>
    </w:p>
    <w:p>
      <w:pPr>
        <w:tabs>
          <w:tab w:val="right" w:leader="dot" w:pos="9260"/>
        </w:tabs>
        <w:spacing w:before="30" w:after="30" w:line="280" w:lineRule="auto"/>
        <w:ind w:left="360"/>
      </w:pPr>
      <w:r>
        <w:t xml:space="preserve">5.4   Multi-source integration: layering pipeline-flow data on top of EIA aggregates</w:t>
      </w:r>
      <w:r>
        <w:t xml:space="preserve">	26</w:t>
      </w:r>
    </w:p>
    <w:p w14:paraId="5B5ADBB1" w14:textId="77777777" w:rsidR="000754BC" w:rsidRDefault="00466837">
      <w:pPr>
        <w:tabs>
          <w:tab w:val="right" w:leader="dot" w:pos="9260"/>
        </w:tabs>
        <w:spacing w:before="30" w:after="30" w:line="280" w:lineRule="auto"/>
        <w:ind w:left="360"/>
      </w:pPr>
      <w:r>
        <w:t>5.5   The same pattern on other named events</w:t>
      </w:r>
      <w:r>
        <w:tab/>
        <w:t>28</w:t>
      </w:r>
    </w:p>
    <w:p w14:paraId="47AAEE8A" w14:textId="77777777" w:rsidR="000754BC" w:rsidRDefault="00466837">
      <w:pPr>
        <w:tabs>
          <w:tab w:val="right" w:leader="dot" w:pos="9260"/>
        </w:tabs>
        <w:spacing w:before="30" w:after="30" w:line="280" w:lineRule="auto"/>
        <w:ind w:left="360"/>
      </w:pPr>
      <w:r>
        <w:t>5.6   What the comparison establishes</w:t>
      </w:r>
      <w:r>
        <w:tab/>
        <w:t>29</w:t>
      </w:r>
    </w:p>
    <w:p w14:paraId="038E0ACA" w14:textId="77777777" w:rsidR="000754BC" w:rsidRDefault="00466837">
      <w:pPr>
        <w:tabs>
          <w:tab w:val="right" w:leader="dot" w:pos="9260"/>
        </w:tabs>
        <w:spacing w:before="120" w:after="60" w:line="280" w:lineRule="auto"/>
      </w:pPr>
      <w:r>
        <w:rPr>
          <w:b/>
          <w:bCs/>
        </w:rPr>
        <w:t>6   Conclusion and future work</w:t>
      </w:r>
      <w:r>
        <w:rPr>
          <w:b/>
          <w:bCs/>
        </w:rPr>
        <w:tab/>
        <w:t>31</w:t>
      </w:r>
    </w:p>
    <w:p w14:paraId="7B409503" w14:textId="77777777" w:rsidR="000754BC" w:rsidRDefault="00466837">
      <w:pPr>
        <w:tabs>
          <w:tab w:val="right" w:leader="dot" w:pos="9260"/>
        </w:tabs>
        <w:spacing w:before="30" w:after="30" w:line="280" w:lineRule="auto"/>
        <w:ind w:left="360"/>
      </w:pPr>
      <w:r>
        <w:t>6.1   Contribution</w:t>
      </w:r>
      <w:r>
        <w:tab/>
        <w:t>31</w:t>
      </w:r>
    </w:p>
    <w:p w14:paraId="77A185AE" w14:textId="77777777" w:rsidR="000754BC" w:rsidRDefault="00466837">
      <w:pPr>
        <w:tabs>
          <w:tab w:val="right" w:leader="dot" w:pos="9260"/>
        </w:tabs>
        <w:spacing w:before="30" w:after="30" w:line="280" w:lineRule="auto"/>
        <w:ind w:left="360"/>
      </w:pPr>
      <w:r>
        <w:t>6.2   Limitations</w:t>
      </w:r>
      <w:r>
        <w:tab/>
        <w:t>31</w:t>
      </w:r>
    </w:p>
    <w:p w14:paraId="0A924C24" w14:textId="77777777" w:rsidR="000754BC" w:rsidRDefault="00466837">
      <w:pPr>
        <w:tabs>
          <w:tab w:val="right" w:leader="dot" w:pos="9260"/>
        </w:tabs>
        <w:spacing w:before="30" w:after="30" w:line="280" w:lineRule="auto"/>
        <w:ind w:left="360"/>
      </w:pPr>
      <w:r>
        <w:t>6.3   Future work</w:t>
      </w:r>
      <w:r>
        <w:tab/>
        <w:t>32</w:t>
      </w:r>
    </w:p>
    <w:p w14:paraId="297FB228" w14:textId="77777777" w:rsidR="000754BC" w:rsidRDefault="00466837">
      <w:pPr>
        <w:tabs>
          <w:tab w:val="right" w:leader="dot" w:pos="9260"/>
        </w:tabs>
        <w:spacing w:before="30" w:after="30" w:line="280" w:lineRule="auto"/>
        <w:ind w:left="360"/>
      </w:pPr>
      <w:r>
        <w:t>6.4   Closing remarks</w:t>
      </w:r>
      <w:r>
        <w:tab/>
        <w:t>32</w:t>
      </w:r>
    </w:p>
    <w:p w14:paraId="22E28166" w14:textId="77777777" w:rsidR="000754BC" w:rsidRDefault="00466837">
      <w:pPr>
        <w:tabs>
          <w:tab w:val="right" w:leader="dot" w:pos="9260"/>
        </w:tabs>
        <w:spacing w:before="120" w:after="60" w:line="280" w:lineRule="auto"/>
      </w:pPr>
      <w:r>
        <w:rPr>
          <w:b/>
          <w:bCs/>
        </w:rPr>
        <w:t>References</w:t>
      </w:r>
      <w:r>
        <w:rPr>
          <w:b/>
          <w:bCs/>
        </w:rPr>
        <w:tab/>
        <w:t>34</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37</w:t>
      </w:r>
    </w:p>
    <w:p w14:paraId="37E0ECD2" w14:textId="77777777" w:rsidR="000754BC" w:rsidRDefault="00466837">
      <w:pPr>
        <w:tabs>
          <w:tab w:val="right" w:leader="dot" w:pos="9260"/>
        </w:tabs>
        <w:spacing w:before="30" w:after="30" w:line="280" w:lineRule="auto"/>
        <w:ind w:left="360"/>
      </w:pPr>
      <w:r>
        <w:t>A.1   Schema</w:t>
      </w:r>
      <w:r>
        <w:tab/>
        <w:t>37</w:t>
      </w:r>
    </w:p>
    <w:p w14:paraId="4AEA0789" w14:textId="77777777" w:rsidR="000754BC" w:rsidRDefault="00466837">
      <w:pPr>
        <w:tabs>
          <w:tab w:val="right" w:leader="dot" w:pos="9260"/>
        </w:tabs>
        <w:spacing w:before="30" w:after="30" w:line="280" w:lineRule="auto"/>
        <w:ind w:left="360"/>
      </w:pPr>
      <w:r>
        <w:t>A.2   The starter U.S. crude oil graph</w:t>
      </w:r>
      <w:r>
        <w:tab/>
        <w:t>37</w:t>
      </w:r>
    </w:p>
    <w:p w14:paraId="0F2FE50B" w14:textId="77777777" w:rsidR="000754BC" w:rsidRDefault="00466837">
      <w:pPr>
        <w:tabs>
          <w:tab w:val="right" w:leader="dot" w:pos="9260"/>
        </w:tabs>
        <w:spacing w:before="30" w:after="30" w:line="280" w:lineRule="auto"/>
        <w:ind w:left="360"/>
      </w:pPr>
      <w:r>
        <w:t>A.3   The resolver</w:t>
      </w:r>
      <w:r>
        <w:tab/>
        <w:t>39</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39</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41</w:t>
      </w:r>
    </w:p>
    <w:p w14:paraId="1A6F162C" w14:textId="77777777" w:rsidR="000754BC" w:rsidRDefault="00466837">
      <w:pPr>
        <w:tabs>
          <w:tab w:val="right" w:leader="dot" w:pos="9260"/>
        </w:tabs>
        <w:spacing w:before="30" w:after="30" w:line="280" w:lineRule="auto"/>
        <w:ind w:left="360"/>
      </w:pPr>
      <w:r>
        <w:t>B.1   Variable types</w:t>
      </w:r>
      <w:r>
        <w:tab/>
        <w:t>41</w:t>
      </w:r>
    </w:p>
    <w:p w14:paraId="32B245CA" w14:textId="77777777" w:rsidR="000754BC" w:rsidRDefault="00466837">
      <w:pPr>
        <w:tabs>
          <w:tab w:val="right" w:leader="dot" w:pos="9260"/>
        </w:tabs>
        <w:spacing w:before="30" w:after="30" w:line="280" w:lineRule="auto"/>
        <w:ind w:left="360"/>
      </w:pPr>
      <w:r>
        <w:t>B.2   Authoritative bindings by subsystem</w:t>
      </w:r>
      <w:r>
        <w:tab/>
        <w:t>41</w:t>
      </w:r>
    </w:p>
    <w:p w14:paraId="7C2C2BDF" w14:textId="77777777" w:rsidR="000754BC" w:rsidRDefault="00466837">
      <w:pPr>
        <w:tabs>
          <w:tab w:val="right" w:leader="dot" w:pos="9260"/>
        </w:tabs>
        <w:spacing w:before="30" w:after="30" w:line="280" w:lineRule="auto"/>
        <w:ind w:left="360"/>
      </w:pPr>
      <w:r>
        <w:t>B.3   Latent variables by location</w:t>
      </w:r>
      <w:r>
        <w:tab/>
        <w:t>42</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43</w:t>
      </w:r>
    </w:p>
    <w:p w14:paraId="0FB380F9" w14:textId="77777777" w:rsidR="000754BC" w:rsidRDefault="00466837">
      <w:pPr>
        <w:tabs>
          <w:tab w:val="right" w:leader="dot" w:pos="9260"/>
        </w:tabs>
        <w:spacing w:before="30" w:after="30" w:line="280" w:lineRule="auto"/>
        <w:ind w:left="360"/>
      </w:pPr>
      <w:r>
        <w:t>C.1   Node embeddings and message passing</w:t>
      </w:r>
      <w:r>
        <w:tab/>
        <w:t>43</w:t>
      </w:r>
    </w:p>
    <w:p w14:paraId="746788F3" w14:textId="77777777" w:rsidR="000754BC" w:rsidRDefault="00466837">
      <w:pPr>
        <w:tabs>
          <w:tab w:val="right" w:leader="dot" w:pos="9260"/>
        </w:tabs>
        <w:spacing w:before="30" w:after="30" w:line="280" w:lineRule="auto"/>
        <w:ind w:left="360"/>
      </w:pPr>
      <w:r>
        <w:t>C.2   Graph convolutional networks (GCN)</w:t>
      </w:r>
      <w:r>
        <w:tab/>
        <w:t>43</w:t>
      </w:r>
    </w:p>
    <w:p w14:paraId="42FDD0D5" w14:textId="77777777" w:rsidR="000754BC" w:rsidRDefault="00466837">
      <w:pPr>
        <w:tabs>
          <w:tab w:val="right" w:leader="dot" w:pos="9260"/>
        </w:tabs>
        <w:spacing w:before="30" w:after="30" w:line="280" w:lineRule="auto"/>
        <w:ind w:left="360"/>
      </w:pPr>
      <w:r>
        <w:t>C.3   Temporal extensions and hybrid architectures</w:t>
      </w:r>
      <w:r>
        <w:tab/>
        <w:t>43</w:t>
      </w:r>
    </w:p>
    <w:p w14:paraId="1E414D47" w14:textId="77777777" w:rsidR="000754BC" w:rsidRDefault="00466837">
      <w:pPr>
        <w:tabs>
          <w:tab w:val="right" w:leader="dot" w:pos="9260"/>
        </w:tabs>
        <w:spacing w:before="30" w:after="30" w:line="280" w:lineRule="auto"/>
        <w:ind w:left="360"/>
      </w:pPr>
      <w:r>
        <w:t>C.4   Why the framework is GNN-ready</w:t>
      </w:r>
      <w:r>
        <w:tab/>
        <w:t>44</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466837">
      <w:pPr>
        <w:tabs>
          <w:tab w:val="right" w:leader="dot" w:pos="9260"/>
        </w:tabs>
        <w:spacing w:before="120" w:after="60" w:line="280" w:lineRule="auto"/>
      </w:pPr>
      <w:r>
        <w:rPr>
          <w:b/>
          <w:bCs/>
        </w:rPr>
        <w:t>Table 5.2   PADD 3 monthly balance, August 2017</w:t>
      </w:r>
      <w:r>
        <w:rPr>
          <w:b/>
          <w:bCs/>
        </w:rPr>
        <w:tab/>
        <w:t>24</w:t>
      </w:r>
    </w:p>
    <w:p>
      <w:pPr>
        <w:tabs>
          <w:tab w:val="right" w:leader="dot" w:pos="9260"/>
        </w:tabs>
        <w:spacing w:before="120" w:after="60" w:line="280" w:lineRule="auto"/>
      </w:pPr>
      <w:r>
        <w:rPr>
          <w:b/>
        </w:rPr>
        <w:t xml:space="preserve">Table 5.3   Layering Genscape pipeline-flow data on top of EIA monthly aggregates for PADD 2</w:t>
      </w:r>
      <w:r>
        <w:t xml:space="preserve">	26</w:t>
      </w:r>
    </w:p>
    <w:p w14:paraId="77A45E24" w14:textId="77777777" w:rsidR="000754BC" w:rsidRDefault="00466837">
      <w:pPr>
        <w:tabs>
          <w:tab w:val="right" w:leader="dot" w:pos="9260"/>
        </w:tabs>
        <w:spacing w:before="120" w:after="60" w:line="280" w:lineRule="auto"/>
      </w:pPr>
      <w:r>
        <w:rPr>
          <w:b/>
          <w:bCs/>
        </w:rPr>
        <w:t>Table 5.4   Absolute value of B at the USA aggregate around named disruption events</w:t>
      </w:r>
      <w:r>
        <w:rPr>
          <w:b/>
          <w:bCs/>
        </w:rPr>
        <w:tab/>
        <w:t>28</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r>
        <w:t>1.1  Background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466837">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r>
        <w:t>1.2  Problem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r>
        <w:t>1.3  Research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r>
        <w:t>2.1  Official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466837">
      <w:pPr>
        <w:pStyle w:val="Heading2"/>
        <w:spacing w:after="160"/>
      </w:pPr>
      <w:r>
        <w:t>2.4  Graph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rPr>
          <w:noProof/>
        </w:rPr>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592342E" w14:textId="77777777">
        <w:tc>
          <w:tcPr>
            <w:tcW w:w="5000" w:type="pct"/>
            <w:shd w:val="clear" w:color="auto" w:fill="F2F2F2"/>
            <w:tcMar>
              <w:top w:w="120" w:type="dxa"/>
              <w:left w:w="120" w:type="dxa"/>
              <w:bottom w:w="120" w:type="dxa"/>
              <w:right w:w="120" w:type="dxa"/>
            </w:tcMar>
          </w:tcPr>
          <w:p w14:paraId="3C871736" w14:textId="77777777" w:rsidR="00267FE8" w:rsidRDefault="00000000">
            <w:r>
              <w:rPr>
                <w:b/>
              </w:rPr>
              <w:t xml:space="preserve">Orthogonality. </w:t>
            </w:r>
            <w:r>
              <w:t>Keep the physical layer and the data layer separate. Data updates must not change the graph; structural changes must not require data revisions.</w:t>
            </w:r>
          </w:p>
        </w:tc>
      </w:tr>
    </w:tbl>
    <w:p w14:paraId="74E8A013" w14:textId="77777777" w:rsidR="00267FE8" w:rsidRDefault="00267FE8"/>
    <w:p w14:paraId="13097814" w14:textId="77777777" w:rsidR="000754BC" w:rsidRDefault="00466837">
      <w:pPr>
        <w:spacing w:after="160" w:line="320" w:lineRule="auto"/>
        <w:jc w:val="both"/>
      </w:pP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w:t>
      </w:r>
      <w:r>
        <w:lastRenderedPageBreak/>
        <w:t>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t>This orthogonality is the framework's primary contribution. The five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319DA044" w14:textId="77777777">
        <w:tc>
          <w:tcPr>
            <w:tcW w:w="5000" w:type="pct"/>
            <w:shd w:val="clear" w:color="auto" w:fill="F2F2F2"/>
            <w:tcMar>
              <w:top w:w="120" w:type="dxa"/>
              <w:left w:w="120" w:type="dxa"/>
              <w:bottom w:w="120" w:type="dxa"/>
              <w:right w:w="120" w:type="dxa"/>
            </w:tcMar>
          </w:tcPr>
          <w:p w14:paraId="1B51F12A" w14:textId="77777777" w:rsidR="00267FE8" w:rsidRDefault="00000000">
            <w:r>
              <w:rPr>
                <w:b/>
              </w:rPr>
              <w:t xml:space="preserve">Principle 1 — Assets as nodes. </w:t>
            </w:r>
            <w:r>
              <w:t>Every physical asset — refinery, pipeline, vessel, terminal, basin, gathering system — is a node carrying its own inventory and mass balance. Edges are flows; assets are not edge attributes.</w:t>
            </w:r>
          </w:p>
        </w:tc>
      </w:tr>
    </w:tbl>
    <w:p w14:paraId="071A198A" w14:textId="77777777" w:rsidR="00267FE8" w:rsidRDefault="00267FE8"/>
    <w:p w14:paraId="4FFD1AAA" w14:textId="77777777" w:rsidR="000754BC" w:rsidRDefault="00466837">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lastRenderedPageBreak/>
        <w:t>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r>
        <w:t>4.3  Mass balance with an explicit balancing item</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670DADD4" w14:textId="77777777">
        <w:tc>
          <w:tcPr>
            <w:tcW w:w="5000" w:type="pct"/>
            <w:shd w:val="clear" w:color="auto" w:fill="F2F2F2"/>
            <w:tcMar>
              <w:top w:w="120" w:type="dxa"/>
              <w:left w:w="120" w:type="dxa"/>
              <w:bottom w:w="120" w:type="dxa"/>
              <w:right w:w="120" w:type="dxa"/>
            </w:tcMar>
          </w:tcPr>
          <w:p w14:paraId="0F526587" w14:textId="77777777" w:rsidR="00267FE8" w:rsidRDefault="00000000">
            <w:r>
              <w:rPr>
                <w:b/>
              </w:rPr>
              <w:t xml:space="preserve">Principle 2 — Mass balance with B. </w:t>
            </w:r>
            <w:r>
              <w:t>Every node satisfies ΔS = P + ΣF_in − C − ΣF_out + B. The balancing item B is a labelled, first-class variable — never an unlabelled adjustment column.</w:t>
            </w:r>
          </w:p>
        </w:tc>
      </w:tr>
    </w:tbl>
    <w:p w14:paraId="12D28A4A" w14:textId="77777777" w:rsidR="00267FE8" w:rsidRDefault="00267FE8"/>
    <w:p w14:paraId="4684D6BE" w14:textId="77777777" w:rsidR="000754BC" w:rsidRDefault="00466837">
      <w:pPr>
        <w:spacing w:after="160" w:line="320" w:lineRule="auto"/>
        <w:jc w:val="both"/>
      </w:pPr>
      <w:r>
        <w:t>Every physical node in the framework satisfies the mass-balance equation:</w:t>
      </w:r>
    </w:p>
    <w:p w14:paraId="712F03F9" w14:textId="77777777" w:rsidR="000754BC" w:rsidRDefault="00466837">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 xml:space="preserve">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w:t>
      </w:r>
      <w:r>
        <w:lastRenderedPageBreak/>
        <w:t>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r>
        <w:t>4.4  Observed or derived: single attribution at the schema level</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2AA017EE" w14:textId="77777777">
        <w:tc>
          <w:tcPr>
            <w:tcW w:w="5000" w:type="pct"/>
            <w:shd w:val="clear" w:color="auto" w:fill="F2F2F2"/>
            <w:tcMar>
              <w:top w:w="120" w:type="dxa"/>
              <w:left w:w="120" w:type="dxa"/>
              <w:bottom w:w="120" w:type="dxa"/>
              <w:right w:w="120" w:type="dxa"/>
            </w:tcMar>
          </w:tcPr>
          <w:p w14:paraId="320FFE6B" w14:textId="42967BF5" w:rsidR="00267FE8" w:rsidRDefault="00000000">
            <w:r>
              <w:rPr>
                <w:b/>
              </w:rPr>
              <w:t xml:space="preserve">Principle 3 — Observed or derived. </w:t>
            </w:r>
            <w:r>
              <w:t xml:space="preserve">Every variable, in every scenario, is either observed (TS-bound) or derived (formula-bound) — never both. </w:t>
            </w:r>
          </w:p>
        </w:tc>
      </w:tr>
    </w:tbl>
    <w:p w14:paraId="5AC2BCC2" w14:textId="77777777" w:rsidR="00267FE8" w:rsidRDefault="00267FE8"/>
    <w:p w14:paraId="1EC51994" w14:textId="27DAB1F4" w:rsidR="000754BC" w:rsidRDefault="00466837" w:rsidP="00AD1560">
      <w:pPr>
        <w:spacing w:after="160" w:line="320" w:lineRule="auto"/>
        <w:jc w:val="both"/>
      </w:pPr>
      <w:r>
        <w:t xml:space="preserve">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1FFCFDB0" w:rsidR="000754BC" w:rsidRDefault="00AD1560">
      <w:pPr>
        <w:pStyle w:val="Heading2"/>
        <w:spacing w:after="160"/>
      </w:pPr>
      <w:r>
        <w:t>4.5 Latent</w:t>
      </w:r>
      <w:r w:rsidR="00466837">
        <w:t xml:space="preserve"> variables for unobserved flows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E5809BB" w14:textId="77777777">
        <w:tc>
          <w:tcPr>
            <w:tcW w:w="5000" w:type="pct"/>
            <w:shd w:val="clear" w:color="auto" w:fill="F2F2F2"/>
            <w:tcMar>
              <w:top w:w="120" w:type="dxa"/>
              <w:left w:w="120" w:type="dxa"/>
              <w:bottom w:w="120" w:type="dxa"/>
              <w:right w:w="120" w:type="dxa"/>
            </w:tcMar>
          </w:tcPr>
          <w:p w14:paraId="7BD03A43" w14:textId="77777777" w:rsidR="00267FE8" w:rsidRDefault="00000000">
            <w:r>
              <w:rPr>
                <w:b/>
              </w:rPr>
              <w:lastRenderedPageBreak/>
              <w:t xml:space="preserve">Principle 4 — Latent flows. </w:t>
            </w:r>
            <w:r>
              <w:t>Flows the data does not observe — junction splits, fan-outs, in-transit volumes — are declared as latent variables constrained by mass balance and capacity, not back-filled by ad-hoc allocation rules. Latent is not missing.</w:t>
            </w:r>
          </w:p>
        </w:tc>
      </w:tr>
    </w:tbl>
    <w:p w14:paraId="127A52A2" w14:textId="77777777" w:rsidR="00267FE8" w:rsidRDefault="00267FE8"/>
    <w:p w14:paraId="12FED0C0" w14:textId="77777777" w:rsidR="000754BC" w:rsidRDefault="00466837">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r>
        <w:t>4.6  Multi-resolution data through aggregation views</w:t>
      </w:r>
    </w:p>
    <w:tbl>
      <w:tblPr>
        <w:tblW w:w="5000" w:type="pct"/>
        <w:tblBorders>
          <w:top w:val="single" w:sz="6" w:space="0" w:color="999999"/>
          <w:left w:val="single" w:sz="6" w:space="0" w:color="999999"/>
          <w:bottom w:val="single" w:sz="6" w:space="0" w:color="999999"/>
          <w:right w:val="single" w:sz="6" w:space="0" w:color="999999"/>
        </w:tblBorders>
        <w:tblLook w:val="04A0" w:firstRow="1" w:lastRow="0" w:firstColumn="1" w:lastColumn="0" w:noHBand="0" w:noVBand="1"/>
      </w:tblPr>
      <w:tblGrid>
        <w:gridCol w:w="9344"/>
      </w:tblGrid>
      <w:tr w:rsidR="00267FE8" w14:paraId="72F39F4A" w14:textId="77777777">
        <w:tc>
          <w:tcPr>
            <w:tcW w:w="5000" w:type="pct"/>
            <w:shd w:val="clear" w:color="auto" w:fill="F2F2F2"/>
            <w:tcMar>
              <w:top w:w="120" w:type="dxa"/>
              <w:left w:w="120" w:type="dxa"/>
              <w:bottom w:w="120" w:type="dxa"/>
              <w:right w:w="120" w:type="dxa"/>
            </w:tcMar>
          </w:tcPr>
          <w:p w14:paraId="79C0C287" w14:textId="55C7BE6A" w:rsidR="00267FE8" w:rsidRPr="007314D1" w:rsidRDefault="00000000">
            <w:pPr>
              <w:rPr>
                <w:bCs/>
              </w:rPr>
            </w:pPr>
            <w:r>
              <w:rPr>
                <w:b/>
              </w:rPr>
              <w:t xml:space="preserve">Principle 5 — </w:t>
            </w:r>
            <w:r w:rsidR="007314D1">
              <w:rPr>
                <w:bCs/>
              </w:rPr>
              <w:t>A</w:t>
            </w:r>
            <w:r w:rsidR="007314D1" w:rsidRPr="007314D1">
              <w:rPr>
                <w:bCs/>
              </w:rPr>
              <w:t>bstract nodes</w:t>
            </w:r>
            <w:r w:rsidR="00F62E71">
              <w:rPr>
                <w:bCs/>
              </w:rPr>
              <w:t xml:space="preserve"> do not have edges</w:t>
            </w:r>
            <w:r w:rsidRPr="007314D1">
              <w:rPr>
                <w:bCs/>
              </w:rPr>
              <w:t xml:space="preserve">. Administrative aggregates (PADDs, refining districts, basin rollups) are </w:t>
            </w:r>
            <w:r w:rsidR="00F62E71">
              <w:rPr>
                <w:bCs/>
              </w:rPr>
              <w:t>abstract nodes</w:t>
            </w:r>
            <w:r w:rsidRPr="007314D1">
              <w:rPr>
                <w:bCs/>
              </w:rPr>
              <w:t xml:space="preserve"> over physical nodes, not duplicate storage. Mixed-resolution data feeds in through these views without double-counting.</w:t>
            </w:r>
            <w:r w:rsidR="000F6C0D" w:rsidRPr="007314D1">
              <w:rPr>
                <w:bCs/>
              </w:rPr>
              <w:t xml:space="preserve"> </w:t>
            </w:r>
          </w:p>
        </w:tc>
      </w:tr>
    </w:tbl>
    <w:p w14:paraId="0732C99B" w14:textId="77777777" w:rsidR="00267FE8" w:rsidRDefault="00267FE8"/>
    <w:p w14:paraId="19EC93B5" w14:textId="77777777" w:rsidR="000754BC" w:rsidRDefault="00466837">
      <w:pPr>
        <w:spacing w:after="160" w:line="320" w:lineRule="auto"/>
        <w:jc w:val="both"/>
      </w:pPr>
      <w:r>
        <w:t xml:space="preserve">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w:t>
      </w:r>
      <w:r>
        <w:lastRenderedPageBreak/>
        <w:t>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4B13E76F" w:rsidR="000754BC" w:rsidRDefault="00F62E71">
      <w:pPr>
        <w:pStyle w:val="Heading2"/>
        <w:spacing w:after="160"/>
      </w:pPr>
      <w:r>
        <w:t>4.7 What</w:t>
      </w:r>
      <w:r w:rsidR="00466837">
        <w:t xml:space="preserve">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2BC7A79D" w14:textId="77777777" w:rsidR="000754BC" w:rsidRDefault="00466837">
      <w:pPr>
        <w:pStyle w:val="Heading2"/>
        <w:spacing w:after="160"/>
      </w:pPr>
      <w:r>
        <w:t>5.1  Setup</w:t>
      </w:r>
    </w:p>
    <w:p w14:paraId="2575F399" w14:textId="77777777" w:rsidR="000754BC" w:rsidRDefault="00466837">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466837">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466837">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466837">
      <w:pPr>
        <w:pStyle w:val="Heading2"/>
        <w:spacing w:after="160"/>
      </w:pPr>
      <w:r>
        <w:t>5.2  Steady-state comparison: the PADD 5 in-transit anomaly</w:t>
      </w:r>
    </w:p>
    <w:p w14:paraId="0D30C5B2" w14:textId="77777777" w:rsidR="000754BC" w:rsidRDefault="00466837">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466837">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466837">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466837">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466837">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466837">
            <w:pPr>
              <w:spacing w:line="260" w:lineRule="auto"/>
            </w:pPr>
            <w:r>
              <w:rPr>
                <w:b/>
                <w:bCs/>
                <w:color w:val="FFFFFF"/>
                <w:sz w:val="20"/>
                <w:szCs w:val="20"/>
              </w:rPr>
              <w:t>Framework</w:t>
            </w:r>
          </w:p>
        </w:tc>
      </w:tr>
      <w:tr w:rsidR="000754BC" w14:paraId="73B8460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466837">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466837">
            <w:pPr>
              <w:spacing w:line="260" w:lineRule="auto"/>
            </w:pPr>
            <w:r>
              <w:rPr>
                <w:sz w:val="20"/>
                <w:szCs w:val="20"/>
              </w:rPr>
              <w:t>~22,962</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466837">
            <w:pPr>
              <w:spacing w:line="260" w:lineRule="auto"/>
            </w:pPr>
            <w:r>
              <w:rPr>
                <w:sz w:val="20"/>
                <w:szCs w:val="20"/>
              </w:rPr>
              <w:t>22,962 (on named hub nodes)</w:t>
            </w:r>
          </w:p>
        </w:tc>
      </w:tr>
      <w:tr w:rsidR="000754BC" w14:paraId="25AE481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466837">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466837">
            <w:pPr>
              <w:spacing w:line="260" w:lineRule="auto"/>
            </w:pPr>
            <w:r>
              <w:rPr>
                <w:sz w:val="20"/>
                <w:szCs w:val="20"/>
              </w:rPr>
              <w:t>~20,468</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466837">
            <w:pPr>
              <w:spacing w:line="260" w:lineRule="auto"/>
            </w:pPr>
            <w:r>
              <w:rPr>
                <w:sz w:val="20"/>
                <w:szCs w:val="20"/>
              </w:rPr>
              <w:t>20,468 (sum over PADD 5 refinery nodes)</w:t>
            </w:r>
          </w:p>
        </w:tc>
      </w:tr>
      <w:tr w:rsidR="000754BC" w14:paraId="3C26F45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466837">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466837">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466837">
            <w:pPr>
              <w:spacing w:line="260" w:lineRule="auto"/>
            </w:pPr>
            <w:r>
              <w:rPr>
                <w:sz w:val="20"/>
                <w:szCs w:val="20"/>
              </w:rPr>
              <w:t>0</w:t>
            </w:r>
          </w:p>
        </w:tc>
      </w:tr>
      <w:tr w:rsidR="000754BC" w14:paraId="781D3117"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466837">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466837">
            <w:pPr>
              <w:spacing w:line="260" w:lineRule="auto"/>
            </w:pPr>
            <w:r>
              <w:rPr>
                <w:i/>
                <w:iCs/>
                <w:color w:val="C00000"/>
                <w:sz w:val="20"/>
                <w:szCs w:val="20"/>
              </w:rPr>
              <w:t>(absent: 5,900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466837">
            <w:pPr>
              <w:spacing w:line="260" w:lineRule="auto"/>
            </w:pPr>
            <w:r>
              <w:rPr>
                <w:b/>
                <w:bCs/>
                <w:color w:val="1F3864"/>
                <w:sz w:val="20"/>
                <w:szCs w:val="20"/>
              </w:rPr>
              <w:t>5,900 (TS-bound on inter_padd_3_to_5_agg)</w:t>
            </w:r>
          </w:p>
        </w:tc>
      </w:tr>
      <w:tr w:rsidR="000754BC" w14:paraId="6F3BE25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466837">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466837">
            <w:pPr>
              <w:spacing w:line="260" w:lineRule="auto"/>
            </w:pPr>
            <w:r>
              <w:rPr>
                <w:sz w:val="20"/>
                <w:szCs w:val="20"/>
              </w:rPr>
              <w:t>49,330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466837">
            <w:pPr>
              <w:spacing w:line="260" w:lineRule="auto"/>
            </w:pPr>
            <w:r>
              <w:rPr>
                <w:sz w:val="20"/>
                <w:szCs w:val="20"/>
              </w:rPr>
              <w:t>49,330</w:t>
            </w:r>
          </w:p>
        </w:tc>
      </w:tr>
      <w:tr w:rsidR="000754BC" w14:paraId="2BE1EDB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466837">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466837">
            <w:pPr>
              <w:spacing w:line="260" w:lineRule="auto"/>
            </w:pPr>
            <w:r>
              <w:rPr>
                <w:b/>
                <w:bCs/>
                <w:color w:val="C00000"/>
                <w:sz w:val="20"/>
                <w:szCs w:val="20"/>
              </w:rPr>
              <w:t>+5,900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466837">
            <w:pPr>
              <w:spacing w:line="260" w:lineRule="auto"/>
            </w:pPr>
            <w:r>
              <w:rPr>
                <w:sz w:val="20"/>
                <w:szCs w:val="20"/>
              </w:rPr>
              <w:t>0</w:t>
            </w:r>
          </w:p>
        </w:tc>
      </w:tr>
    </w:tbl>
    <w:p w14:paraId="15686B95" w14:textId="77777777" w:rsidR="000754BC" w:rsidRDefault="00466837">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466837">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645E5FED" w14:textId="77777777" w:rsidR="000754BC" w:rsidRDefault="00466837">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1393049B" w14:textId="77777777" w:rsidR="000754BC" w:rsidRDefault="00466837">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466837">
      <w:pPr>
        <w:pStyle w:val="Heading2"/>
        <w:spacing w:after="160"/>
      </w:pPr>
      <w:r>
        <w:t>5.3  Stress-test comparison: Hurricane Harvey, August 2017</w:t>
      </w:r>
    </w:p>
    <w:p w14:paraId="32353D45" w14:textId="77777777" w:rsidR="000754BC" w:rsidRDefault="00466837">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466837">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466837">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466837">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466837">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466837">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466837">
            <w:pPr>
              <w:spacing w:line="260" w:lineRule="auto"/>
            </w:pPr>
            <w:r>
              <w:rPr>
                <w:sz w:val="20"/>
                <w:szCs w:val="20"/>
              </w:rPr>
              <w:t>5,767</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466837">
            <w:pPr>
              <w:spacing w:line="260" w:lineRule="auto"/>
            </w:pPr>
            <w:r>
              <w:rPr>
                <w:sz w:val="20"/>
                <w:szCs w:val="20"/>
              </w:rPr>
              <w:t>5,767</w:t>
            </w:r>
          </w:p>
        </w:tc>
      </w:tr>
      <w:tr w:rsidR="000754BC" w14:paraId="032959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466837">
            <w:pPr>
              <w:spacing w:line="260" w:lineRule="auto"/>
            </w:pPr>
            <w:r>
              <w:rPr>
                <w:sz w:val="20"/>
                <w:szCs w:val="20"/>
              </w:rPr>
              <w:t>Imports (foreign + Canadian)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466837">
            <w:pPr>
              <w:spacing w:line="260" w:lineRule="auto"/>
            </w:pPr>
            <w:r>
              <w:rPr>
                <w:sz w:val="20"/>
                <w:szCs w:val="20"/>
              </w:rPr>
              <w:t>2,627</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466837">
            <w:pPr>
              <w:spacing w:line="260" w:lineRule="auto"/>
            </w:pPr>
            <w:r>
              <w:rPr>
                <w:sz w:val="20"/>
                <w:szCs w:val="20"/>
              </w:rPr>
              <w:t>2,627</w:t>
            </w:r>
          </w:p>
        </w:tc>
      </w:tr>
      <w:tr w:rsidR="000754BC" w14:paraId="0B66D78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466837">
            <w:pPr>
              <w:spacing w:line="260" w:lineRule="auto"/>
            </w:pPr>
            <w:r>
              <w:rPr>
                <w:sz w:val="20"/>
                <w:szCs w:val="20"/>
              </w:rPr>
              <w:t>Movements in (from PADDs 1, 2, 4)</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466837">
            <w:pPr>
              <w:spacing w:line="260" w:lineRule="auto"/>
            </w:pPr>
            <w:r>
              <w:rPr>
                <w:sz w:val="20"/>
                <w:szCs w:val="20"/>
              </w:rPr>
              <w:t>1,352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466837">
            <w:pPr>
              <w:spacing w:line="260" w:lineRule="auto"/>
            </w:pPr>
            <w:r>
              <w:rPr>
                <w:sz w:val="20"/>
                <w:szCs w:val="20"/>
              </w:rPr>
              <w:t>1,352</w:t>
            </w:r>
          </w:p>
        </w:tc>
      </w:tr>
      <w:tr w:rsidR="000754BC" w14:paraId="231CDC37"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466837">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466837">
            <w:pPr>
              <w:spacing w:line="260" w:lineRule="auto"/>
            </w:pPr>
            <w:r>
              <w:rPr>
                <w:sz w:val="20"/>
                <w:szCs w:val="20"/>
              </w:rPr>
              <w:t>−8,611</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466837">
            <w:pPr>
              <w:spacing w:line="260" w:lineRule="auto"/>
            </w:pPr>
            <w:r>
              <w:rPr>
                <w:sz w:val="20"/>
                <w:szCs w:val="20"/>
              </w:rPr>
              <w:t>−8,611</w:t>
            </w:r>
          </w:p>
        </w:tc>
      </w:tr>
      <w:tr w:rsidR="000754BC" w14:paraId="34B5898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466837">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466837">
            <w:pPr>
              <w:spacing w:line="260" w:lineRule="auto"/>
            </w:pPr>
            <w:r>
              <w:rPr>
                <w:sz w:val="20"/>
                <w:szCs w:val="20"/>
              </w:rPr>
              <w:t>−607</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466837">
            <w:pPr>
              <w:spacing w:line="260" w:lineRule="auto"/>
            </w:pPr>
            <w:r>
              <w:rPr>
                <w:sz w:val="20"/>
                <w:szCs w:val="20"/>
              </w:rPr>
              <w:t>−607</w:t>
            </w:r>
          </w:p>
        </w:tc>
      </w:tr>
      <w:tr w:rsidR="000754BC" w14:paraId="0EE9F4DC"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466837">
            <w:pPr>
              <w:spacing w:line="260" w:lineRule="auto"/>
            </w:pPr>
            <w:r>
              <w:rPr>
                <w:sz w:val="20"/>
                <w:szCs w:val="20"/>
              </w:rPr>
              <w:t>Movements out (to PADDs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466837">
            <w:pPr>
              <w:spacing w:line="260" w:lineRule="auto"/>
            </w:pPr>
            <w:r>
              <w:rPr>
                <w:sz w:val="20"/>
                <w:szCs w:val="20"/>
              </w:rPr>
              <w:t>−1,055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466837">
            <w:pPr>
              <w:spacing w:line="260" w:lineRule="auto"/>
            </w:pPr>
            <w:r>
              <w:rPr>
                <w:sz w:val="20"/>
                <w:szCs w:val="20"/>
              </w:rPr>
              <w:t>−1,055</w:t>
            </w:r>
          </w:p>
        </w:tc>
      </w:tr>
      <w:tr w:rsidR="000754BC" w14:paraId="6B1641F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466837">
            <w:pPr>
              <w:spacing w:line="260" w:lineRule="auto"/>
            </w:pPr>
            <w:r>
              <w:rPr>
                <w:sz w:val="20"/>
                <w:szCs w:val="20"/>
              </w:rPr>
              <w:t>Δ Stocks (commercial + SPR, kbbl)</w:t>
            </w:r>
            <w:proofErr w:type="spellStart"/>
            <w:r>
              <w:rPr>
                <w:sz w:val="20"/>
                <w:szCs w:val="20"/>
              </w:rPr>
            </w:r>
            <w:proofErr w:type="spellEnd"/>
            <w:r>
              <w:rPr>
                <w:sz w:val="20"/>
                <w:szCs w:val="20"/>
              </w:rPr>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466837">
            <w:pPr>
              <w:spacing w:line="260" w:lineRule="auto"/>
            </w:pPr>
            <w:r>
              <w:rPr>
                <w:sz w:val="20"/>
                <w:szCs w:val="20"/>
              </w:rPr>
              <w:t>−18,379</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466837">
            <w:pPr>
              <w:spacing w:line="260" w:lineRule="auto"/>
            </w:pPr>
            <w:r>
              <w:rPr>
                <w:sz w:val="20"/>
                <w:szCs w:val="20"/>
              </w:rPr>
              <w:t>−18,379</w:t>
            </w:r>
          </w:p>
        </w:tc>
      </w:tr>
      <w:tr w:rsidR="000754BC" w14:paraId="25BFC8C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466837">
            <w:pPr>
              <w:spacing w:line="260" w:lineRule="auto"/>
            </w:pPr>
            <w:r>
              <w:rPr>
                <w:sz w:val="20"/>
                <w:szCs w:val="20"/>
              </w:rPr>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466837">
            <w:pPr>
              <w:spacing w:line="260" w:lineRule="auto"/>
            </w:pPr>
            <w:r>
              <w:rPr>
                <w:b/>
                <w:bCs/>
                <w:sz w:val="20"/>
                <w:szCs w:val="20"/>
              </w:rPr>
              <w:t>+193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466837">
            <w:pPr>
              <w:spacing w:line="260" w:lineRule="auto"/>
            </w:pPr>
            <w:r>
              <w:rPr>
                <w:b/>
                <w:bCs/>
                <w:sz w:val="20"/>
                <w:szCs w:val="20"/>
              </w:rPr>
              <w:t>+193</w:t>
            </w:r>
          </w:p>
        </w:tc>
      </w:tr>
      <w:tr w:rsidR="000754BC" w14:paraId="22BC221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466837">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466837">
            <w:pPr>
              <w:spacing w:line="260" w:lineRule="auto"/>
            </w:pPr>
            <w:r>
              <w:rPr>
                <w:b/>
                <w:bCs/>
                <w:color w:val="C00000"/>
                <w:sz w:val="20"/>
                <w:szCs w:val="20"/>
              </w:rPr>
              <w:t>−193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466837">
            <w:pPr>
              <w:spacing w:line="260" w:lineRule="auto"/>
            </w:pPr>
            <w:r>
              <w:rPr>
                <w:i/>
                <w:iCs/>
                <w:sz w:val="20"/>
                <w:szCs w:val="20"/>
              </w:rPr>
              <w:t>(not used)</w:t>
            </w:r>
          </w:p>
        </w:tc>
      </w:tr>
      <w:tr w:rsidR="000754BC" w14:paraId="7EC5490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466837">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466837">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466837">
            <w:pPr>
              <w:spacing w:line="260" w:lineRule="auto"/>
            </w:pPr>
            <w:r>
              <w:rPr>
                <w:b/>
                <w:bCs/>
                <w:color w:val="1F3864"/>
                <w:sz w:val="20"/>
                <w:szCs w:val="20"/>
              </w:rPr>
              <w:t>+193</w:t>
            </w:r>
          </w:p>
        </w:tc>
      </w:tr>
      <w:tr w:rsidR="000754BC" w14:paraId="40D3CCC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466837">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466837">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466837">
            <w:pPr>
              <w:spacing w:line="260" w:lineRule="auto"/>
            </w:pPr>
            <w:r>
              <w:rPr>
                <w:sz w:val="20"/>
                <w:szCs w:val="20"/>
              </w:rPr>
              <w:t>0</w:t>
            </w:r>
          </w:p>
        </w:tc>
      </w:tr>
    </w:tbl>
    <w:p w14:paraId="1863739E" w14:textId="77777777" w:rsidR="000754BC" w:rsidRDefault="00466837">
      <w:pPr>
        <w:spacing w:before="80" w:after="240" w:line="280" w:lineRule="auto"/>
        <w:jc w:val="center"/>
      </w:pPr>
      <w:r>
        <w:rPr>
          <w:b/>
          <w:bCs/>
          <w:color w:val="595959"/>
          <w:sz w:val="18"/>
          <w:szCs w:val="18"/>
        </w:rPr>
        <w:t>Table 5.2. PADD 3 monthly balance, August 2017. Both methods take the same EIA inputs and arrive at the same +193 kbd implied residual. The spreadsheet workflow absorbs it into an unlabelled adjustment cell. The framework retains it as a labelled balancing item B on the PADD 3 node.</w:t>
      </w:r>
      <w:r>
        <w:rPr>
          <w:i/>
          <w:iCs/>
          <w:color w:val="595959"/>
          <w:sz w:val="18"/>
          <w:szCs w:val="18"/>
        </w:rPr>
      </w:r>
      <w:proofErr w:type="spellStart"/>
      <w:r>
        <w:rPr>
          <w:i/>
          <w:iCs/>
          <w:color w:val="595959"/>
          <w:sz w:val="18"/>
          <w:szCs w:val="18"/>
        </w:rPr>
      </w:r>
      <w:proofErr w:type="spellEnd"/>
      <w:r>
        <w:rPr>
          <w:i/>
          <w:iCs/>
          <w:color w:val="595959"/>
          <w:sz w:val="18"/>
          <w:szCs w:val="18"/>
        </w:rPr>
      </w:r>
    </w:p>
    <w:p w14:paraId="3A5723E7" w14:textId="77777777" w:rsidR="000754BC" w:rsidRDefault="00466837">
      <w:pPr>
        <w:spacing w:after="160" w:line="320" w:lineRule="auto"/>
        <w:jc w:val="both"/>
      </w:pPr>
      <w:r>
        <w:t>The implied residual of +193 kbd is positive — observed stock changes are larger (or, in this case, less negative) than the reported flows would imply — and it sits within the typical magnitude of PADD 3's balancing item (the 2015–2024 median absolute value is around 345 kbd). What matters is not that the August 2017 figure is an outlier in magnitude; it is that the framework retains a labelled value on the PADD 3 node, whereas the spreadsheet absorbs the same number into an unlabelled adjustment cell.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roofErr w:type="spellStart"/>
      <w:r/>
      <w:proofErr w:type="spellEnd"/>
      <w:r/>
      <w:proofErr w:type="spellStart"/>
      <w:r/>
      <w:proofErr w:type="spellEnd"/>
      <w:r/>
    </w:p>
    <w:p w14:paraId="3C0934E7" w14:textId="77777777" w:rsidR="000754BC" w:rsidRDefault="00466837">
      <w:pPr>
        <w:spacing w:after="160" w:line="320" w:lineRule="auto"/>
        <w:jc w:val="both"/>
      </w:pPr>
      <w:r>
        <w:t>The framework retains this +193 kbd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roofErr w:type="spellStart"/>
      <w:r/>
      <w:proofErr w:type="spellEnd"/>
      <w:r/>
    </w:p>
    <w:p w14:paraId="483F4F8B" w14:textId="77777777" w:rsidR="000754BC" w:rsidRDefault="00466837">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pPr>
        <w:pStyle w:val="Heading2"/>
      </w:pPr>
      <w:r>
        <w:t xml:space="preserve">5.4  Multi-source integration: layering pipeline-flow data on top of EIA aggregates</w:t>
      </w:r>
    </w:p>
    <w:p>
      <w:r>
        <w:t xml:space="preserve">The previous two examples both worked from a single authoritative data source: EIA monthly aggregates at the PADD or USA level. In commercial practice this is not how the workflow ends. Once a desk has a working monthly balance, the next economically valuable refinement is finer-resolution data on individual physical assets — daily inventory at the Cushing tank farm, daily flow on the Permian outbound pipelines, vessel positions in the Houston Ship Channel. The dominant commercial source for crude pipeline flows in North America is Wood Mackenzie's Genscape service, which reports daily flow rates on named pipelines via electromagnetic sensors mounted on the lines themselves. Genscape publishes named-pipeline coverage of approximately ninety-one percent of capacity connected to Cushing and ninety percent of capacity crossing the United States–Canada border, including Enbridge Mainline, the Keystone system, the Permian outbound complex (Gray Oak, Cactus II, BridgeTex, Midland-to-ECHO), and the Cushing connectors (Seaway, Spearhead, Pony Express).</w:t>
      </w:r>
    </w:p>
    <w:p>
      <w:r>
        <w:t xml:space="preserve">Adding Genscape data to a working EIA spreadsheet looks straightforward on first inspection — append columns, point the formulas at the new cells, recompute the balance — but the integration breaks on five distinct mismatches that the spreadsheet has no schema-level way to resolve. The frequencies disagree: Genscape reports daily, EIA monthly, and a Genscape pipeline that is down for four days mid-month leaves no trace in its monthly mean, so the analyst must choose between losing the operational signal and adding a parallel daily sheet whose totals must still reconcile to the monthly aggregates upstream. The geographies disagree: Genscape names a pipeline (DAPL, Keystone) while EIA names a PADD pair (movements from PADD 2 to PADD 3), and a single EIA inter-PADD figure aggregates over an undisclosed set of pipelines, some of which Genscape names individually and some of which it does not. Double-counting becomes a live risk on every new column: if DAPL flows are appended as a separate series and the EIA PADD-2-to-PADD-3 movement series already incorporates them, every barrel on DAPL is now in the balance twice unless the analyst manually subtracts it from one side. Coverage is incomplete by design: the nine percent of Cushing-connected capacity that Genscape does not monitor still shows up in the EIA aggregate, so a residual-pipeline column has to be maintained by hand each month, recomputed from the difference between the EIA inter-PADD movement and the sum of Genscape-named flows for the same corridor. Finally, the integration is not stable: every time Genscape adds coverage of a new pipeline — Seminole-Red, EPIC Crude, the latest reversed segment — the analyst must add a column, decide which existing aggregate it should be subtracted from, and update the residual definition. None of these decisions are encoded; they live in the analyst's head and in the workbook's commented cells, and they evolve as personnel rotate. The cumulative effect is that adding a finer-resolution data source to the spreadsheet does not deepen the balance; it makes the balance more fragile, because the same physical crude is now traced through two reconciliation paths with no schema-level guarantee that the paths agree.</w:t>
      </w:r>
    </w:p>
    <w:p>
      <w:r>
        <w:t>Table 5.4 illustrates the difference on a representative month for PADD 2, the Midwest PADD whose stock identity is anchored on Cushing and whose pipeline complex is the most heavily Genscape-monitored in the country. The figures are illustrative of the order of magnitude observed in commercial pipeline-flow reports; precise values depend on the subscription product and the month.</w:t>
      </w:r>
    </w:p>
    <w:p>
      <w:r>
        <w:rPr>
          <w:b/>
        </w:rPr>
        <w:t xml:space="preserve">Table 5.4. </w:t>
      </w:r>
      <w:r>
        <w:rPr>
          <w:i/>
        </w:rPr>
        <w:t xml:space="preserve">Layering Genscape pipeline-flow data on top of EIA monthly aggregates for PADD 2, representative month. The spreadsheet column accumulates one new cell per named pipeline, a residual cell for un-named Genscape coverage gaps, and a manual subtraction from the EIA inter-PADD column to prevent double-counting. The framework column TS-binds each Genscape flow to a named pipeline node and the EIA aggregate to the PADD-view node; the aggregation view ties them and flags divergence automatically.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2400"/>
        <w:gridCol w:w="3300"/>
        <w:gridCol w:w="3300"/>
      </w:tblGrid>
      <w:tr>
        <w:tc>
          <w:tcPr>
            <w:tcW w:w="2400" w:type="dxa"/>
            <w:shd w:val="clear" w:color="auto" w:fill="DDDDDD"/>
          </w:tcPr>
          <w:p>
            <w:pPr>
              <w:spacing w:before="40" w:after="40"/>
            </w:pPr>
            <w:r>
              <w:rPr>
                <w:b/>
              </w:rPr>
              <w:t xml:space="preserve">Item</w:t>
            </w:r>
          </w:p>
        </w:tc>
        <w:tc>
          <w:tcPr>
            <w:tcW w:w="3300" w:type="dxa"/>
            <w:shd w:val="clear" w:color="auto" w:fill="DDDDDD"/>
          </w:tcPr>
          <w:p>
            <w:pPr>
              <w:spacing w:before="40" w:after="40"/>
            </w:pPr>
            <w:r>
              <w:rPr>
                <w:b/>
              </w:rPr>
              <w:t xml:space="preserve">Spreadsheet workflow</w:t>
            </w:r>
          </w:p>
        </w:tc>
        <w:tc>
          <w:tcPr>
            <w:tcW w:w="3300" w:type="dxa"/>
            <w:shd w:val="clear" w:color="auto" w:fill="DDDDDD"/>
          </w:tcPr>
          <w:p>
            <w:pPr>
              <w:spacing w:before="40" w:after="40"/>
            </w:pPr>
            <w:r>
              <w:rPr>
                <w:b/>
              </w:rPr>
              <w:t xml:space="preserve">Framework</w:t>
            </w:r>
          </w:p>
        </w:tc>
      </w:tr>
      <w:tr>
        <w:tc>
          <w:tcPr>
            <w:tcW w:w="2400" w:type="dxa"/>
          </w:tcPr>
          <w:p>
            <w:pPr>
              <w:spacing w:before="40" w:after="40"/>
            </w:pPr>
            <w:r>
              <w:t xml:space="preserve">EIA PADD-2 stock change (monthly)</w:t>
            </w:r>
          </w:p>
        </w:tc>
        <w:tc>
          <w:tcPr>
            <w:tcW w:w="3300" w:type="dxa"/>
          </w:tcPr>
          <w:p>
            <w:pPr>
              <w:spacing w:before="40" w:after="40"/>
            </w:pPr>
            <w:r>
              <w:t xml:space="preserve">Single cell in the PADD-2 sheet</w:t>
            </w:r>
          </w:p>
        </w:tc>
        <w:tc>
          <w:tcPr>
            <w:tcW w:w="3300" w:type="dxa"/>
          </w:tcPr>
          <w:p>
            <w:pPr>
              <w:spacing w:before="40" w:after="40"/>
            </w:pPr>
            <w:r>
              <w:t xml:space="preserve">padd2_view.inventory TS-bound to MCRSTP21</w:t>
            </w:r>
          </w:p>
        </w:tc>
      </w:tr>
      <w:tr>
        <w:tc>
          <w:tcPr>
            <w:tcW w:w="2400" w:type="dxa"/>
          </w:tcPr>
          <w:p>
            <w:pPr>
              <w:spacing w:before="40" w:after="40"/>
            </w:pPr>
            <w:r>
              <w:t xml:space="preserve">EIA PADD-3-to-PADD-2 movements (monthly)</w:t>
            </w:r>
          </w:p>
        </w:tc>
        <w:tc>
          <w:tcPr>
            <w:tcW w:w="3300" w:type="dxa"/>
          </w:tcPr>
          <w:p>
            <w:pPr>
              <w:spacing w:before="40" w:after="40"/>
            </w:pPr>
            <w:r>
              <w:t xml:space="preserve">Single cell; later partly back-subtracted</w:t>
            </w:r>
          </w:p>
        </w:tc>
        <w:tc>
          <w:tcPr>
            <w:tcW w:w="3300" w:type="dxa"/>
          </w:tcPr>
          <w:p>
            <w:pPr>
              <w:spacing w:before="40" w:after="40"/>
            </w:pPr>
            <w:r>
              <w:t xml:space="preserve">padd3.outflow → padd2.inflow TS-bound to inter-PADD series</w:t>
            </w:r>
          </w:p>
        </w:tc>
      </w:tr>
      <w:tr>
        <w:tc>
          <w:tcPr>
            <w:tcW w:w="2400" w:type="dxa"/>
          </w:tcPr>
          <w:p>
            <w:pPr>
              <w:spacing w:before="40" w:after="40"/>
            </w:pPr>
            <w:r>
              <w:t xml:space="preserve">Genscape DAPL flow (daily, monthly mean)</w:t>
            </w:r>
          </w:p>
        </w:tc>
        <w:tc>
          <w:tcPr>
            <w:tcW w:w="3300" w:type="dxa"/>
          </w:tcPr>
          <w:p>
            <w:pPr>
              <w:spacing w:before="40" w:after="40"/>
            </w:pPr>
            <w:r>
              <w:t xml:space="preserve">New column "DAPL kbd"; subtract from EIA movement</w:t>
            </w:r>
          </w:p>
        </w:tc>
        <w:tc>
          <w:tcPr>
            <w:tcW w:w="3300" w:type="dxa"/>
          </w:tcPr>
          <w:p>
            <w:pPr>
              <w:spacing w:before="40" w:after="40"/>
            </w:pPr>
            <w:r>
              <w:t xml:space="preserve">dapl.outflow → cushing.inflow TS-bound to Genscape series</w:t>
            </w:r>
          </w:p>
        </w:tc>
      </w:tr>
      <w:tr>
        <w:tc>
          <w:tcPr>
            <w:tcW w:w="2400" w:type="dxa"/>
          </w:tcPr>
          <w:p>
            <w:pPr>
              <w:spacing w:before="40" w:after="40"/>
            </w:pPr>
            <w:r>
              <w:t xml:space="preserve">Genscape Keystone flow (daily, monthly mean)</w:t>
            </w:r>
          </w:p>
        </w:tc>
        <w:tc>
          <w:tcPr>
            <w:tcW w:w="3300" w:type="dxa"/>
          </w:tcPr>
          <w:p>
            <w:pPr>
              <w:spacing w:before="40" w:after="40"/>
            </w:pPr>
            <w:r>
              <w:t xml:space="preserve">New column "Keystone kbd"; subtract from EIA movement</w:t>
            </w:r>
          </w:p>
        </w:tc>
        <w:tc>
          <w:tcPr>
            <w:tcW w:w="3300" w:type="dxa"/>
          </w:tcPr>
          <w:p>
            <w:pPr>
              <w:spacing w:before="40" w:after="40"/>
            </w:pPr>
            <w:r>
              <w:t xml:space="preserve">keystone.outflow → patoka.inflow TS-bound to Genscape series</w:t>
            </w:r>
          </w:p>
        </w:tc>
      </w:tr>
      <w:tr>
        <w:tc>
          <w:tcPr>
            <w:tcW w:w="2400" w:type="dxa"/>
          </w:tcPr>
          <w:p>
            <w:pPr>
              <w:spacing w:before="40" w:after="40"/>
            </w:pPr>
            <w:r>
              <w:t xml:space="preserve">Genscape Seaway-reversed flow</w:t>
            </w:r>
          </w:p>
        </w:tc>
        <w:tc>
          <w:tcPr>
            <w:tcW w:w="3300" w:type="dxa"/>
          </w:tcPr>
          <w:p>
            <w:pPr>
              <w:spacing w:before="40" w:after="40"/>
            </w:pPr>
            <w:r>
              <w:t xml:space="preserve">New column; sign convention has to be tracked manually</w:t>
            </w:r>
          </w:p>
        </w:tc>
        <w:tc>
          <w:tcPr>
            <w:tcW w:w="3300" w:type="dxa"/>
          </w:tcPr>
          <w:p>
            <w:pPr>
              <w:spacing w:before="40" w:after="40"/>
            </w:pPr>
            <w:r>
              <w:t xml:space="preserve">Reverse-direction edge with its own flow variable; sign is structural</w:t>
            </w:r>
          </w:p>
        </w:tc>
      </w:tr>
      <w:tr>
        <w:tc>
          <w:tcPr>
            <w:tcW w:w="2400" w:type="dxa"/>
          </w:tcPr>
          <w:p>
            <w:pPr>
              <w:spacing w:before="40" w:after="40"/>
            </w:pPr>
            <w:r>
              <w:t xml:space="preserve">Un-named pipelines (≈9 % of capacity)</w:t>
            </w:r>
          </w:p>
        </w:tc>
        <w:tc>
          <w:tcPr>
            <w:tcW w:w="3300" w:type="dxa"/>
          </w:tcPr>
          <w:p>
            <w:pPr>
              <w:spacing w:before="40" w:after="40"/>
            </w:pPr>
            <w:r>
              <w:t xml:space="preserve">"Residual pipelines" column, recomputed manually each month</w:t>
            </w:r>
          </w:p>
        </w:tc>
        <w:tc>
          <w:tcPr>
            <w:tcW w:w="3300" w:type="dxa"/>
          </w:tcPr>
          <w:p>
            <w:pPr>
              <w:spacing w:before="40" w:after="40"/>
            </w:pPr>
            <w:r>
              <w:t xml:space="preserve">Emerges as the difference on the PADD-view node automatically</w:t>
            </w:r>
          </w:p>
        </w:tc>
      </w:tr>
      <w:tr>
        <w:tc>
          <w:tcPr>
            <w:tcW w:w="2400" w:type="dxa"/>
          </w:tcPr>
          <w:p>
            <w:pPr>
              <w:spacing w:before="40" w:after="40"/>
            </w:pPr>
            <w:r>
              <w:t xml:space="preserve">Cross-check that ΣGenscape ≈ EIA inter-PADD</w:t>
            </w:r>
          </w:p>
        </w:tc>
        <w:tc>
          <w:tcPr>
            <w:tcW w:w="3300" w:type="dxa"/>
          </w:tcPr>
          <w:p>
            <w:pPr>
              <w:spacing w:before="40" w:after="40"/>
            </w:pPr>
            <w:r>
              <w:t xml:space="preserve">Eyeballed; absent unless the analyst writes a hand-coded formula</w:t>
            </w:r>
          </w:p>
        </w:tc>
        <w:tc>
          <w:tcPr>
            <w:tcW w:w="3300" w:type="dxa"/>
          </w:tcPr>
          <w:p>
            <w:pPr>
              <w:spacing w:before="40" w:after="40"/>
            </w:pPr>
            <w:r>
              <w:t xml:space="preserve">v_aggregation_consistency flags divergence in resolved output</w:t>
            </w:r>
          </w:p>
        </w:tc>
      </w:tr>
      <w:tr>
        <w:tc>
          <w:tcPr>
            <w:tcW w:w="2400" w:type="dxa"/>
          </w:tcPr>
          <w:p>
            <w:pPr>
              <w:spacing w:before="40" w:after="40"/>
            </w:pPr>
            <w:r>
              <w:t xml:space="preserve">New pipeline coverage (e.g. Seminole-Red goes live)</w:t>
            </w:r>
          </w:p>
        </w:tc>
        <w:tc>
          <w:tcPr>
            <w:tcW w:w="3300" w:type="dxa"/>
          </w:tcPr>
          <w:p>
            <w:pPr>
              <w:spacing w:before="40" w:after="40"/>
            </w:pPr>
            <w:r>
              <w:t xml:space="preserve">Add column; rewrite residual definition; rebuild subtractions</w:t>
            </w:r>
          </w:p>
        </w:tc>
        <w:tc>
          <w:tcPr>
            <w:tcW w:w="3300" w:type="dxa"/>
          </w:tcPr>
          <w:p>
            <w:pPr>
              <w:spacing w:before="40" w:after="40"/>
            </w:pPr>
            <w:r>
              <w:t xml:space="preserve">Add a node + TS binding; aggregation view picks it up</w:t>
            </w:r>
          </w:p>
        </w:tc>
      </w:tr>
    </w:tbl>
    <w:p>
      <w:r>
        <w:t xml:space="preserve"/>
      </w:r>
    </w:p>
    <w:p>
      <w:r>
        <w:t xml:space="preserve">The structural point is the same as in the previous two examples, but the failure mode is different. In §5.2 and §5.3 the spreadsheet's residual cell silently absorbed a meaningful physical signal that the framework would have surfaced. Here the spreadsheet does not absorb the signal — it surfaces all of it — but each new signal compounds the integration burden, because the spreadsheet's only mechanism for adding finer-resolution data is to add columns and patch the formulas downstream by hand. The framework treats Genscape and EIA as observations on different nodes of the same graph: EIA aggregates bind to PADD-view nodes, Genscape flows bind to pipeline nodes, the aggregation view ties them through the partition formula on the PADD-view, and the schema-level CHECK on single attribution makes the double-counting failure mode unrepresentable. The cost of adding a new Genscape-covered pipeline is not a workbook rewrite; it is a new TS binding on an existing node. The orthogonality between the physical layer and the data layer is what makes this true. The physical asset graph already contains every pipeline of interest as a node; subscribing to a finer-resolution data source for a subset of those pipelines does not require any structural change to the graph. It changes the data layer only.</w:t>
      </w:r>
    </w:p>
    <w:p w14:paraId="3FDB683B" w14:textId="77777777" w:rsidR="000754BC" w:rsidRDefault="00466837">
      <w:pPr>
        <w:pStyle w:val="Heading2"/>
        <w:spacing w:after="160"/>
      </w:pPr>
      <w:r>
        <w:t>5.5  The same pattern on other named events</w:t>
      </w:r>
    </w:p>
    <w:p w14:paraId="5F3A6604" w14:textId="77777777" w:rsidR="000754BC" w:rsidRDefault="00466837">
      <w:pPr>
        <w:spacing w:after="160" w:line="320" w:lineRule="auto"/>
        <w:jc w:val="both"/>
      </w:pPr>
      <w:r>
        <w:t>The August 2017 spike is not isolated. Table 5.4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466837">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466837">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466837">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466837">
            <w:pPr>
              <w:spacing w:line="260" w:lineRule="auto"/>
            </w:pPr>
            <w:r>
              <w:rPr>
                <w:b/>
                <w:bCs/>
                <w:color w:val="FFFFFF"/>
                <w:sz w:val="20"/>
                <w:szCs w:val="20"/>
              </w:rPr>
              <w:t>Multiple of median |B|</w:t>
            </w:r>
          </w:p>
        </w:tc>
      </w:tr>
      <w:tr w:rsidR="000754BC" w14:paraId="4047CE39"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466837">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466837">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466837">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466837">
            <w:pPr>
              <w:spacing w:line="260" w:lineRule="auto"/>
            </w:pPr>
            <w:r>
              <w:rPr>
                <w:sz w:val="20"/>
                <w:szCs w:val="20"/>
              </w:rPr>
              <w:t>1.0×</w:t>
            </w:r>
          </w:p>
        </w:tc>
      </w:tr>
      <w:tr w:rsidR="000754BC" w14:paraId="50D83DE4"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466837">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466837">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466837">
            <w:pPr>
              <w:spacing w:line="260" w:lineRule="auto"/>
            </w:pPr>
            <w:r>
              <w:rPr>
                <w:sz w:val="20"/>
                <w:szCs w:val="20"/>
              </w:rPr>
              <w:t>~145</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466837">
            <w:pPr>
              <w:spacing w:line="260" w:lineRule="auto"/>
            </w:pPr>
            <w:r>
              <w:rPr>
                <w:sz w:val="20"/>
                <w:szCs w:val="20"/>
              </w:rPr>
              <w:t>0.6×</w:t>
            </w:r>
          </w:p>
        </w:tc>
      </w:tr>
      <w:tr w:rsidR="000754BC" w14:paraId="1D16BBE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466837">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466837">
            <w:pPr>
              <w:spacing w:line="260" w:lineRule="auto"/>
            </w:pPr>
            <w:r>
              <w:rPr>
                <w:sz w:val="20"/>
                <w:szCs w:val="20"/>
              </w:rPr>
              <w:t>Mar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466837">
            <w:pPr>
              <w:spacing w:line="260" w:lineRule="auto"/>
            </w:pPr>
            <w:r>
              <w:rPr>
                <w:sz w:val="20"/>
                <w:szCs w:val="20"/>
              </w:rPr>
              <w:t>~748</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466837">
            <w:pPr>
              <w:spacing w:line="260" w:lineRule="auto"/>
            </w:pPr>
            <w:r>
              <w:rPr>
                <w:sz w:val="20"/>
                <w:szCs w:val="20"/>
              </w:rPr>
              <w:t>2.9×</w:t>
            </w:r>
          </w:p>
        </w:tc>
      </w:tr>
      <w:tr w:rsidR="000754BC" w14:paraId="4AFC9E03"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466837">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466837">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466837">
            <w:pPr>
              <w:spacing w:line="260" w:lineRule="auto"/>
            </w:pPr>
            <w:r>
              <w:rPr>
                <w:sz w:val="20"/>
                <w:szCs w:val="20"/>
              </w:rPr>
              <w:t>~596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466837">
            <w:pPr>
              <w:spacing w:line="260" w:lineRule="auto"/>
            </w:pPr>
            <w:r>
              <w:rPr>
                <w:sz w:val="20"/>
                <w:szCs w:val="20"/>
              </w:rPr>
              <w:t>2.3×</w:t>
            </w:r>
          </w:p>
        </w:tc>
      </w:tr>
      <w:tr w:rsidR="000754BC" w14:paraId="1807670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466837">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466837">
            <w:pPr>
              <w:spacing w:line="260" w:lineRule="auto"/>
            </w:pPr>
            <w:r>
              <w:rPr>
                <w:sz w:val="20"/>
                <w:szCs w:val="20"/>
              </w:rPr>
              <w:t>May 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466837">
            <w:pPr>
              <w:spacing w:line="260" w:lineRule="auto"/>
            </w:pPr>
            <w:r>
              <w:rPr>
                <w:sz w:val="20"/>
                <w:szCs w:val="20"/>
              </w:rPr>
              <w:t>~427</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466837">
            <w:pPr>
              <w:spacing w:line="260" w:lineRule="auto"/>
            </w:pPr>
            <w:r>
              <w:rPr>
                <w:sz w:val="20"/>
                <w:szCs w:val="20"/>
              </w:rPr>
              <w:t>1.7×</w:t>
            </w:r>
          </w:p>
        </w:tc>
      </w:tr>
    </w:tbl>
    <w:p w14:paraId="6F091FBB" w14:textId="77777777" w:rsidR="000754BC" w:rsidRDefault="00466837">
      <w:pPr>
        <w:spacing w:before="80" w:after="240" w:line="280" w:lineRule="auto"/>
        <w:jc w:val="center"/>
      </w:pPr>
      <w:r>
        <w:rPr>
          <w:b/>
          <w:bCs/>
          <w:color w:val="595959"/>
          <w:sz w:val="18"/>
          <w:szCs w:val="18"/>
        </w:rPr>
        <w:t xml:space="preserve">Table 5.4.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466837">
      <w:pPr>
        <w:spacing w:after="160" w:line="320" w:lineRule="auto"/>
        <w:jc w:val="both"/>
      </w:pPr>
      <w:r>
        <w:t>Two points are worth noting. First, B is consistently low outside disruption events — the median across 120 months is around 260 kbd in absolute value, on top of a USA-level flow scale of roughly 16,000 kbd of crude moving through the system, so the steady-state residual is around one-and-a-half percent of total throughput. The reporting system, in normal periods, closes well. Second, around named events B rises notably above the steady-state median — by a factor of two to three for the largest named disruptions in the modelled period. The framework preserves this signal; the spreadsheet workflow absorbs it.</w:t>
      </w:r>
      <w:proofErr w:type="spellStart"/>
      <w:r/>
      <w:proofErr w:type="spellEnd"/>
      <w:r/>
      <w:proofErr w:type="spellStart"/>
      <w:r/>
      <w:proofErr w:type="spellEnd"/>
      <w:r/>
    </w:p>
    <w:p w14:paraId="1B0EF3B5" w14:textId="77777777" w:rsidR="000754BC" w:rsidRDefault="00466837">
      <w:pPr>
        <w:pStyle w:val="Heading2"/>
        <w:spacing w:after="160"/>
      </w:pPr>
      <w:r>
        <w:t>5.6  What the comparison establishes</w:t>
      </w:r>
    </w:p>
    <w:p w14:paraId="27A830EF" w14:textId="77777777" w:rsidR="000754BC" w:rsidRDefault="00466837">
      <w:pPr>
        <w:spacing w:after="160" w:line="320" w:lineRule="auto"/>
        <w:jc w:val="both"/>
      </w:pPr>
      <w:r>
        <w:t>The two scenarios together establish three points about the framework relative to the dominant current technique.</w:t>
      </w:r>
    </w:p>
    <w:p w14:paraId="7A6A13EB" w14:textId="77777777" w:rsidR="000754BC" w:rsidRDefault="00466837">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466837">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466837">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466837">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466837">
      <w:pPr>
        <w:pageBreakBefore/>
      </w:pPr>
      <w:r>
        <w:rPr>
          <w:rFonts w:ascii="Cambria" w:eastAsia="Cambria" w:hAnsi="Cambria" w:cs="Cambria"/>
          <w:color w:val="2F5496"/>
        </w:rPr>
        <w:lastRenderedPageBreak/>
        <w:t>Chapter 6</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r>
        <w:t>6.1  Contribution</w:t>
      </w:r>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r>
        <w:t>6.2  Limitations</w:t>
      </w:r>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r>
        <w:t>6.3  Future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r>
        <w:t>6.4  Closing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r>
        <w:t>A.1  Schema</w:t>
      </w:r>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 carries the data attributes of nodes. Each variable has a type (production, consumption, inventory, balancing item, inflow, outflow), a commodity (crude, in the active scenario), an optional related_node_id (for inflow and outflow variables that reference another node), and a name that serves as a stable audit identifier.</w:t>
      </w:r>
      <w:r/>
      <w:proofErr w:type="spellStart"/>
      <w:r/>
      <w:proofErr w:type="spellEnd"/>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r>
        <w:t>A.2  The starter U.S. crude oil graph</w:t>
      </w:r>
    </w:p>
    <w:p w14:paraId="605B256E" w14:textId="77777777" w:rsidR="000754BC" w:rsidRDefault="00466837">
      <w:pPr>
        <w:spacing w:after="160" w:line="320" w:lineRule="auto"/>
        <w:jc w:val="both"/>
      </w:pPr>
      <w:r>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19</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33</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r>
        <w:t>A.3  The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Sum, arithmetic: evaluate the formula over its inputs in topological order and write the result with source naming the rule applied.</w:t>
      </w:r>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90 observed, 542 structural zero, 767 latent, 451 arithmetic, 5 sum, 15 reverse-mirror, 0 closure, 0 unresolved. The values are recomputed at every run; the audit trail (scenario_html_artefacts, scenario_resolved_values) records the run identifier and timestamp.</w:t>
      </w:r>
      <w:proofErr w:type="spellStart"/>
      <w:r/>
      <w:proofErr w:type="spellEnd"/>
      <w:r/>
      <w:proofErr w:type="spellStart"/>
      <w:r/>
      <w:proofErr w:type="spellEnd"/>
      <w:r/>
    </w:p>
    <w:p w14:paraId="4E563F9F" w14:textId="77777777" w:rsidR="000754BC" w:rsidRDefault="00466837">
      <w:pPr>
        <w:pStyle w:val="Heading2"/>
        <w:spacing w:after="160"/>
      </w:pPr>
      <w:r>
        <w:t>A.4  Consistency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Top 10 absolute values cluster on Aug 2017, Apr–Jun 2020, May 2021, 2022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MCRRIP3{A,B,C} and other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r>
        <w:t>C.1  Node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r>
        <w:t>C.2  Graph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466837">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r>
        <w:t>C.3  Temporal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r>
        <w:t>C.4  Why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1BB4" w14:textId="77777777" w:rsidR="00B62CBA" w:rsidRDefault="00B62CBA">
      <w:r>
        <w:separator/>
      </w:r>
    </w:p>
  </w:endnote>
  <w:endnote w:type="continuationSeparator" w:id="0">
    <w:p w14:paraId="083DED12" w14:textId="77777777" w:rsidR="00B62CBA" w:rsidRDefault="00B6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5717" w14:textId="77777777" w:rsidR="00B62CBA" w:rsidRDefault="00B62CBA">
      <w:r>
        <w:separator/>
      </w:r>
    </w:p>
  </w:footnote>
  <w:footnote w:type="continuationSeparator" w:id="0">
    <w:p w14:paraId="7D9D3060" w14:textId="77777777" w:rsidR="00B62CBA" w:rsidRDefault="00B62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0F6C0D"/>
    <w:rsid w:val="00150E24"/>
    <w:rsid w:val="00267FE8"/>
    <w:rsid w:val="0027165C"/>
    <w:rsid w:val="00290353"/>
    <w:rsid w:val="00382513"/>
    <w:rsid w:val="003B2BE0"/>
    <w:rsid w:val="003B5F7D"/>
    <w:rsid w:val="003D3ACA"/>
    <w:rsid w:val="003D7E05"/>
    <w:rsid w:val="00466837"/>
    <w:rsid w:val="004B717E"/>
    <w:rsid w:val="004F79CE"/>
    <w:rsid w:val="00566C19"/>
    <w:rsid w:val="005F20C9"/>
    <w:rsid w:val="00604AA2"/>
    <w:rsid w:val="0068249D"/>
    <w:rsid w:val="006A4D6E"/>
    <w:rsid w:val="006E45B9"/>
    <w:rsid w:val="007314D1"/>
    <w:rsid w:val="008134C3"/>
    <w:rsid w:val="00913C2A"/>
    <w:rsid w:val="00A052A1"/>
    <w:rsid w:val="00AD1560"/>
    <w:rsid w:val="00B62CBA"/>
    <w:rsid w:val="00D60ACB"/>
    <w:rsid w:val="00F62E7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16517</Words>
  <Characters>94149</Characters>
  <Application>Microsoft Office Word</Application>
  <DocSecurity>0</DocSecurity>
  <Lines>784</Lines>
  <Paragraphs>220</Paragraphs>
  <ScaleCrop>false</ScaleCrop>
  <Company/>
  <LinksUpToDate>false</LinksUpToDate>
  <CharactersWithSpaces>110446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10</cp:revision>
  <dcterms:created xsi:type="dcterms:W3CDTF">2026-05-22T15:01:00Z</dcterms:created>
  <dcterms:modified xsi:type="dcterms:W3CDTF">2026-05-22T15:53:00Z</dcterms:modified>
</cp:coreProperties>
</file>