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23</w:t>
      </w:r>
    </w:p>
    <w:p w14:paraId="4E249A37" w14:textId="77777777" w:rsidR="000754BC" w:rsidRDefault="00466837">
      <w:pPr>
        <w:tabs>
          <w:tab w:val="right" w:leader="dot" w:pos="9260"/>
        </w:tabs>
        <w:spacing w:before="30" w:after="30" w:line="280" w:lineRule="auto"/>
        <w:ind w:left="360"/>
      </w:pPr>
      <w:r>
        <w:t>5.2   Adding grade dimensions to basin production</w:t>
      </w:r>
      <w:r>
        <w:tab/>
        <w:t>23</w:t>
      </w:r>
    </w:p>
    <w:p w14:paraId="6D3D14FB" w14:textId="77777777" w:rsidR="000754BC" w:rsidRDefault="00466837">
      <w:pPr>
        <w:tabs>
          <w:tab w:val="right" w:leader="dot" w:pos="9260"/>
        </w:tabs>
        <w:spacing w:before="30" w:after="30" w:line="280" w:lineRule="auto"/>
        <w:ind w:left="360"/>
      </w:pPr>
      <w:r>
        <w:t>5.3   Refinery turnaround or unplanned outage</w:t>
      </w:r>
      <w:r>
        <w:tab/>
        <w:t>25</w:t>
      </w:r>
    </w:p>
    <w:p>
      <w:pPr>
        <w:tabs>
          <w:tab w:val="right" w:leader="dot" w:pos="9260"/>
        </w:tabs>
        <w:spacing w:before="30" w:after="30" w:line="280" w:lineRule="auto"/>
        <w:ind w:left="360"/>
      </w:pPr>
      <w:r>
        <w:t xml:space="preserve">5.4   Receiving Genscape pipeline data</w:t>
      </w:r>
      <w:r>
        <w:t xml:space="preserve">	26</w:t>
      </w:r>
    </w:p>
    <w:p w14:paraId="5B5ADBB1" w14:textId="77777777" w:rsidR="000754BC" w:rsidRDefault="00466837">
      <w:pPr>
        <w:tabs>
          <w:tab w:val="right" w:leader="dot" w:pos="9260"/>
        </w:tabs>
        <w:spacing w:before="30" w:after="30" w:line="280" w:lineRule="auto"/>
        <w:ind w:left="360"/>
      </w:pPr>
      <w:r>
        <w:t>5.5   Finding inconsistencies</w:t>
      </w:r>
      <w:r>
        <w:tab/>
        <w:t>28</w:t>
      </w:r>
    </w:p>
    <w:p w14:paraId="47AAEE8A" w14:textId="77777777" w:rsidR="000754BC" w:rsidRDefault="00466837">
      <w:pPr>
        <w:tabs>
          <w:tab w:val="right" w:leader="dot" w:pos="9260"/>
        </w:tabs>
        <w:spacing w:before="30" w:after="30" w:line="280" w:lineRule="auto"/>
        <w:ind w:left="360"/>
      </w:pPr>
      <w:r>
        <w:t>5.6   What the comparison establishes</w:t>
      </w:r>
      <w:r>
        <w:tab/>
        <w:t>29</w:t>
      </w:r>
    </w:p>
    <w:p w14:paraId="038E0ACA" w14:textId="77777777" w:rsidR="000754BC" w:rsidRDefault="00466837">
      <w:pPr>
        <w:tabs>
          <w:tab w:val="right" w:leader="dot" w:pos="9260"/>
        </w:tabs>
        <w:spacing w:before="120" w:after="60" w:line="280" w:lineRule="auto"/>
      </w:pPr>
      <w:r>
        <w:rPr>
          <w:b/>
          <w:bCs/>
        </w:rPr>
        <w:t>6   Conclusion and future work</w:t>
      </w:r>
      <w:r>
        <w:rPr>
          <w:b/>
          <w:bCs/>
        </w:rPr>
        <w:tab/>
        <w:t>31</w:t>
      </w:r>
    </w:p>
    <w:p w14:paraId="7B409503" w14:textId="77777777" w:rsidR="000754BC" w:rsidRDefault="00466837">
      <w:pPr>
        <w:tabs>
          <w:tab w:val="right" w:leader="dot" w:pos="9260"/>
        </w:tabs>
        <w:spacing w:before="30" w:after="30" w:line="280" w:lineRule="auto"/>
        <w:ind w:left="360"/>
      </w:pPr>
      <w:r>
        <w:t>6.1   Contribution</w:t>
      </w:r>
      <w:r>
        <w:tab/>
        <w:t>31</w:t>
      </w:r>
    </w:p>
    <w:p w14:paraId="77A185AE" w14:textId="77777777" w:rsidR="000754BC" w:rsidRDefault="00466837">
      <w:pPr>
        <w:tabs>
          <w:tab w:val="right" w:leader="dot" w:pos="9260"/>
        </w:tabs>
        <w:spacing w:before="30" w:after="30" w:line="280" w:lineRule="auto"/>
        <w:ind w:left="360"/>
      </w:pPr>
      <w:r>
        <w:t>6.2   Limitations</w:t>
      </w:r>
      <w:r>
        <w:tab/>
        <w:t>31</w:t>
      </w:r>
    </w:p>
    <w:p w14:paraId="0A924C24" w14:textId="77777777" w:rsidR="000754BC" w:rsidRDefault="00466837">
      <w:pPr>
        <w:tabs>
          <w:tab w:val="right" w:leader="dot" w:pos="9260"/>
        </w:tabs>
        <w:spacing w:before="30" w:after="30" w:line="280" w:lineRule="auto"/>
        <w:ind w:left="360"/>
      </w:pPr>
      <w:r>
        <w:t>6.3   Future work</w:t>
      </w:r>
      <w:r>
        <w:tab/>
        <w:t>32</w:t>
      </w:r>
    </w:p>
    <w:p w14:paraId="297FB228" w14:textId="77777777" w:rsidR="000754BC" w:rsidRDefault="00466837">
      <w:pPr>
        <w:tabs>
          <w:tab w:val="right" w:leader="dot" w:pos="9260"/>
        </w:tabs>
        <w:spacing w:before="30" w:after="30" w:line="280" w:lineRule="auto"/>
        <w:ind w:left="360"/>
      </w:pPr>
      <w:r>
        <w:t>6.4   Closing remarks</w:t>
      </w:r>
      <w:r>
        <w:tab/>
        <w:t>32</w:t>
      </w:r>
    </w:p>
    <w:p w14:paraId="22E28166" w14:textId="77777777" w:rsidR="000754BC" w:rsidRDefault="00466837">
      <w:pPr>
        <w:tabs>
          <w:tab w:val="right" w:leader="dot" w:pos="9260"/>
        </w:tabs>
        <w:spacing w:before="120" w:after="60" w:line="280" w:lineRule="auto"/>
      </w:pPr>
      <w:r>
        <w:rPr>
          <w:b/>
          <w:bCs/>
        </w:rPr>
        <w:t>References</w:t>
      </w:r>
      <w:r>
        <w:rPr>
          <w:b/>
          <w:bCs/>
        </w:rPr>
        <w:tab/>
        <w:t>34</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37</w:t>
      </w:r>
    </w:p>
    <w:p w14:paraId="37E0ECD2" w14:textId="77777777" w:rsidR="000754BC" w:rsidRDefault="00466837">
      <w:pPr>
        <w:tabs>
          <w:tab w:val="right" w:leader="dot" w:pos="9260"/>
        </w:tabs>
        <w:spacing w:before="30" w:after="30" w:line="280" w:lineRule="auto"/>
        <w:ind w:left="360"/>
      </w:pPr>
      <w:r>
        <w:t>A.1   Schema</w:t>
      </w:r>
      <w:r>
        <w:tab/>
        <w:t>37</w:t>
      </w:r>
    </w:p>
    <w:p w14:paraId="4AEA0789" w14:textId="77777777" w:rsidR="000754BC" w:rsidRDefault="00466837">
      <w:pPr>
        <w:tabs>
          <w:tab w:val="right" w:leader="dot" w:pos="9260"/>
        </w:tabs>
        <w:spacing w:before="30" w:after="30" w:line="280" w:lineRule="auto"/>
        <w:ind w:left="360"/>
      </w:pPr>
      <w:r>
        <w:t>A.2   The starter U.S. crude oil graph</w:t>
      </w:r>
      <w:r>
        <w:tab/>
        <w:t>37</w:t>
      </w:r>
    </w:p>
    <w:p w14:paraId="0F2FE50B" w14:textId="77777777" w:rsidR="000754BC" w:rsidRDefault="00466837">
      <w:pPr>
        <w:tabs>
          <w:tab w:val="right" w:leader="dot" w:pos="9260"/>
        </w:tabs>
        <w:spacing w:before="30" w:after="30" w:line="280" w:lineRule="auto"/>
        <w:ind w:left="360"/>
      </w:pPr>
      <w:r>
        <w:t>A.3   The resolver</w:t>
      </w:r>
      <w:r>
        <w:tab/>
        <w:t>39</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39</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41</w:t>
      </w:r>
    </w:p>
    <w:p w14:paraId="1A6F162C" w14:textId="77777777" w:rsidR="000754BC" w:rsidRDefault="00466837">
      <w:pPr>
        <w:tabs>
          <w:tab w:val="right" w:leader="dot" w:pos="9260"/>
        </w:tabs>
        <w:spacing w:before="30" w:after="30" w:line="280" w:lineRule="auto"/>
        <w:ind w:left="360"/>
      </w:pPr>
      <w:r>
        <w:t>B.1   Variable types</w:t>
      </w:r>
      <w:r>
        <w:tab/>
        <w:t>41</w:t>
      </w:r>
    </w:p>
    <w:p w14:paraId="32B245CA" w14:textId="77777777" w:rsidR="000754BC" w:rsidRDefault="00466837">
      <w:pPr>
        <w:tabs>
          <w:tab w:val="right" w:leader="dot" w:pos="9260"/>
        </w:tabs>
        <w:spacing w:before="30" w:after="30" w:line="280" w:lineRule="auto"/>
        <w:ind w:left="360"/>
      </w:pPr>
      <w:r>
        <w:t>B.2   Authoritative bindings by subsystem</w:t>
      </w:r>
      <w:r>
        <w:tab/>
        <w:t>41</w:t>
      </w:r>
    </w:p>
    <w:p w14:paraId="7C2C2BDF" w14:textId="77777777" w:rsidR="000754BC" w:rsidRDefault="00466837">
      <w:pPr>
        <w:tabs>
          <w:tab w:val="right" w:leader="dot" w:pos="9260"/>
        </w:tabs>
        <w:spacing w:before="30" w:after="30" w:line="280" w:lineRule="auto"/>
        <w:ind w:left="360"/>
      </w:pPr>
      <w:r>
        <w:t>B.3   Latent variables by location</w:t>
      </w:r>
      <w:r>
        <w:tab/>
        <w:t>42</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43</w:t>
      </w:r>
    </w:p>
    <w:p w14:paraId="0FB380F9" w14:textId="77777777" w:rsidR="000754BC" w:rsidRDefault="00466837">
      <w:pPr>
        <w:tabs>
          <w:tab w:val="right" w:leader="dot" w:pos="9260"/>
        </w:tabs>
        <w:spacing w:before="30" w:after="30" w:line="280" w:lineRule="auto"/>
        <w:ind w:left="360"/>
      </w:pPr>
      <w:r>
        <w:t>C.1   Node embeddings and message passing</w:t>
      </w:r>
      <w:r>
        <w:tab/>
        <w:t>43</w:t>
      </w:r>
    </w:p>
    <w:p w14:paraId="746788F3" w14:textId="77777777" w:rsidR="000754BC" w:rsidRDefault="00466837">
      <w:pPr>
        <w:tabs>
          <w:tab w:val="right" w:leader="dot" w:pos="9260"/>
        </w:tabs>
        <w:spacing w:before="30" w:after="30" w:line="280" w:lineRule="auto"/>
        <w:ind w:left="360"/>
      </w:pPr>
      <w:r>
        <w:t>C.2   Graph convolutional networks (GCN)</w:t>
      </w:r>
      <w:r>
        <w:tab/>
        <w:t>43</w:t>
      </w:r>
    </w:p>
    <w:p w14:paraId="42FDD0D5" w14:textId="77777777" w:rsidR="000754BC" w:rsidRDefault="00466837">
      <w:pPr>
        <w:tabs>
          <w:tab w:val="right" w:leader="dot" w:pos="9260"/>
        </w:tabs>
        <w:spacing w:before="30" w:after="30" w:line="280" w:lineRule="auto"/>
        <w:ind w:left="360"/>
      </w:pPr>
      <w:r>
        <w:t>C.3   Temporal extensions and hybrid architectures</w:t>
      </w:r>
      <w:r>
        <w:tab/>
        <w:t>43</w:t>
      </w:r>
    </w:p>
    <w:p w14:paraId="1E414D47" w14:textId="77777777" w:rsidR="000754BC" w:rsidRDefault="00466837">
      <w:pPr>
        <w:tabs>
          <w:tab w:val="right" w:leader="dot" w:pos="9260"/>
        </w:tabs>
        <w:spacing w:before="30" w:after="30" w:line="280" w:lineRule="auto"/>
        <w:ind w:left="360"/>
      </w:pPr>
      <w:r>
        <w:t>C.4   Why the framework is GNN-ready</w:t>
      </w:r>
      <w:r>
        <w:tab/>
        <w:t>44</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615B3C4D" w14:textId="77777777" w:rsidR="000754BC" w:rsidRDefault="00466837">
      <w:pPr>
        <w:tabs>
          <w:tab w:val="right" w:leader="dot" w:pos="9260"/>
        </w:tabs>
        <w:spacing w:before="120" w:after="60" w:line="280" w:lineRule="auto"/>
      </w:pPr>
      <w:r>
        <w:rPr>
          <w:b/>
          <w:bCs/>
        </w:rPr>
        <w:t xml:space="preserve">Figure 5.1   The same six million barrels in each method, with the per-grade extension</w:t>
      </w:r>
      <w:proofErr w:type="spellStart"/>
      <w:r>
        <w:rPr>
          <w:b/>
          <w:bCs/>
        </w:rPr>
        <w:t/>
      </w:r>
      <w:proofErr w:type="spellEnd"/>
      <w:r>
        <w:rPr>
          <w:b/>
          <w:bCs/>
        </w:rPr>
        <w:t xml:space="preserve"/>
      </w:r>
      <w:r>
        <w:rPr>
          <w:b/>
          <w:bCs/>
        </w:rPr>
        <w:tab/>
        <w:t>24</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Adding a grade dimension to basin production: comparison across three methods</w:t>
      </w:r>
      <w:r>
        <w:rPr>
          <w:b/>
          <w:bCs/>
        </w:rPr>
        <w:tab/>
        <w:t>23</w:t>
      </w:r>
    </w:p>
    <w:p w14:paraId="6A55C646" w14:textId="77777777" w:rsidR="000754BC" w:rsidRDefault="00466837">
      <w:pPr>
        <w:tabs>
          <w:tab w:val="right" w:leader="dot" w:pos="9260"/>
        </w:tabs>
        <w:spacing w:before="120" w:after="60" w:line="280" w:lineRule="auto"/>
      </w:pPr>
      <w:r>
        <w:rPr>
          <w:b/>
          <w:bCs/>
        </w:rPr>
        <w:t>Table 5.2   Modelling a refinery turnaround or unplanned outage: comparison across three methods</w:t>
      </w:r>
      <w:r>
        <w:rPr>
          <w:b/>
          <w:bCs/>
        </w:rPr>
        <w:tab/>
        <w:t>24</w:t>
      </w:r>
    </w:p>
    <w:p>
      <w:pPr>
        <w:tabs>
          <w:tab w:val="right" w:leader="dot" w:pos="9260"/>
        </w:tabs>
        <w:spacing w:before="120" w:after="60" w:line="280" w:lineRule="auto"/>
      </w:pPr>
      <w:r>
        <w:rPr>
          <w:b/>
        </w:rPr>
        <w:t xml:space="preserve">Table 5.3   Integrating Genscape daily pipeline-flow data: comparison across three methods for PADD 2</w:t>
      </w:r>
      <w:r>
        <w:t xml:space="preserve">	26</w:t>
      </w:r>
    </w:p>
    <w:p w14:paraId="77A45E24" w14:textId="77777777" w:rsidR="000754BC" w:rsidRDefault="00466837">
      <w:pPr>
        <w:tabs>
          <w:tab w:val="right" w:leader="dot" w:pos="9260"/>
        </w:tabs>
        <w:spacing w:before="120" w:after="60" w:line="280" w:lineRule="auto"/>
      </w:pPr>
      <w:r>
        <w:rPr>
          <w:b/>
          <w:bCs/>
        </w:rPr>
        <w:t>Table 5.3   Finding inconsistencies after a balance refresh: comparison across three methods</w:t>
      </w:r>
      <w:r>
        <w:rPr>
          <w:b/>
          <w:bCs/>
        </w:rPr>
        <w:tab/>
        <w:t>28</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592342E" w14:textId="77777777">
        <w:tc>
          <w:tcPr>
            <w:tcW w:w="5000" w:type="pct"/>
            <w:shd w:val="clear" w:color="auto" w:fill="F2F2F2"/>
            <w:tcMar>
              <w:top w:w="120" w:type="dxa"/>
              <w:left w:w="120" w:type="dxa"/>
              <w:bottom w:w="120" w:type="dxa"/>
              <w:right w:w="120" w:type="dxa"/>
            </w:tcMar>
          </w:tcPr>
          <w:p w14:paraId="3C871736" w14:textId="77777777" w:rsidR="00267FE8" w:rsidRDefault="00000000">
            <w:r>
              <w:rPr>
                <w:b/>
              </w:rPr>
              <w:t xml:space="preserve">Orthogonality. </w:t>
            </w:r>
            <w:r>
              <w:t>Keep the physical layer and the data layer separate. Data updates must not change the graph; structural changes must not require data revisions.</w:t>
            </w:r>
          </w:p>
        </w:tc>
      </w:tr>
    </w:tbl>
    <w:p w14:paraId="74E8A013" w14:textId="77777777" w:rsidR="00267FE8" w:rsidRDefault="00267FE8"/>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w:t>
      </w:r>
      <w:r>
        <w:lastRenderedPageBreak/>
        <w:t>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t>This orthogonality is the framework's primary contribution. The five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319DA044" w14:textId="77777777">
        <w:tc>
          <w:tcPr>
            <w:tcW w:w="5000" w:type="pct"/>
            <w:shd w:val="clear" w:color="auto" w:fill="F2F2F2"/>
            <w:tcMar>
              <w:top w:w="120" w:type="dxa"/>
              <w:left w:w="120" w:type="dxa"/>
              <w:bottom w:w="120" w:type="dxa"/>
              <w:right w:w="120" w:type="dxa"/>
            </w:tcMar>
          </w:tcPr>
          <w:p w14:paraId="1B51F12A" w14:textId="77777777" w:rsidR="00267FE8" w:rsidRDefault="00000000">
            <w:r>
              <w:rPr>
                <w:b/>
              </w:rPr>
              <w:t xml:space="preserve">Principle 1 — Assets as nodes. </w:t>
            </w:r>
            <w:r>
              <w:t>Every physical asset — refinery, pipeline, vessel, terminal, basin, gathering system — is a node carrying its own inventory and mass balance. Edges are flows; assets are not edge attributes.</w:t>
            </w:r>
          </w:p>
        </w:tc>
      </w:tr>
    </w:tbl>
    <w:p w14:paraId="071A198A" w14:textId="77777777" w:rsidR="00267FE8" w:rsidRDefault="00267FE8"/>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lastRenderedPageBreak/>
        <w:t>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670DADD4" w14:textId="77777777">
        <w:tc>
          <w:tcPr>
            <w:tcW w:w="5000" w:type="pct"/>
            <w:shd w:val="clear" w:color="auto" w:fill="F2F2F2"/>
            <w:tcMar>
              <w:top w:w="120" w:type="dxa"/>
              <w:left w:w="120" w:type="dxa"/>
              <w:bottom w:w="120" w:type="dxa"/>
              <w:right w:w="120" w:type="dxa"/>
            </w:tcMar>
          </w:tcPr>
          <w:p w14:paraId="0F526587" w14:textId="77777777" w:rsidR="00267FE8" w:rsidRDefault="00000000">
            <w:r>
              <w:rPr>
                <w:b/>
              </w:rPr>
              <w:t xml:space="preserve">Principle 2 — Mass balance with B. </w:t>
            </w:r>
            <w:r>
              <w:t>Every node satisfies ΔS = P + ΣF_in − C − ΣF_out + B. The balancing item B is a labelled, first-class variable — never an unlabelled adjustment column.</w:t>
            </w:r>
          </w:p>
        </w:tc>
      </w:tr>
    </w:tbl>
    <w:p w14:paraId="12D28A4A" w14:textId="77777777" w:rsidR="00267FE8" w:rsidRDefault="00267FE8"/>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 xml:space="preserve">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w:t>
      </w:r>
      <w:r>
        <w:lastRenderedPageBreak/>
        <w:t>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t>4.4  Observed or derived: single attribution at the schema level</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AA017EE" w14:textId="77777777">
        <w:tc>
          <w:tcPr>
            <w:tcW w:w="5000" w:type="pct"/>
            <w:shd w:val="clear" w:color="auto" w:fill="F2F2F2"/>
            <w:tcMar>
              <w:top w:w="120" w:type="dxa"/>
              <w:left w:w="120" w:type="dxa"/>
              <w:bottom w:w="120" w:type="dxa"/>
              <w:right w:w="120" w:type="dxa"/>
            </w:tcMar>
          </w:tcPr>
          <w:p w14:paraId="320FFE6B" w14:textId="42967BF5" w:rsidR="00267FE8" w:rsidRDefault="00000000">
            <w:r>
              <w:rPr>
                <w:b/>
              </w:rPr>
              <w:t xml:space="preserve">Principle 3 — Observed or derived. </w:t>
            </w:r>
            <w:r>
              <w:t xml:space="preserve">Every variable, in every scenario, is either observed (TS-bound) or derived (formula-bound) — never both. </w:t>
            </w:r>
          </w:p>
        </w:tc>
      </w:tr>
    </w:tbl>
    <w:p w14:paraId="5AC2BCC2" w14:textId="77777777" w:rsidR="00267FE8" w:rsidRDefault="00267FE8"/>
    <w:p w14:paraId="1EC51994" w14:textId="27DAB1F4" w:rsidR="000754BC" w:rsidRDefault="00466837" w:rsidP="00AD1560">
      <w:pPr>
        <w:spacing w:after="160" w:line="320" w:lineRule="auto"/>
        <w:jc w:val="both"/>
      </w:pP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1FFCFDB0" w:rsidR="000754BC" w:rsidRDefault="00AD1560">
      <w:pPr>
        <w:pStyle w:val="Heading2"/>
        <w:spacing w:after="160"/>
      </w:pPr>
      <w:r>
        <w:t>4.5 Latent</w:t>
      </w:r>
      <w:r w:rsidR="00466837">
        <w:t xml:space="preserve"> variables for unobserved flows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E5809BB" w14:textId="77777777">
        <w:tc>
          <w:tcPr>
            <w:tcW w:w="5000" w:type="pct"/>
            <w:shd w:val="clear" w:color="auto" w:fill="F2F2F2"/>
            <w:tcMar>
              <w:top w:w="120" w:type="dxa"/>
              <w:left w:w="120" w:type="dxa"/>
              <w:bottom w:w="120" w:type="dxa"/>
              <w:right w:w="120" w:type="dxa"/>
            </w:tcMar>
          </w:tcPr>
          <w:p w14:paraId="7BD03A43" w14:textId="77777777" w:rsidR="00267FE8" w:rsidRDefault="00000000">
            <w:r>
              <w:rPr>
                <w:b/>
              </w:rPr>
              <w:lastRenderedPageBreak/>
              <w:t xml:space="preserve">Principle 4 — Latent flows. </w:t>
            </w:r>
            <w:r>
              <w:t>Flows the data does not observe — junction splits, fan-outs, in-transit volumes — are declared as latent variables constrained by mass balance and capacity, not back-filled by ad-hoc allocation rules. Latent is not missing.</w:t>
            </w:r>
          </w:p>
        </w:tc>
      </w:tr>
    </w:tbl>
    <w:p w14:paraId="127A52A2" w14:textId="77777777" w:rsidR="00267FE8" w:rsidRDefault="00267FE8"/>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2F39F4A" w14:textId="77777777">
        <w:tc>
          <w:tcPr>
            <w:tcW w:w="5000" w:type="pct"/>
            <w:shd w:val="clear" w:color="auto" w:fill="F2F2F2"/>
            <w:tcMar>
              <w:top w:w="120" w:type="dxa"/>
              <w:left w:w="120" w:type="dxa"/>
              <w:bottom w:w="120" w:type="dxa"/>
              <w:right w:w="120" w:type="dxa"/>
            </w:tcMar>
          </w:tcPr>
          <w:p w14:paraId="79C0C287" w14:textId="55C7BE6A" w:rsidR="00267FE8" w:rsidRPr="007314D1" w:rsidRDefault="00000000">
            <w:pPr>
              <w:rPr>
                <w:bCs/>
              </w:rPr>
            </w:pPr>
            <w:r>
              <w:rPr>
                <w:b/>
              </w:rPr>
              <w:t xml:space="preserve">Principle 5 — </w:t>
            </w:r>
            <w:r w:rsidR="007314D1">
              <w:rPr>
                <w:bCs/>
              </w:rPr>
              <w:t>A</w:t>
            </w:r>
            <w:r w:rsidR="007314D1" w:rsidRPr="007314D1">
              <w:rPr>
                <w:bCs/>
              </w:rPr>
              <w:t>bstract nodes</w:t>
            </w:r>
            <w:r w:rsidR="00F62E71">
              <w:rPr>
                <w:bCs/>
              </w:rPr>
              <w:t xml:space="preserve"> do not have edges</w:t>
            </w:r>
            <w:r w:rsidRPr="007314D1">
              <w:rPr>
                <w:bCs/>
              </w:rPr>
              <w:t xml:space="preserve">. Administrative aggregates (PADDs, refining districts, basin rollups) are </w:t>
            </w:r>
            <w:r w:rsidR="00F62E71">
              <w:rPr>
                <w:bCs/>
              </w:rPr>
              <w:t>abstract nodes</w:t>
            </w:r>
            <w:r w:rsidRPr="007314D1">
              <w:rPr>
                <w:bCs/>
              </w:rPr>
              <w:t xml:space="preserve"> over physical nodes, not duplicate storage. Mixed-resolution data feeds in through these views without double-counting.</w:t>
            </w:r>
            <w:r w:rsidR="000F6C0D" w:rsidRPr="007314D1">
              <w:rPr>
                <w:bCs/>
              </w:rPr>
              <w:t xml:space="preserve"> </w:t>
            </w:r>
          </w:p>
        </w:tc>
      </w:tr>
    </w:tbl>
    <w:p w14:paraId="0732C99B" w14:textId="77777777" w:rsidR="00267FE8" w:rsidRDefault="00267FE8"/>
    <w:p w14:paraId="19EC93B5" w14:textId="77777777" w:rsidR="000754BC" w:rsidRDefault="00466837">
      <w:pPr>
        <w:spacing w:after="160" w:line="320" w:lineRule="auto"/>
        <w:jc w:val="both"/>
      </w:pPr>
      <w:r>
        <w:t xml:space="preserve">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w:t>
      </w:r>
      <w:r>
        <w:lastRenderedPageBreak/>
        <w:t>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4B13E76F" w:rsidR="000754BC" w:rsidRDefault="00F62E71">
      <w:pPr>
        <w:pStyle w:val="Heading2"/>
        <w:spacing w:after="160"/>
      </w:pPr>
      <w:r>
        <w:t>4.7 What</w:t>
      </w:r>
      <w:r w:rsidR="00466837">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 xml:space="preserve">The previous chapter set out the framework's design principles. This chapter compares the framework against the two dominant alternatives currently used to produce oil balances — the Excel spreadsheet workflow embedded in trading firms, consultancies, and government agencies, and the Python notebook workflow increasingly common on quantitative desks. The comparison is deliberately not about who produces a better single-month balance from the same data. On a fixed monthly EIA snapshot, all three methods, in the hands of a competent practitioner, arrive at approximately the same headline numbers. The interesting comparison is what happens when the world around the balance changes — when a new dimension is added to tracking, when a structural event breaks the assumptions the balance was built on, when a new data source becomes available, and when the analyst needs to verify that the balance is internally consistent.</w:t>
      </w:r>
    </w:p>
    <w:p w14:paraId="2BC7A79D" w14:textId="77777777" w:rsidR="000754BC" w:rsidRDefault="00466837">
      <w:pPr>
        <w:pStyle w:val="Heading2"/>
        <w:spacing w:after="160"/>
      </w:pPr>
      <w:r>
        <w:t>5.1  Setup</w:t>
      </w:r>
    </w:p>
    <w:p>
      <w:r>
        <w:t xml:space="preserve">Each of the four scenarios in this chapter is structured the same way. A one-sentence description of the change introduces what the desk is asked to do. Three method-narratives describe what each method does in response. A summary table compares the methods across five dimensions: what changes have to be made, how the analyst assesses the result, the rough order of analyst-hours consumed, the consistency risk level, and the kind of failure that occurs when the change is mishandled. The four scenarios in turn are: adding a grade dimension to basin production (§5.2); modelling a refinery turnaround or unplanned outage that breaks the monthly-average assumption (§5.3); receiving daily named-pipeline flow data from Genscape (§5.4); and finding inconsistencies after any of the above (§5.5). Section 5.6 aggregates the four scenarios into the headline claim.</w:t>
      </w:r>
    </w:p>
    <w:p>
      <w:r>
        <w:t xml:space="preserve">The hours and risk levels reported in the tables are rough order-of-magnitude estimates drawn from operational experience with all three method-types in commodity-analyst settings, not the result of a controlled experiment. The point of the comparison is the order-of-magnitude gap between methods on each change, not the precision of any single figure. A reader from outside oil-market analysis should be able to follow the comparisons from the tables alone; the surrounding prose provides the operational detail that makes the gap concrete.</w:t>
      </w:r>
    </w:p>
    <w:p w14:paraId="3CEA8D05" w14:textId="77777777" w:rsidR="000754BC" w:rsidRDefault="00466837">
      <w:pPr>
        <w:pStyle w:val="Heading2"/>
        <w:spacing w:after="160"/>
      </w:pPr>
      <w:r>
        <w:t>5.2  Adding grade dimensions to basin production</w:t>
      </w:r>
    </w:p>
    <w:p>
      <w:r>
        <w:t xml:space="preserve">The desk decides to track grades produced at each basin. WTI from the Permian, sweet light from the Eagle Ford, Bakken Light, ANS heavy, medium sour from the Gulf — each should become a tracked quantity through production, transport, storage, and refining. Aggregate barrels stay the same; the data dimension widens from {asset} to {asset, grade}.</w:t>
      </w:r>
    </w:p>
    <w:p>
      <w:r>
        <w:rPr>
          <w:b/>
        </w:rPr>
        <w:t xml:space="preserve">Excel spreadsheet. </w:t>
      </w:r>
      <w:r>
        <w:t xml:space="preserve">The existing workbook holds one column per balance line per PADD: production, runs, imports, exports, movements, stocks. Adding grades means each column duplicates by the grade dimension. Every formula must be edited. Reconciliation rules — every PADD-named-basin sum, every Jones Act in-transit allocation, every Cushing partition — must be redefined per grade. EIA per-grade reporting is sparser than aggregate, so new residual cells multiply (one per grade per PADD per balance line). The analyst's grade-allocation assumptions become embedded in formula cells, undocumented. Two analysts working from the same source data produce different grade-resolved balances because their allocation choices differ, and the differences are not visible in the totals.</w:t>
      </w:r>
    </w:p>
    <w:p>
      <w:r>
        <w:rPr>
          <w:b/>
        </w:rPr>
        <w:t xml:space="preserve">Pandas notebook. </w:t>
      </w:r>
      <w:r>
        <w:t xml:space="preserve">The DataFrame holding the balance is indexed by (date, PADD). Adding grades means widening the index to (date, PADD, grade), or pivoting to a wide format with grade-suffixed columns. Functions that transformed the aggregate balance must be rewritten to operate per grade. The new code can encapsulate allocation rules in functions rather than in cell formulas, which is more legible, but the rules themselves still have to be written and the grade definitions are bespoke to this notebook. Notebook state drift remains a risk: cells run out of order, intermediate state diverges. There is no schema-level enforcement, so a typo in a grade name silently creates a phantom grade rather than failing at the source.</w:t>
      </w:r>
    </w:p>
    <w:p>
      <w:r>
        <w:rPr>
          <w:b/>
        </w:rPr>
        <w:t xml:space="preserve">Framework. </w:t>
      </w:r>
      <w:r>
        <w:t xml:space="preserve">The asset graph stays bit-identical. The 251 nodes, the 433 directed edges, the partition tree, and the capacity ceilings do not change. What changes is one row in the commodities table (a few INSERTs) and the variables table widens from 1,870 rows to approximately 1,870 × N rows. Each new variable is either bound to a per-grade observed series (where published) or inherits the aggregate-level formula with the per-(node, grade) residual carried as B. Partition closure operates per (node, grade) automatically; v_aggregation_consistency flags any divergence per (node, grade). Mass balance closes per (node, grade) at every physical asset. The single-attribution CHECK constraint on variable_assignments applies per (variable_type, commodity, node), so a typo in a grade name fails at INSERT — it is unrepresentable.</w:t>
      </w:r>
    </w:p>
    <w:p>
      <w:r>
        <w:t xml:space="preserve">Figure 5.1 illustrates the asymmetry on a single asset — the Jones Act in-transit corridor `inter_padd_3_to_5_agg` — for visual clarity. The top panel shows each method's representation of the corridor at single-grade tracking, with the labelled stock in both columns. The bottom panel shows what happens when a grade dimension is added: the spreadsheet expands every column per grade and the in-transit row alone becomes a stack of per-grade residuals, while the framework's corridor node, edges, and capacity stay unchanged and only the variables widen.</w:t>
      </w:r>
    </w:p>
    <w:p>
      <w:pPr>
        <w:jc w:val="center"/>
      </w:pPr>
      <w:r>
        <w:drawing>
          <wp:inline xmlns:a="http://schemas.openxmlformats.org/drawingml/2006/main" xmlns:pic="http://schemas.openxmlformats.org/drawingml/2006/picture">
            <wp:extent cx="5486400" cy="4310743"/>
            <wp:docPr id="273708539" name="Picture 273708539"/>
            <wp:cNvGraphicFramePr>
              <a:graphicFrameLocks noChangeAspect="1"/>
            </wp:cNvGraphicFramePr>
            <a:graphic>
              <a:graphicData uri="http://schemas.openxmlformats.org/drawingml/2006/picture">
                <pic:pic>
                  <pic:nvPicPr>
                    <pic:cNvPr id="0" name="fig_5_1_jones_act_corridor.png"/>
                    <pic:cNvPicPr/>
                  </pic:nvPicPr>
                  <pic:blipFill>
                    <a:blip r:embed="rId14"/>
                    <a:stretch>
                      <a:fillRect/>
                    </a:stretch>
                  </pic:blipFill>
                  <pic:spPr>
                    <a:xfrm>
                      <a:off x="0" y="0"/>
                      <a:ext cx="5486400" cy="4310743"/>
                    </a:xfrm>
                    <a:prstGeom prst="rect"/>
                  </pic:spPr>
                </pic:pic>
              </a:graphicData>
            </a:graphic>
          </wp:inline>
        </w:drawing>
      </w:r>
    </w:p>
    <w:p>
      <w:r>
        <w:rPr>
          <w:i/>
        </w:rPr>
        <w:t xml:space="preserve">Figure 5.1. Adding a grade dimension to the balance, illustrated on a single asset. Top panel: each method's representation of the Jones Act in-transit corridor at single-grade tracking — a row in a flat table (spreadsheet) versus a node with neighbours, capacity, flow variables, and mass balance (framework). Bottom panel: what each method does when a grade dimension is added — the spreadsheet rebuilds every column per grade, while the framework keeps the same nodes and edges and widens only the variables table.</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40"/>
        <w:gridCol w:w="2340"/>
        <w:gridCol w:w="2340"/>
        <w:gridCol w:w="2340"/>
      </w:tblGrid>
      <w:tr>
        <w:tc>
          <w:tcPr>
            <w:tcW w:type="dxa" w:w="2340"/>
          </w:tcPr>
          <w:p>
            <w:r>
              <w:rPr>
                <w:b/>
              </w:rPr>
            </w:r>
          </w:p>
        </w:tc>
        <w:tc>
          <w:tcPr>
            <w:tcW w:type="dxa" w:w="2340"/>
          </w:tcPr>
          <w:p>
            <w:r>
              <w:rPr>
                <w:b/>
              </w:rPr>
              <w:t>Excel spreadsheet</w:t>
            </w:r>
          </w:p>
        </w:tc>
        <w:tc>
          <w:tcPr>
            <w:tcW w:type="dxa" w:w="2340"/>
          </w:tcPr>
          <w:p>
            <w:r>
              <w:rPr>
                <w:b/>
              </w:rPr>
              <w:t>Pandas notebook</w:t>
            </w:r>
          </w:p>
        </w:tc>
        <w:tc>
          <w:tcPr>
            <w:tcW w:type="dxa" w:w="2340"/>
          </w:tcPr>
          <w:p>
            <w:r>
              <w:rPr>
                <w:b/>
              </w:rPr>
              <w:t>Framework</w:t>
            </w:r>
          </w:p>
        </w:tc>
      </w:tr>
      <w:tr>
        <w:tc>
          <w:tcPr>
            <w:tcW w:type="dxa" w:w="2340"/>
          </w:tcPr>
          <w:p>
            <w:r>
              <w:t>What changes</w:t>
            </w:r>
          </w:p>
        </w:tc>
        <w:tc>
          <w:tcPr>
            <w:tcW w:type="dxa" w:w="2340"/>
          </w:tcPr>
          <w:p>
            <w:r>
              <w:t>Cross-tab structure; every formula; reconciliation rules; source sheets</w:t>
            </w:r>
          </w:p>
        </w:tc>
        <w:tc>
          <w:tcPr>
            <w:tcW w:type="dxa" w:w="2340"/>
          </w:tcPr>
          <w:p>
            <w:r>
              <w:t>DataFrame schema; every transformation; reconciliation; data loaders</w:t>
            </w:r>
          </w:p>
        </w:tc>
        <w:tc>
          <w:tcPr>
            <w:tcW w:type="dxa" w:w="2340"/>
          </w:tcPr>
          <w:p>
            <w:r>
              <w:t>Add rows to commodities; data-layer pass widens variables table</w:t>
            </w:r>
          </w:p>
        </w:tc>
      </w:tr>
      <w:tr>
        <w:tc>
          <w:tcPr>
            <w:tcW w:type="dxa" w:w="2340"/>
          </w:tcPr>
          <w:p>
            <w:r>
              <w:t>How to assess</w:t>
            </w:r>
          </w:p>
        </w:tc>
        <w:tc>
          <w:tcPr>
            <w:tcW w:type="dxa" w:w="2340"/>
          </w:tcPr>
          <w:p>
            <w:r>
              <w:t>Manual sum-checks; eyeballing residuals</w:t>
            </w:r>
          </w:p>
        </w:tc>
        <w:tc>
          <w:tcPr>
            <w:tcW w:type="dxa" w:w="2340"/>
          </w:tcPr>
          <w:p>
            <w:r>
              <w:t>Assertion cells; ad-hoc tests</w:t>
            </w:r>
          </w:p>
        </w:tc>
        <w:tc>
          <w:tcPr>
            <w:tcW w:type="dxa" w:w="2340"/>
          </w:tcPr>
          <w:p>
            <w:r>
              <w:t>v_aggregation_consistency reports per-(node, grade) divergence</w:t>
            </w:r>
          </w:p>
        </w:tc>
      </w:tr>
      <w:tr>
        <w:tc>
          <w:tcPr>
            <w:tcW w:type="dxa" w:w="2340"/>
          </w:tcPr>
          <w:p>
            <w:r>
              <w:t>Effort (rough)</w:t>
            </w:r>
          </w:p>
        </w:tc>
        <w:tc>
          <w:tcPr>
            <w:tcW w:type="dxa" w:w="2340"/>
          </w:tcPr>
          <w:p>
            <w:r>
              <w:t>60–120 h</w:t>
            </w:r>
          </w:p>
        </w:tc>
        <w:tc>
          <w:tcPr>
            <w:tcW w:type="dxa" w:w="2340"/>
          </w:tcPr>
          <w:p>
            <w:r>
              <w:t>30–60 h</w:t>
            </w:r>
          </w:p>
        </w:tc>
        <w:tc>
          <w:tcPr>
            <w:tcW w:type="dxa" w:w="2340"/>
          </w:tcPr>
          <w:p>
            <w:r>
              <w:t>4–8 h</w:t>
            </w:r>
          </w:p>
        </w:tc>
      </w:tr>
      <w:tr>
        <w:tc>
          <w:tcPr>
            <w:tcW w:type="dxa" w:w="2340"/>
          </w:tcPr>
          <w:p>
            <w:r>
              <w:t>Consistency risk</w:t>
            </w:r>
          </w:p>
        </w:tc>
        <w:tc>
          <w:tcPr>
            <w:tcW w:type="dxa" w:w="2340"/>
          </w:tcPr>
          <w:p>
            <w:r>
              <w:t>High — silent disagreement between analysts</w:t>
            </w:r>
          </w:p>
        </w:tc>
        <w:tc>
          <w:tcPr>
            <w:tcW w:type="dxa" w:w="2340"/>
          </w:tcPr>
          <w:p>
            <w:r>
              <w:t>Medium — visible but bespoke</w:t>
            </w:r>
          </w:p>
        </w:tc>
        <w:tc>
          <w:tcPr>
            <w:tcW w:type="dxa" w:w="2340"/>
          </w:tcPr>
          <w:p>
            <w:r>
              <w:t>Low — schema-enforced</w:t>
            </w:r>
          </w:p>
        </w:tc>
      </w:tr>
      <w:tr>
        <w:tc>
          <w:tcPr>
            <w:tcW w:type="dxa" w:w="2340"/>
          </w:tcPr>
          <w:p>
            <w:r>
              <w:t>Failure mode</w:t>
            </w:r>
          </w:p>
        </w:tc>
        <w:tc>
          <w:tcPr>
            <w:tcW w:type="dxa" w:w="2340"/>
          </w:tcPr>
          <w:p>
            <w:r>
              <w:t>Bottom row reads zero; divergence buried in residuals</w:t>
            </w:r>
          </w:p>
        </w:tc>
        <w:tc>
          <w:tcPr>
            <w:tcW w:type="dxa" w:w="2340"/>
          </w:tcPr>
          <w:p>
            <w:r>
              <w:t>Notebook state drift; coverage gaps in assertions</w:t>
            </w:r>
          </w:p>
        </w:tc>
        <w:tc>
          <w:tcPr>
            <w:tcW w:type="dxa" w:w="2340"/>
          </w:tcPr>
          <w:p>
            <w:r>
              <w:t>Inconsistency unrepresentable for constrained patterns</w:t>
            </w:r>
          </w:p>
        </w:tc>
      </w:tr>
    </w:tbl>
    <w:p>
      <w:r>
        <w:rPr>
          <w:i/>
        </w:rPr>
        <w:t xml:space="preserve">Table 5.1. Adding a grade dimension to basin production: comparison across three methods. The framework's asset graph stays unchanged; only the variables table widens by the number of grades. The spreadsheet and the notebook rebuild to varying degrees and run a higher consistency risk.</w:t>
      </w:r>
    </w:p>
    <w:p w14:paraId="0A246B4E" w14:textId="77777777" w:rsidR="000754BC" w:rsidRDefault="00466837">
      <w:pPr>
        <w:pStyle w:val="Heading2"/>
        <w:spacing w:after="160"/>
      </w:pPr>
      <w:r>
        <w:t>5.3  Refinery turnaround or unplanned outage</w:t>
      </w:r>
    </w:p>
    <w:p>
      <w:r>
        <w:t xml:space="preserve">A refinery enters an unplanned outage on day 5 of February and resumes operations on day 28. For twenty-three days the refinery's crude runs are zero; for the other five days they are at the design rate. The monthly EIA aggregate, which arrives at the end of March, reports the month-average runs — about 15% of nominal capacity. The desk needs to track the actual step-function in real time, because the question is not what February's average was; it is which Gulf Coast tank farms are filling up because their downstream offtake stopped, and whether crude vessels destined for the refinery were diverted to alternative receivers.</w:t>
      </w:r>
    </w:p>
    <w:p>
      <w:r>
        <w:rPr>
          <w:b/>
        </w:rPr>
        <w:t xml:space="preserve">Excel spreadsheet. </w:t>
      </w:r>
      <w:r>
        <w:t xml:space="preserve">The existing workbook is structured around monthly EIA series. The cells assume monthly resolution: one row per month, one column per asset. To track the daily step-function, the analyst must either build a parallel daily sheet for the affected refinery and its upstream tank farms — manually reconciling the daily figures with the EIA monthly aggregate when it arrives at month-end — or abandon the daily detail and accept that the monthly figure represents an average that misrepresents what actually happened. The first option is operationally correct; the second is what most workbooks default to. If the analyst chooses the first, the propagation to upstream tank farms is also manual: an inventory-accumulation formula on each affected tank farm sheet, with the rate change happening at the day of the outage and reversing at the day of the restart. Capacity ceilings are not checked automatically.</w:t>
      </w:r>
    </w:p>
    <w:p>
      <w:r>
        <w:rPr>
          <w:b/>
        </w:rPr>
        <w:t xml:space="preserve">Pandas notebook. </w:t>
      </w:r>
      <w:r>
        <w:t xml:space="preserve">The notebook holds the balance as a DataFrame indexed by date. Switching one asset to daily resolution while others remain monthly is technically straightforward — resample('M') aggregates the daily back to monthly, and joins between monthly and daily series can be done with pandas' alignment semantics. But the analyst still has to decide the resampling rule (mean? sum?), handle missing days (forward-fill? interpolation? raise an error?), and manage mixed-resolution joins where a monthly series is being compared against a daily-aggregated sum. The propagation logic must be written: if refinery X is offline for twenty-three days, what does that imply for tank farm Y's inventory? Mass balance is an assertion in code, not a structural property of the data model.</w:t>
      </w:r>
    </w:p>
    <w:p>
      <w:r>
        <w:rPr>
          <w:b/>
        </w:rPr>
        <w:t xml:space="preserve">Framework. </w:t>
      </w:r>
      <w:r>
        <w:t xml:space="preserve">The timeseries_data table already carries observations at any granularity — daily, weekly, monthly observations coexist in the same table. For the refinery TAR, the analyst binds a daily IIR Energy series to the refinery's consumption variable for the duration of the outage; the resolver dispatches the daily observations directly. Aggregation to the monthly figure is handled by the resolver's mean-over-window rule. Mass balance at the refinery node holds at the daily resolution, so the resolver propagates the consumption drop to the upstream tank farm's inventory accumulation automatically through the partition closure on the tank farm's mass-balance equation. The capacity ceiling on the tank farm is asset_capacities.capacity_bbl, and v_capacity_violations reports any day on which the implied tank farm inventory exceeds capacity. The single-attribution CHECK on variable_assignments ensures the daily series and the monthly EIA aggregate are not both bound to the same variable in the same scenario.</w:t>
      </w:r>
    </w:p>
    <w:p>
      <w:r>
        <w:t xml:space="preserve">Hurricane Harvey, August 2017, provides a documented example. The storm made landfall on the Texas Gulf Coast on 25 August 2017 as a Category 4 hurricane, and approximately 25% of U.S. refining capacity was offline at peak for periods ranging from several days to over two weeks. The PADD 3 monthly EIA balance for August 2017 produced an implied residual of +193 kbd that the spreadsheet workflow absorbs into an unlabelled adjustment cell and the framework retains as a labelled balancing item B on the PADD 3 node. The residual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 Section 5.5 returns to this point with a table of comparable spikes around COVID-19 (March 2020), the Colonial Pipeline shutdown (May 2021), and the Strategic Petroleum Reserve release (May 2022 peak).</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40"/>
        <w:gridCol w:w="2340"/>
        <w:gridCol w:w="2340"/>
        <w:gridCol w:w="2340"/>
      </w:tblGrid>
      <w:tr>
        <w:tc>
          <w:tcPr>
            <w:tcW w:type="dxa" w:w="2340"/>
          </w:tcPr>
          <w:p>
            <w:r>
              <w:rPr>
                <w:b/>
              </w:rPr>
            </w:r>
          </w:p>
        </w:tc>
        <w:tc>
          <w:tcPr>
            <w:tcW w:type="dxa" w:w="2340"/>
          </w:tcPr>
          <w:p>
            <w:r>
              <w:rPr>
                <w:b/>
              </w:rPr>
              <w:t>Excel spreadsheet</w:t>
            </w:r>
          </w:p>
        </w:tc>
        <w:tc>
          <w:tcPr>
            <w:tcW w:type="dxa" w:w="2340"/>
          </w:tcPr>
          <w:p>
            <w:r>
              <w:rPr>
                <w:b/>
              </w:rPr>
              <w:t>Pandas notebook</w:t>
            </w:r>
          </w:p>
        </w:tc>
        <w:tc>
          <w:tcPr>
            <w:tcW w:type="dxa" w:w="2340"/>
          </w:tcPr>
          <w:p>
            <w:r>
              <w:rPr>
                <w:b/>
              </w:rPr>
              <w:t>Framework</w:t>
            </w:r>
          </w:p>
        </w:tc>
      </w:tr>
      <w:tr>
        <w:tc>
          <w:tcPr>
            <w:tcW w:type="dxa" w:w="2340"/>
          </w:tcPr>
          <w:p>
            <w:r>
              <w:t>What changes</w:t>
            </w:r>
          </w:p>
        </w:tc>
        <w:tc>
          <w:tcPr>
            <w:tcW w:type="dxa" w:w="2340"/>
          </w:tcPr>
          <w:p>
            <w:r>
              <w:t>New daily sheets; reconciliation rules; inventory propagation formulas per asset</w:t>
            </w:r>
          </w:p>
        </w:tc>
        <w:tc>
          <w:tcPr>
            <w:tcW w:type="dxa" w:w="2340"/>
          </w:tcPr>
          <w:p>
            <w:r>
              <w:t>DataFrame schema; resampling logic; propagation functions</w:t>
            </w:r>
          </w:p>
        </w:tc>
        <w:tc>
          <w:tcPr>
            <w:tcW w:type="dxa" w:w="2340"/>
          </w:tcPr>
          <w:p>
            <w:r>
              <w:t>One INSERT into variable_assignments binding a daily series</w:t>
            </w:r>
          </w:p>
        </w:tc>
      </w:tr>
      <w:tr>
        <w:tc>
          <w:tcPr>
            <w:tcW w:type="dxa" w:w="2340"/>
          </w:tcPr>
          <w:p>
            <w:r>
              <w:t>How to assess</w:t>
            </w:r>
          </w:p>
        </w:tc>
        <w:tc>
          <w:tcPr>
            <w:tcW w:type="dxa" w:w="2340"/>
          </w:tcPr>
          <w:p>
            <w:r>
              <w:t>Manual sum-checks; eyeball inventory trajectories</w:t>
            </w:r>
          </w:p>
        </w:tc>
        <w:tc>
          <w:tcPr>
            <w:tcW w:type="dxa" w:w="2340"/>
          </w:tcPr>
          <w:p>
            <w:r>
              <w:t>Assertion suite; resampling-consistency checks</w:t>
            </w:r>
          </w:p>
        </w:tc>
        <w:tc>
          <w:tcPr>
            <w:tcW w:type="dxa" w:w="2340"/>
          </w:tcPr>
          <w:p>
            <w:r>
              <w:t>v_node_balance_check; v_capacity_violations</w:t>
            </w:r>
          </w:p>
        </w:tc>
      </w:tr>
      <w:tr>
        <w:tc>
          <w:tcPr>
            <w:tcW w:type="dxa" w:w="2340"/>
          </w:tcPr>
          <w:p>
            <w:r>
              <w:t>Effort (rough)</w:t>
            </w:r>
          </w:p>
        </w:tc>
        <w:tc>
          <w:tcPr>
            <w:tcW w:type="dxa" w:w="2340"/>
          </w:tcPr>
          <w:p>
            <w:r>
              <w:t>40–80 h setup + 4–8 h per event</w:t>
            </w:r>
          </w:p>
        </w:tc>
        <w:tc>
          <w:tcPr>
            <w:tcW w:type="dxa" w:w="2340"/>
          </w:tcPr>
          <w:p>
            <w:r>
              <w:t>20–40 h setup + 2–4 h per event</w:t>
            </w:r>
          </w:p>
        </w:tc>
        <w:tc>
          <w:tcPr>
            <w:tcW w:type="dxa" w:w="2340"/>
          </w:tcPr>
          <w:p>
            <w:r>
              <w:t>2–4 h per event</w:t>
            </w:r>
          </w:p>
        </w:tc>
      </w:tr>
      <w:tr>
        <w:tc>
          <w:tcPr>
            <w:tcW w:type="dxa" w:w="2340"/>
          </w:tcPr>
          <w:p>
            <w:r>
              <w:t>Consistency risk</w:t>
            </w:r>
          </w:p>
        </w:tc>
        <w:tc>
          <w:tcPr>
            <w:tcW w:type="dxa" w:w="2340"/>
          </w:tcPr>
          <w:p>
            <w:r>
              <w:t>High — daily/monthly drift; analyst-specific reconciliation rules</w:t>
            </w:r>
          </w:p>
        </w:tc>
        <w:tc>
          <w:tcPr>
            <w:tcW w:type="dxa" w:w="2340"/>
          </w:tcPr>
          <w:p>
            <w:r>
              <w:t>Medium — visible but bespoke; mixed-resolution semantics drift</w:t>
            </w:r>
          </w:p>
        </w:tc>
        <w:tc>
          <w:tcPr>
            <w:tcW w:type="dxa" w:w="2340"/>
          </w:tcPr>
          <w:p>
            <w:r>
              <w:t>Low — mass balance enforced per node per day; capacity ceilings queryable</w:t>
            </w:r>
          </w:p>
        </w:tc>
      </w:tr>
      <w:tr>
        <w:tc>
          <w:tcPr>
            <w:tcW w:type="dxa" w:w="2340"/>
          </w:tcPr>
          <w:p>
            <w:r>
              <w:t>Failure mode</w:t>
            </w:r>
          </w:p>
        </w:tc>
        <w:tc>
          <w:tcPr>
            <w:tcW w:type="dxa" w:w="2340"/>
          </w:tcPr>
          <w:p>
            <w:r>
              <w:t>Inventory ceiling breaches go undetected; reconciliation rules diverge between analysts</w:t>
            </w:r>
          </w:p>
        </w:tc>
        <w:tc>
          <w:tcPr>
            <w:tcW w:type="dxa" w:w="2340"/>
          </w:tcPr>
          <w:p>
            <w:r>
              <w:t>False-negative assertions; resampling-rule choices undocumented</w:t>
            </w:r>
          </w:p>
        </w:tc>
        <w:tc>
          <w:tcPr>
            <w:tcW w:type="dxa" w:w="2340"/>
          </w:tcPr>
          <w:p>
            <w:r>
              <w:t>Inconsistency unrepresentable for constrained patterns</w:t>
            </w:r>
          </w:p>
        </w:tc>
      </w:tr>
    </w:tbl>
    <w:p>
      <w:r>
        <w:rPr>
          <w:i/>
        </w:rPr>
        <w:t xml:space="preserve">Table 5.2. Modelling a refinery turnaround or unplanned outage: comparison across three methods. The framework binds the daily series to an existing node; propagation to upstream assets is automatic via mass balance. The spreadsheet and the notebook require setup work per asset plus per-event effort, with consistency enforcement left to the analyst.</w:t>
      </w:r>
    </w:p>
    <w:p>
      <w:pPr>
        <w:pStyle w:val="Heading2"/>
      </w:pPr>
      <w:r>
        <w:t xml:space="preserve">5.4  Receiving Genscape pipeline data</w:t>
      </w:r>
    </w:p>
    <w:p>
      <w:r>
        <w:t xml:space="preserve">The desk subscribes to Wood Mackenzie's Genscape service, which reports daily flow rates on named pipelines via electromagnetic sensors mounted on the lines themselves. Approximately 91% of capacity connected to the Cushing hub is covered, including the major Permian outbound (Gray Oak, Cactus II, BridgeTex, Midland-to-ECHO), the Cushing connectors (Seaway, Spearhead, Pony Express), and the U.S.-Canada border pipelines (Enbridge Mainline, Keystone). EIA continues to report only aggregate inter-PADD movements; Genscape gives a daily breakdown for the named pipelines.</w:t>
      </w:r>
    </w:p>
    <w:p>
      <w:r>
        <w:rPr>
          <w:b/>
        </w:rPr>
        <w:t xml:space="preserve">Excel spreadsheet. </w:t>
      </w:r>
      <w:r>
        <w:t xml:space="preserve">Adding Genscape data to a working EIA spreadsheet looks straightforward on first inspection — append columns, point the formulas at the new cells, recompute the balance — but the integration breaks on five distinct mismatches that the spreadsheet has no schema-level way to resolve. The frequencies disagree: Genscape reports daily, EIA monthly, and a pipeline that is down for four days mid-month leaves no trace in its monthly mean. The geographies disagree: Genscape names a pipeline (DAPL, Keystone), while EIA names a PADD pair, and a single EIA inter-PADD figure aggregates over an undisclosed set of pipelines, some of which Genscape names individually and some of which it does not. Double-counting becomes a live risk on every new column: if DAPL flows are appended as a separate series and the EIA PADD-2-to-PADD-3 movement series already incorporates them, every barrel on DAPL is now in the balance twice unless the analyst manually subtracts it from one side. Coverage is incomplete: the nine percent of Cushing-connected capacity that Genscape does not monitor still shows up in the EIA aggregate, so a residual-pipeline column has to be maintained by hand each month. And the integration is not stable: every time Genscape adds coverage of a new pipeline (Seminole-Red, EPIC Crude, the latest reversed segment), the analyst must add a column, decide which existing aggregate it should be subtracted from, and update the residual definition. None of these decisions are encoded; they live in the analyst's head and in the workbook's commented cells, and they evolve as personnel rotate.</w:t>
      </w:r>
    </w:p>
    <w:p>
      <w:r>
        <w:rPr>
          <w:b/>
        </w:rPr>
        <w:t xml:space="preserve">Pandas notebook. </w:t>
      </w:r>
      <w:r>
        <w:t xml:space="preserve">The notebook can ingest Genscape's API as a DataFrame and join with EIA aggregates. The structural advantages over Excel are real: the join logic is explicit code rather than hidden cell formulas; assertions can check that subtractions are applied; a function can encode the 'Genscape covers pipelines A, B, C; EIA aggregate is over A, B, C, D, E' mapping. But each new pipeline addition still requires updating the mapping function; the double-counting check is an assertion, not a structural property; mixed-resolution semantics (daily vs monthly) must be coded explicitly. As Genscape's coverage grows, the mapping function and the assertion suite must grow with it.</w:t>
      </w:r>
    </w:p>
    <w:p>
      <w:r>
        <w:rPr>
          <w:b/>
        </w:rPr>
        <w:t xml:space="preserve">Framework. </w:t>
      </w:r>
      <w:r>
        <w:t xml:space="preserve">Genscape data binds to existing pipeline nodes. For each pipeline Genscape names (DAPL, Keystone, Gray Oak, Cactus II, …), the framework already has a node in the asset graph; the daily flow series binds to that node's outflow variable. The aggregation view ties Genscape-bound pipeline flows to the PADD-view inflow/outflow variables through the partition formula on the PADD-view, so the EIA inter-PADD aggregate is automatically reconciled against the sum of named pipeline flows. The 9% coverage gap emerges as the difference on the PADD-view node automatically, carried as B at the PADD-view. The schema-level CHECK on single attribution prevents the double-counting failure mode: the same variable cannot be bound to both the Genscape series and the EIA aggregate; one is the source of value, the other is the constraint set against which v_aggregation_consistency reports divergence. For new pipeline coverage additions: add a TS binding on the existing pipeline node; the aggregation view picks it up automatically; the residual on the PADD-view rebalances automatically; no other code changes are required.</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40"/>
        <w:gridCol w:w="2340"/>
        <w:gridCol w:w="2340"/>
        <w:gridCol w:w="2340"/>
      </w:tblGrid>
      <w:tr>
        <w:tc>
          <w:tcPr>
            <w:tcW w:type="dxa" w:w="2340"/>
          </w:tcPr>
          <w:p>
            <w:r>
              <w:rPr>
                <w:b/>
              </w:rPr>
            </w:r>
          </w:p>
        </w:tc>
        <w:tc>
          <w:tcPr>
            <w:tcW w:type="dxa" w:w="2340"/>
          </w:tcPr>
          <w:p>
            <w:r>
              <w:rPr>
                <w:b/>
              </w:rPr>
              <w:t>Excel spreadsheet</w:t>
            </w:r>
          </w:p>
        </w:tc>
        <w:tc>
          <w:tcPr>
            <w:tcW w:type="dxa" w:w="2340"/>
          </w:tcPr>
          <w:p>
            <w:r>
              <w:rPr>
                <w:b/>
              </w:rPr>
              <w:t>Pandas notebook</w:t>
            </w:r>
          </w:p>
        </w:tc>
        <w:tc>
          <w:tcPr>
            <w:tcW w:type="dxa" w:w="2340"/>
          </w:tcPr>
          <w:p>
            <w:r>
              <w:rPr>
                <w:b/>
              </w:rPr>
              <w:t>Framework</w:t>
            </w:r>
          </w:p>
        </w:tc>
      </w:tr>
      <w:tr>
        <w:tc>
          <w:tcPr>
            <w:tcW w:type="dxa" w:w="2340"/>
          </w:tcPr>
          <w:p>
            <w:r>
              <w:t>What changes</w:t>
            </w:r>
          </w:p>
        </w:tc>
        <w:tc>
          <w:tcPr>
            <w:tcW w:type="dxa" w:w="2340"/>
          </w:tcPr>
          <w:p>
            <w:r>
              <w:t>Columns per pipeline; manual subtractions; residual definition</w:t>
            </w:r>
          </w:p>
        </w:tc>
        <w:tc>
          <w:tcPr>
            <w:tcW w:type="dxa" w:w="2340"/>
          </w:tcPr>
          <w:p>
            <w:r>
              <w:t>Join code; pipeline-to-aggregate mapping function; assertions</w:t>
            </w:r>
          </w:p>
        </w:tc>
        <w:tc>
          <w:tcPr>
            <w:tcW w:type="dxa" w:w="2340"/>
          </w:tcPr>
          <w:p>
            <w:r>
              <w:t>N INSERTs into variable_assignments (one per Genscape-named pipeline)</w:t>
            </w:r>
          </w:p>
        </w:tc>
      </w:tr>
      <w:tr>
        <w:tc>
          <w:tcPr>
            <w:tcW w:type="dxa" w:w="2340"/>
          </w:tcPr>
          <w:p>
            <w:r>
              <w:t>How to assess</w:t>
            </w:r>
          </w:p>
        </w:tc>
        <w:tc>
          <w:tcPr>
            <w:tcW w:type="dxa" w:w="2340"/>
          </w:tcPr>
          <w:p>
            <w:r>
              <w:t>Manual sum-checks; eyeball Genscape totals against EIA</w:t>
            </w:r>
          </w:p>
        </w:tc>
        <w:tc>
          <w:tcPr>
            <w:tcW w:type="dxa" w:w="2340"/>
          </w:tcPr>
          <w:p>
            <w:r>
              <w:t>Assertion suite; plots of Genscape sum vs EIA aggregate</w:t>
            </w:r>
          </w:p>
        </w:tc>
        <w:tc>
          <w:tcPr>
            <w:tcW w:type="dxa" w:w="2340"/>
          </w:tcPr>
          <w:p>
            <w:r>
              <w:t>v_aggregation_consistency reports divergence per (PADD, month)</w:t>
            </w:r>
          </w:p>
        </w:tc>
      </w:tr>
      <w:tr>
        <w:tc>
          <w:tcPr>
            <w:tcW w:type="dxa" w:w="2340"/>
          </w:tcPr>
          <w:p>
            <w:r>
              <w:t>Effort initial</w:t>
            </w:r>
          </w:p>
        </w:tc>
        <w:tc>
          <w:tcPr>
            <w:tcW w:type="dxa" w:w="2340"/>
          </w:tcPr>
          <w:p>
            <w:r>
              <w:t>20–40 h</w:t>
            </w:r>
          </w:p>
        </w:tc>
        <w:tc>
          <w:tcPr>
            <w:tcW w:type="dxa" w:w="2340"/>
          </w:tcPr>
          <w:p>
            <w:r>
              <w:t>15–30 h</w:t>
            </w:r>
          </w:p>
        </w:tc>
        <w:tc>
          <w:tcPr>
            <w:tcW w:type="dxa" w:w="2340"/>
          </w:tcPr>
          <w:p>
            <w:r>
              <w:t>N × 1–2 h</w:t>
            </w:r>
          </w:p>
        </w:tc>
      </w:tr>
      <w:tr>
        <w:tc>
          <w:tcPr>
            <w:tcW w:type="dxa" w:w="2340"/>
          </w:tcPr>
          <w:p>
            <w:r>
              <w:t>Effort per new pipeline</w:t>
            </w:r>
          </w:p>
        </w:tc>
        <w:tc>
          <w:tcPr>
            <w:tcW w:type="dxa" w:w="2340"/>
          </w:tcPr>
          <w:p>
            <w:r>
              <w:t>2–4 h</w:t>
            </w:r>
          </w:p>
        </w:tc>
        <w:tc>
          <w:tcPr>
            <w:tcW w:type="dxa" w:w="2340"/>
          </w:tcPr>
          <w:p>
            <w:r>
              <w:t>1–3 h</w:t>
            </w:r>
          </w:p>
        </w:tc>
        <w:tc>
          <w:tcPr>
            <w:tcW w:type="dxa" w:w="2340"/>
          </w:tcPr>
          <w:p>
            <w:r>
              <w:t>1–2 h</w:t>
            </w:r>
          </w:p>
        </w:tc>
      </w:tr>
      <w:tr>
        <w:tc>
          <w:tcPr>
            <w:tcW w:type="dxa" w:w="2340"/>
          </w:tcPr>
          <w:p>
            <w:r>
              <w:t>Consistency risk</w:t>
            </w:r>
          </w:p>
        </w:tc>
        <w:tc>
          <w:tcPr>
            <w:tcW w:type="dxa" w:w="2340"/>
          </w:tcPr>
          <w:p>
            <w:r>
              <w:t>High — silent double-counting; residual-definition drift</w:t>
            </w:r>
          </w:p>
        </w:tc>
        <w:tc>
          <w:tcPr>
            <w:tcW w:type="dxa" w:w="2340"/>
          </w:tcPr>
          <w:p>
            <w:r>
              <w:t>Medium — bespoke assertions; mapping-function staleness</w:t>
            </w:r>
          </w:p>
        </w:tc>
        <w:tc>
          <w:tcPr>
            <w:tcW w:type="dxa" w:w="2340"/>
          </w:tcPr>
          <w:p>
            <w:r>
              <w:t>Low — schema-enforced single attribution; coverage gap auto-flagged</w:t>
            </w:r>
          </w:p>
        </w:tc>
      </w:tr>
    </w:tbl>
    <w:p>
      <w:r>
        <w:rPr>
          <w:i/>
        </w:rPr>
        <w:t xml:space="preserve">Table 5.3. Integrating Genscape daily pipeline-flow data on top of EIA monthly aggregates: comparison across three methods. The framework binds each Genscape series to an existing pipeline node; the aggregation view reconciles automatically, and double-counting is unrepresentable. The spreadsheet and the notebook accumulate per-pipeline integration debt.</w:t>
      </w:r>
    </w:p>
    <w:p w14:paraId="3FDB683B" w14:textId="77777777" w:rsidR="000754BC" w:rsidRDefault="00466837">
      <w:pPr>
        <w:pStyle w:val="Heading2"/>
        <w:spacing w:after="160"/>
      </w:pPr>
      <w:r>
        <w:t>5.5  Finding inconsistencies</w:t>
      </w:r>
    </w:p>
    <w:p>
      <w:r>
        <w:t xml:space="preserve">After a month-end refresh of the balance — whether from monthly EIA, daily Genscape, or any combination — the desk needs to verify that the balance is internally consistent. Did all PADD-named-basin sums tie to PADD totals? Did all pipeline flows balance against inter-PADD aggregates? Did inventory changes match flow differences? Did any flow exceed its asset capacity? Did any variable get double-bound to two conflicting series? These are not exotic questions; they are the daily verification a desk does before relying on the balance.</w:t>
      </w:r>
    </w:p>
    <w:p>
      <w:r>
        <w:rPr>
          <w:b/>
        </w:rPr>
        <w:t xml:space="preserve">Excel spreadsheet. </w:t>
      </w:r>
      <w:r>
        <w:t xml:space="preserve">Inconsistency-finding in a spreadsheet is by manual inspection. The analyst writes one or more check sheets where critical sums are recomputed and the difference is displayed in a corner cell, often colour-coded if it exceeds a tolerance. The coverage is whatever the analyst remembers to check. A typical sequence is: PADD totals against named-basin sums; monthly stock changes against (production − consumption + imports − exports + movements_in − movements_out); refinery runs against the EIA refining-district aggregate. Outside the analyst's check sheets, inconsistencies are silent. When the workbook is handed over to a new analyst, the check coverage walks away with the previous one.</w:t>
      </w:r>
    </w:p>
    <w:p>
      <w:r>
        <w:rPr>
          <w:b/>
        </w:rPr>
        <w:t xml:space="preserve">Pandas notebook. </w:t>
      </w:r>
      <w:r>
        <w:t xml:space="preserve">Inconsistency-finding in a notebook is more systematic. The analyst writes assertion cells: assert (padd_sum == padd_total).all(); assert (stock_change == flows.sum()).all(). These assertions can be packaged as a test suite and run automatically on each balance refresh. Coverage is whatever the analyst writes — better than a spreadsheet's manual sheets but still bespoke. The Achilles' heel of assertion-based testing is false negatives: an assertion that's never run never catches anything. As the scenarios evolve — new grades, new pipelines, new outage models — the assertion suite must be maintained to keep pace. Notebook state drift means the same cell can produce different assertion outcomes across re-runs.</w:t>
      </w:r>
    </w:p>
    <w:p>
      <w:r>
        <w:rPr>
          <w:b/>
        </w:rPr>
        <w:t xml:space="preserve">Framework. </w:t>
      </w:r>
      <w:r>
        <w:t xml:space="preserve">Inconsistency-finding in the framework runs in two layers: schema-level enforcement at write time, and view-level audit at read time. The schema layer carries the CHECK constraint on num_nonnulls(timeseries_id, formula) = 1 on variable_assignments, foreign-key constraints across the asset graph, and trigger-enforced same-graph rules. The view layer materialises three consistency audits that re-run automatically when the resolver completes:</w:t>
      </w:r>
    </w:p>
    <w:p>
      <w:r>
        <w:t xml:space="preserve">v_aggregation_consistency reports any (node, variable_type) pair where the observed parent value disagrees with the sum of partition children, per observation date, with the magnitude of the disagreement quantified. v_resolution_anomalies reports resolver-level oddities — long forward-fill runs, negative derived values, partial dispatch (some children observed, some latent) — with severity ranked. v_capacity_violations reports any flow that exceeds the receiving or originating asset's capacity_bd ceiling.</w:t>
      </w:r>
    </w:p>
    <w:p>
      <w:r>
        <w:t xml:space="preserve">The schema enforcement is part of the database; the audit views are part of the resolver pipeline. Neither requires per-scenario setup. New grades, new pipelines, new outage observations — all are checked automatically by the same views without any change to the audit infrastructure. The framework's B series at the USA aggregate level also acts as a passive monitor of where the reporting system is and is not closing cleanly. Table 5.5 reports the absolute value of B at the USA aggregate around four named disruption events, alongside the ten-year median for comparison.</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40"/>
        <w:gridCol w:w="2340"/>
        <w:gridCol w:w="2340"/>
        <w:gridCol w:w="2340"/>
      </w:tblGrid>
      <w:tr>
        <w:tc>
          <w:tcPr>
            <w:tcW w:type="dxa" w:w="2340"/>
          </w:tcPr>
          <w:p>
            <w:r>
              <w:rPr>
                <w:b/>
              </w:rPr>
            </w:r>
          </w:p>
        </w:tc>
        <w:tc>
          <w:tcPr>
            <w:tcW w:type="dxa" w:w="2340"/>
          </w:tcPr>
          <w:p>
            <w:r>
              <w:rPr>
                <w:b/>
              </w:rPr>
              <w:t>Excel spreadsheet</w:t>
            </w:r>
          </w:p>
        </w:tc>
        <w:tc>
          <w:tcPr>
            <w:tcW w:type="dxa" w:w="2340"/>
          </w:tcPr>
          <w:p>
            <w:r>
              <w:rPr>
                <w:b/>
              </w:rPr>
              <w:t>Pandas notebook</w:t>
            </w:r>
          </w:p>
        </w:tc>
        <w:tc>
          <w:tcPr>
            <w:tcW w:type="dxa" w:w="2340"/>
          </w:tcPr>
          <w:p>
            <w:r>
              <w:rPr>
                <w:b/>
              </w:rPr>
              <w:t>Framework</w:t>
            </w:r>
          </w:p>
        </w:tc>
      </w:tr>
      <w:tr>
        <w:tc>
          <w:tcPr>
            <w:tcW w:type="dxa" w:w="2340"/>
          </w:tcPr>
          <w:p>
            <w:r>
              <w:t>What changes per scenario</w:t>
            </w:r>
          </w:p>
        </w:tc>
        <w:tc>
          <w:tcPr>
            <w:tcW w:type="dxa" w:w="2340"/>
          </w:tcPr>
          <w:p>
            <w:r>
              <w:t>New check sheets; tolerance tuning</w:t>
            </w:r>
          </w:p>
        </w:tc>
        <w:tc>
          <w:tcPr>
            <w:tcW w:type="dxa" w:w="2340"/>
          </w:tcPr>
          <w:p>
            <w:r>
              <w:t>New assertion cells; suite maintenance</w:t>
            </w:r>
          </w:p>
        </w:tc>
        <w:tc>
          <w:tcPr>
            <w:tcW w:type="dxa" w:w="2340"/>
          </w:tcPr>
          <w:p>
            <w:r>
              <w:t>Nothing — built into schema + resolver pipeline</w:t>
            </w:r>
          </w:p>
        </w:tc>
      </w:tr>
      <w:tr>
        <w:tc>
          <w:tcPr>
            <w:tcW w:type="dxa" w:w="2340"/>
          </w:tcPr>
          <w:p>
            <w:r>
              <w:t>How to assess</w:t>
            </w:r>
          </w:p>
        </w:tc>
        <w:tc>
          <w:tcPr>
            <w:tcW w:type="dxa" w:w="2340"/>
          </w:tcPr>
          <w:p>
            <w:r>
              <w:t>Read check sheets visually</w:t>
            </w:r>
          </w:p>
        </w:tc>
        <w:tc>
          <w:tcPr>
            <w:tcW w:type="dxa" w:w="2340"/>
          </w:tcPr>
          <w:p>
            <w:r>
              <w:t>Run test suite; inspect failures</w:t>
            </w:r>
          </w:p>
        </w:tc>
        <w:tc>
          <w:tcPr>
            <w:tcW w:type="dxa" w:w="2340"/>
          </w:tcPr>
          <w:p>
            <w:r>
              <w:t>Query v_aggregation_consistency, v_resolution_anomalies, v_capacity_violations</w:t>
            </w:r>
          </w:p>
        </w:tc>
      </w:tr>
      <w:tr>
        <w:tc>
          <w:tcPr>
            <w:tcW w:type="dxa" w:w="2340"/>
          </w:tcPr>
          <w:p>
            <w:r>
              <w:t>Effort initial</w:t>
            </w:r>
          </w:p>
        </w:tc>
        <w:tc>
          <w:tcPr>
            <w:tcW w:type="dxa" w:w="2340"/>
          </w:tcPr>
          <w:p>
            <w:r>
              <w:t>5–20 h</w:t>
            </w:r>
          </w:p>
        </w:tc>
        <w:tc>
          <w:tcPr>
            <w:tcW w:type="dxa" w:w="2340"/>
          </w:tcPr>
          <w:p>
            <w:r>
              <w:t>10–30 h</w:t>
            </w:r>
          </w:p>
        </w:tc>
        <w:tc>
          <w:tcPr>
            <w:tcW w:type="dxa" w:w="2340"/>
          </w:tcPr>
          <w:p>
            <w:r>
              <w:t>0 h (built-in)</w:t>
            </w:r>
          </w:p>
        </w:tc>
      </w:tr>
      <w:tr>
        <w:tc>
          <w:tcPr>
            <w:tcW w:type="dxa" w:w="2340"/>
          </w:tcPr>
          <w:p>
            <w:r>
              <w:t>Effort per scenario change</w:t>
            </w:r>
          </w:p>
        </w:tc>
        <w:tc>
          <w:tcPr>
            <w:tcW w:type="dxa" w:w="2340"/>
          </w:tcPr>
          <w:p>
            <w:r>
              <w:t>1–2 h per month</w:t>
            </w:r>
          </w:p>
        </w:tc>
        <w:tc>
          <w:tcPr>
            <w:tcW w:type="dxa" w:w="2340"/>
          </w:tcPr>
          <w:p>
            <w:r>
              <w:t>2–5 h per scenario</w:t>
            </w:r>
          </w:p>
        </w:tc>
        <w:tc>
          <w:tcPr>
            <w:tcW w:type="dxa" w:w="2340"/>
          </w:tcPr>
          <w:p>
            <w:r>
              <w:t>0 h</w:t>
            </w:r>
          </w:p>
        </w:tc>
      </w:tr>
      <w:tr>
        <w:tc>
          <w:tcPr>
            <w:tcW w:type="dxa" w:w="2340"/>
          </w:tcPr>
          <w:p>
            <w:r>
              <w:t>Consistency risk</w:t>
            </w:r>
          </w:p>
        </w:tc>
        <w:tc>
          <w:tcPr>
            <w:tcW w:type="dxa" w:w="2340"/>
          </w:tcPr>
          <w:p>
            <w:r>
              <w:t>High — silent coverage gaps; analyst-specific tolerances</w:t>
            </w:r>
          </w:p>
        </w:tc>
        <w:tc>
          <w:tcPr>
            <w:tcW w:type="dxa" w:w="2340"/>
          </w:tcPr>
          <w:p>
            <w:r>
              <w:t>Medium — false-negative assertions; coverage gaps where assertions are missing</w:t>
            </w:r>
          </w:p>
        </w:tc>
        <w:tc>
          <w:tcPr>
            <w:tcW w:type="dxa" w:w="2340"/>
          </w:tcPr>
          <w:p>
            <w:r>
              <w:t>Low — schema-level CHECKs + automatic audit views</w:t>
            </w:r>
          </w:p>
        </w:tc>
      </w:tr>
    </w:tbl>
    <w:p>
      <w:r>
        <w:rPr>
          <w:i/>
        </w:rPr>
        <w:t xml:space="preserve">Table 5.4. Finding inconsistencies after a balance refresh: comparison across three methods. The framework's consistency-audit infrastructure is built into the schema and the resolver pipeline; it requires zero per-scenario setup. The spreadsheet and the notebook require per-scenario test infrastructure that the analyst maintains.</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40"/>
        <w:gridCol w:w="2340"/>
        <w:gridCol w:w="2340"/>
        <w:gridCol w:w="2340"/>
      </w:tblGrid>
      <w:tr>
        <w:tc>
          <w:tcPr>
            <w:tcW w:type="dxa" w:w="2340"/>
          </w:tcPr>
          <w:p>
            <w:r>
              <w:rPr>
                <w:b/>
              </w:rPr>
              <w:t>Event</w:t>
            </w:r>
          </w:p>
        </w:tc>
        <w:tc>
          <w:tcPr>
            <w:tcW w:type="dxa" w:w="2340"/>
          </w:tcPr>
          <w:p>
            <w:r>
              <w:rPr>
                <w:b/>
              </w:rPr>
              <w:t>Month</w:t>
            </w:r>
          </w:p>
        </w:tc>
        <w:tc>
          <w:tcPr>
            <w:tcW w:type="dxa" w:w="2340"/>
          </w:tcPr>
          <w:p>
            <w:r>
              <w:rPr>
                <w:b/>
              </w:rPr>
              <w:t>|B| at USA agg (kbd)</w:t>
            </w:r>
          </w:p>
        </w:tc>
        <w:tc>
          <w:tcPr>
            <w:tcW w:type="dxa" w:w="2340"/>
          </w:tcPr>
          <w:p>
            <w:r>
              <w:rPr>
                <w:b/>
              </w:rPr>
              <w:t>Multiple of median</w:t>
            </w:r>
          </w:p>
        </w:tc>
      </w:tr>
      <w:tr>
        <w:tc>
          <w:tcPr>
            <w:tcW w:type="dxa" w:w="2340"/>
          </w:tcPr>
          <w:p>
            <w:r>
              <w:t>Median, all months 2015–2024 (baseline)</w:t>
            </w:r>
          </w:p>
        </w:tc>
        <w:tc>
          <w:tcPr>
            <w:tcW w:type="dxa" w:w="2340"/>
          </w:tcPr>
          <w:p>
            <w:r>
              <w:t>—</w:t>
            </w:r>
          </w:p>
        </w:tc>
        <w:tc>
          <w:tcPr>
            <w:tcW w:type="dxa" w:w="2340"/>
          </w:tcPr>
          <w:p>
            <w:r>
              <w:t>~260</w:t>
            </w:r>
          </w:p>
        </w:tc>
        <w:tc>
          <w:tcPr>
            <w:tcW w:type="dxa" w:w="2340"/>
          </w:tcPr>
          <w:p>
            <w:r>
              <w:t>1.0×</w:t>
            </w:r>
          </w:p>
        </w:tc>
      </w:tr>
      <w:tr>
        <w:tc>
          <w:tcPr>
            <w:tcW w:type="dxa" w:w="2340"/>
          </w:tcPr>
          <w:p>
            <w:r>
              <w:t>Hurricane Harvey</w:t>
            </w:r>
          </w:p>
        </w:tc>
        <w:tc>
          <w:tcPr>
            <w:tcW w:type="dxa" w:w="2340"/>
          </w:tcPr>
          <w:p>
            <w:r>
              <w:t>Aug 2017</w:t>
            </w:r>
          </w:p>
        </w:tc>
        <w:tc>
          <w:tcPr>
            <w:tcW w:type="dxa" w:w="2340"/>
          </w:tcPr>
          <w:p>
            <w:r>
              <w:t>~145</w:t>
            </w:r>
          </w:p>
        </w:tc>
        <w:tc>
          <w:tcPr>
            <w:tcW w:type="dxa" w:w="2340"/>
          </w:tcPr>
          <w:p>
            <w:r>
              <w:t>0.6×</w:t>
            </w:r>
          </w:p>
        </w:tc>
      </w:tr>
      <w:tr>
        <w:tc>
          <w:tcPr>
            <w:tcW w:type="dxa" w:w="2340"/>
          </w:tcPr>
          <w:p>
            <w:r>
              <w:t>COVID-19 demand collapse</w:t>
            </w:r>
          </w:p>
        </w:tc>
        <w:tc>
          <w:tcPr>
            <w:tcW w:type="dxa" w:w="2340"/>
          </w:tcPr>
          <w:p>
            <w:r>
              <w:t>Mar 2020</w:t>
            </w:r>
          </w:p>
        </w:tc>
        <w:tc>
          <w:tcPr>
            <w:tcW w:type="dxa" w:w="2340"/>
          </w:tcPr>
          <w:p>
            <w:r>
              <w:t>~748</w:t>
            </w:r>
          </w:p>
        </w:tc>
        <w:tc>
          <w:tcPr>
            <w:tcW w:type="dxa" w:w="2340"/>
          </w:tcPr>
          <w:p>
            <w:r>
              <w:t>2.9×</w:t>
            </w:r>
          </w:p>
        </w:tc>
      </w:tr>
      <w:tr>
        <w:tc>
          <w:tcPr>
            <w:tcW w:type="dxa" w:w="2340"/>
          </w:tcPr>
          <w:p>
            <w:r>
              <w:t>Colonial Pipeline shutdown</w:t>
            </w:r>
          </w:p>
        </w:tc>
        <w:tc>
          <w:tcPr>
            <w:tcW w:type="dxa" w:w="2340"/>
          </w:tcPr>
          <w:p>
            <w:r>
              <w:t>May 2021</w:t>
            </w:r>
          </w:p>
        </w:tc>
        <w:tc>
          <w:tcPr>
            <w:tcW w:type="dxa" w:w="2340"/>
          </w:tcPr>
          <w:p>
            <w:r>
              <w:t>~596</w:t>
            </w:r>
          </w:p>
        </w:tc>
        <w:tc>
          <w:tcPr>
            <w:tcW w:type="dxa" w:w="2340"/>
          </w:tcPr>
          <w:p>
            <w:r>
              <w:t>2.3×</w:t>
            </w:r>
          </w:p>
        </w:tc>
      </w:tr>
      <w:tr>
        <w:tc>
          <w:tcPr>
            <w:tcW w:type="dxa" w:w="2340"/>
          </w:tcPr>
          <w:p>
            <w:r>
              <w:t>Strategic Petroleum Reserve release</w:t>
            </w:r>
          </w:p>
        </w:tc>
        <w:tc>
          <w:tcPr>
            <w:tcW w:type="dxa" w:w="2340"/>
          </w:tcPr>
          <w:p>
            <w:r>
              <w:t>May 2022 (peak)</w:t>
            </w:r>
          </w:p>
        </w:tc>
        <w:tc>
          <w:tcPr>
            <w:tcW w:type="dxa" w:w="2340"/>
          </w:tcPr>
          <w:p>
            <w:r>
              <w:t>~427</w:t>
            </w:r>
          </w:p>
        </w:tc>
        <w:tc>
          <w:tcPr>
            <w:tcW w:type="dxa" w:w="2340"/>
          </w:tcPr>
          <w:p>
            <w:r>
              <w:t>1.7×</w:t>
            </w:r>
          </w:p>
        </w:tc>
      </w:tr>
    </w:tbl>
    <w:p>
      <w:r>
        <w:rPr>
          <w:i/>
        </w:rPr>
        <w:t xml:space="preserve">Table 5.5. Absolute value of the balancing item B at the USA aggregate around named disruption events, compared with the ten-year median. The framework retains B as a first-class labelled variable, so spikes around named events are visible in the resolved output without bespoke audit code. The spreadsheet workflow absorbs the same residual into an unlabelled adjustment cell. Hurricane Harvey at the USA aggregate is the partial exception: its national signal is partly cancelled by offsetting flows between PADD 3 and the rest of the country, while the per-PADD signal documented in §5.3 remains clear.</w:t>
      </w:r>
    </w:p>
    <w:p w14:paraId="1B0EF3B5" w14:textId="77777777" w:rsidR="000754BC" w:rsidRDefault="00466837">
      <w:pPr>
        <w:pStyle w:val="Heading2"/>
        <w:spacing w:after="160"/>
      </w:pPr>
      <w:r>
        <w:t>5.6  What the comparison establishes</w:t>
      </w:r>
    </w:p>
    <w:p>
      <w:r>
        <w:t xml:space="preserve">The four scenarios establish a consistent pattern. The cost of evolving the balance, measured in analyst-hours, differs by one or two orders of magnitude between the framework and either of the alternatives, summarised in Table 5.6.</w:t>
      </w:r>
    </w:p>
    <w:p>
      <w:r>
        <w:t xml:space="preserve">What drives the gap is not technical sophistication. A competent Python notebook can do everything a spreadsheet can do and more — modular code, version control, programmatic assertions, mixed-resolution joins. The notebook's advantage over the spreadsheet on every scenario is genuine. The framework's advantage over the notebook is genuine in turn, but it has a different character: it is structural rather than operational. The framework enforces single attribution, partition closure, and capacity constraints at the database level, before any code runs. The notebook can replicate these checks as assertions, but the assertions are bespoke per scenario, depend on the analyst remembering to write them, and can be silently bypassed when the notebook is re-run with stale state.</w:t>
      </w:r>
    </w:p>
    <w:p>
      <w:r>
        <w:t xml:space="preserve">The cost asymmetry compounds because the four scenarios are rarely encountered in isolation. A real desk does all four changes in a single quarter — adds grade tracking for a specific basin, models a Gulf Coast TAR, integrates Genscape coverage on the Permian outbound complex, and runs consistency audits monthly. The framework's setup cost is one-time and structural; the alternatives' setup cost is per-scenario and additive. Over a year of operational use, the gap is not 60–120 hours versus 4–8 hours on grades; it is the sum across all scenarios that the desk encounters, with consistency risk compounding silently in the alternatives.</w:t>
      </w:r>
    </w:p>
    <w:p>
      <w:r>
        <w:t xml:space="preserve">The framework is not a methodologically more sophisticated balance — it produces the same monthly aggregate values from the same EIA series in steady state. It is a representation that absorbs change without requiring rebuild, and that enforces consistency at the schema level rather than relying on analyst vigilance. The thesis claim is that this is the structural property a representation should have for production use in a setting where balances evolve continuously and consistency failures are operationally costly.</w:t>
      </w:r>
    </w:p>
    <w:tbl>
      <w:tblPr>
        <w:tblW w:type="auto" w:w="0"/>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40"/>
        <w:gridCol w:w="2340"/>
        <w:gridCol w:w="2340"/>
        <w:gridCol w:w="2340"/>
      </w:tblGrid>
      <w:tr>
        <w:tc>
          <w:tcPr>
            <w:tcW w:type="dxa" w:w="2340"/>
          </w:tcPr>
          <w:p>
            <w:r>
              <w:rPr>
                <w:b/>
              </w:rPr>
              <w:t>Scenario</w:t>
            </w:r>
          </w:p>
        </w:tc>
        <w:tc>
          <w:tcPr>
            <w:tcW w:type="dxa" w:w="2340"/>
          </w:tcPr>
          <w:p>
            <w:r>
              <w:rPr>
                <w:b/>
              </w:rPr>
              <w:t>Excel spreadsheet</w:t>
            </w:r>
          </w:p>
        </w:tc>
        <w:tc>
          <w:tcPr>
            <w:tcW w:type="dxa" w:w="2340"/>
          </w:tcPr>
          <w:p>
            <w:r>
              <w:rPr>
                <w:b/>
              </w:rPr>
              <w:t>Pandas notebook</w:t>
            </w:r>
          </w:p>
        </w:tc>
        <w:tc>
          <w:tcPr>
            <w:tcW w:type="dxa" w:w="2340"/>
          </w:tcPr>
          <w:p>
            <w:r>
              <w:rPr>
                <w:b/>
              </w:rPr>
              <w:t>Framework</w:t>
            </w:r>
          </w:p>
        </w:tc>
      </w:tr>
      <w:tr>
        <w:tc>
          <w:tcPr>
            <w:tcW w:type="dxa" w:w="2340"/>
          </w:tcPr>
          <w:p>
            <w:r>
              <w:t>1. Adding grade dimensions to basin production</w:t>
            </w:r>
          </w:p>
        </w:tc>
        <w:tc>
          <w:tcPr>
            <w:tcW w:type="dxa" w:w="2340"/>
          </w:tcPr>
          <w:p>
            <w:r>
              <w:t>60–120 h</w:t>
            </w:r>
          </w:p>
        </w:tc>
        <w:tc>
          <w:tcPr>
            <w:tcW w:type="dxa" w:w="2340"/>
          </w:tcPr>
          <w:p>
            <w:r>
              <w:t>30–60 h</w:t>
            </w:r>
          </w:p>
        </w:tc>
        <w:tc>
          <w:tcPr>
            <w:tcW w:type="dxa" w:w="2340"/>
          </w:tcPr>
          <w:p>
            <w:r>
              <w:t>4–8 h</w:t>
            </w:r>
          </w:p>
        </w:tc>
      </w:tr>
      <w:tr>
        <w:tc>
          <w:tcPr>
            <w:tcW w:type="dxa" w:w="2340"/>
          </w:tcPr>
          <w:p>
            <w:r>
              <w:t>2. Refinery TAR / unplanned outage</w:t>
            </w:r>
          </w:p>
        </w:tc>
        <w:tc>
          <w:tcPr>
            <w:tcW w:type="dxa" w:w="2340"/>
          </w:tcPr>
          <w:p>
            <w:r>
              <w:t>40–80 h + 4–8 h per event</w:t>
            </w:r>
          </w:p>
        </w:tc>
        <w:tc>
          <w:tcPr>
            <w:tcW w:type="dxa" w:w="2340"/>
          </w:tcPr>
          <w:p>
            <w:r>
              <w:t>20–40 h + 2–4 h per event</w:t>
            </w:r>
          </w:p>
        </w:tc>
        <w:tc>
          <w:tcPr>
            <w:tcW w:type="dxa" w:w="2340"/>
          </w:tcPr>
          <w:p>
            <w:r>
              <w:t>2–4 h per event</w:t>
            </w:r>
          </w:p>
        </w:tc>
      </w:tr>
      <w:tr>
        <w:tc>
          <w:tcPr>
            <w:tcW w:type="dxa" w:w="2340"/>
          </w:tcPr>
          <w:p>
            <w:r>
              <w:t>3. Receiving Genscape pipeline data</w:t>
            </w:r>
          </w:p>
        </w:tc>
        <w:tc>
          <w:tcPr>
            <w:tcW w:type="dxa" w:w="2340"/>
          </w:tcPr>
          <w:p>
            <w:r>
              <w:t>20–40 h initial; 2–4 h per pipeline added</w:t>
            </w:r>
          </w:p>
        </w:tc>
        <w:tc>
          <w:tcPr>
            <w:tcW w:type="dxa" w:w="2340"/>
          </w:tcPr>
          <w:p>
            <w:r>
              <w:t>15–30 h initial; 1–3 h per pipeline added</w:t>
            </w:r>
          </w:p>
        </w:tc>
        <w:tc>
          <w:tcPr>
            <w:tcW w:type="dxa" w:w="2340"/>
          </w:tcPr>
          <w:p>
            <w:r>
              <w:t>1–2 h per pipeline added</w:t>
            </w:r>
          </w:p>
        </w:tc>
      </w:tr>
      <w:tr>
        <w:tc>
          <w:tcPr>
            <w:tcW w:type="dxa" w:w="2340"/>
          </w:tcPr>
          <w:p>
            <w:r>
              <w:t>4. Finding inconsistencies</w:t>
            </w:r>
          </w:p>
        </w:tc>
        <w:tc>
          <w:tcPr>
            <w:tcW w:type="dxa" w:w="2340"/>
          </w:tcPr>
          <w:p>
            <w:r>
              <w:t>5–20 h initial; 1–2 h per month</w:t>
            </w:r>
          </w:p>
        </w:tc>
        <w:tc>
          <w:tcPr>
            <w:tcW w:type="dxa" w:w="2340"/>
          </w:tcPr>
          <w:p>
            <w:r>
              <w:t>10–30 h initial; 2–5 h per scenario</w:t>
            </w:r>
          </w:p>
        </w:tc>
        <w:tc>
          <w:tcPr>
            <w:tcW w:type="dxa" w:w="2340"/>
          </w:tcPr>
          <w:p>
            <w:r>
              <w:t>0 h (built-in)</w:t>
            </w:r>
          </w:p>
        </w:tc>
      </w:tr>
    </w:tbl>
    <w:p>
      <w:r>
        <w:rPr>
          <w:i/>
        </w:rPr>
        <w:t xml:space="preserve">Table 5.6. Aggregate cost asymmetry across the four change-management scenarios. Hours are rough order-of-magnitude estimates drawn from operational experience. The point of the table is the order-of-magnitude gap between methods, not the precision of any single figure. The framework's setup cost is one-time and structural; the alternatives' setup cost is per-scenario and additive over the operational lifetime of the balance.</w:t>
      </w:r>
    </w:p>
    <w:p>
      <w:r>
        <w:rPr>
          <w:i/>
        </w:rPr>
        <w:t xml:space="preserve">32</w:t>
      </w:r>
    </w:p>
    <w:p>
      <w:r>
        <w:rPr>
          <w:i/>
        </w:rPr>
        <w:t xml:space="preserve">33</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 carries the data attributes of nodes. Each variable has a type (production, consumption, inventory, balancing item, inflow, outflow), a commodity (crude, in the active scenario), an optional related_node_id (for inflow and outflow variables that reference another node), and a name that serves as a stable audit identifier.</w:t>
      </w:r>
      <w:r/>
      <w:proofErr w:type="spellStart"/>
      <w:r/>
      <w:proofErr w:type="spellEnd"/>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19</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33</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Sum, arithmetic: evaluate the formula over its inputs in topological order and write the result with source naming the rule applied.</w:t>
      </w:r>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90 observed, 542 structural zero, 767 latent, 451 arithmetic, 5 sum, 15 reverse-mirror, 0 closure, 0 unresolved. The values are recomputed at every run; the audit trail (scenario_html_artefacts, scenario_resolved_values) records the run identifier and timestamp.</w:t>
      </w:r>
      <w:proofErr w:type="spellStart"/>
      <w:r/>
      <w:proofErr w:type="spellEnd"/>
      <w:r/>
      <w:proofErr w:type="spellStart"/>
      <w:r/>
      <w:proofErr w:type="spellEnd"/>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1BB4" w14:textId="77777777" w:rsidR="00B62CBA" w:rsidRDefault="00B62CBA">
      <w:r>
        <w:separator/>
      </w:r>
    </w:p>
  </w:endnote>
  <w:endnote w:type="continuationSeparator" w:id="0">
    <w:p w14:paraId="083DED12" w14:textId="77777777" w:rsidR="00B62CBA" w:rsidRDefault="00B6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5717" w14:textId="77777777" w:rsidR="00B62CBA" w:rsidRDefault="00B62CBA">
      <w:r>
        <w:separator/>
      </w:r>
    </w:p>
  </w:footnote>
  <w:footnote w:type="continuationSeparator" w:id="0">
    <w:p w14:paraId="7D9D3060" w14:textId="77777777" w:rsidR="00B62CBA" w:rsidRDefault="00B62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0F6C0D"/>
    <w:rsid w:val="00150E24"/>
    <w:rsid w:val="00267FE8"/>
    <w:rsid w:val="0027165C"/>
    <w:rsid w:val="00290353"/>
    <w:rsid w:val="00382513"/>
    <w:rsid w:val="003B2BE0"/>
    <w:rsid w:val="003B5F7D"/>
    <w:rsid w:val="003D3ACA"/>
    <w:rsid w:val="003D7E05"/>
    <w:rsid w:val="00466837"/>
    <w:rsid w:val="004B717E"/>
    <w:rsid w:val="004F79CE"/>
    <w:rsid w:val="00566C19"/>
    <w:rsid w:val="005F20C9"/>
    <w:rsid w:val="00604AA2"/>
    <w:rsid w:val="0068249D"/>
    <w:rsid w:val="006A4D6E"/>
    <w:rsid w:val="006E45B9"/>
    <w:rsid w:val="007314D1"/>
    <w:rsid w:val="008134C3"/>
    <w:rsid w:val="00913C2A"/>
    <w:rsid w:val="00A052A1"/>
    <w:rsid w:val="00AD1560"/>
    <w:rsid w:val="00B62CBA"/>
    <w:rsid w:val="00D60ACB"/>
    <w:rsid w:val="00F62E7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16517</Words>
  <Characters>94149</Characters>
  <Application>Microsoft Office Word</Application>
  <DocSecurity>0</DocSecurity>
  <Lines>784</Lines>
  <Paragraphs>220</Paragraphs>
  <ScaleCrop>false</ScaleCrop>
  <Company/>
  <LinksUpToDate>false</LinksUpToDate>
  <CharactersWithSpaces>110446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10</cp:revision>
  <dcterms:created xsi:type="dcterms:W3CDTF">2026-05-22T15:01:00Z</dcterms:created>
  <dcterms:modified xsi:type="dcterms:W3CDTF">2026-05-22T15:53:00Z</dcterms:modified>
</cp:coreProperties>
</file>