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AF9" w14:textId="77777777" w:rsidR="008E1B31" w:rsidRPr="00A9717A" w:rsidRDefault="005C5514">
      <w:pPr>
        <w:spacing w:before="1440" w:after="120"/>
        <w:jc w:val="center"/>
        <w:rPr>
          <w:lang w:val="pt-BR"/>
        </w:rPr>
      </w:pPr>
      <w:r>
        <w:rPr>
          <w:b/>
          <w:bCs/>
          <w:sz w:val="28"/>
          <w:szCs w:val="28"/>
          <w:lang w:val="pt-BR"/>
        </w:rPr>
        <w:t>NOVA Information Management School</w:t>
      </w:r>
    </w:p>
    <w:p w14:paraId="36BCFAFA" w14:textId="77777777" w:rsidR="008E1B31" w:rsidRPr="00A9717A" w:rsidRDefault="005C5514">
      <w:pPr>
        <w:spacing w:after="1440"/>
        <w:jc w:val="center"/>
        <w:rPr>
          <w:lang w:val="pt-BR"/>
        </w:rPr>
      </w:pPr>
      <w:r>
        <w:rPr>
          <w:sz w:val="24"/>
          <w:szCs w:val="24"/>
          <w:lang w:val="pt-BR"/>
        </w:rPr>
        <w:t>Universidade Nova de Lisboa</w:t>
      </w:r>
    </w:p>
    <w:p w14:paraId="36BCFAFB" w14:textId="77777777" w:rsidR="008E1B31" w:rsidRPr="00A9717A" w:rsidRDefault="005C5514">
      <w:pPr>
        <w:rPr>
          <w:lang w:val="pt-BR"/>
        </w:rPr>
      </w:pPr>
      <w:r>
        <w:rPr>
          <w:sz w:val="24"/>
          <w:szCs w:val="24"/>
          <w:lang w:val="pt-BR"/>
        </w:rPr>
        <w:t xml:space="preserve"> </w:t>
      </w:r>
    </w:p>
    <w:p w14:paraId="36BCFAFC" w14:textId="77777777" w:rsidR="008E1B31" w:rsidRPr="00A9717A" w:rsidRDefault="005C5514">
      <w:pPr>
        <w:rPr>
          <w:lang w:val="pt-BR"/>
        </w:rPr>
      </w:pPr>
      <w:r>
        <w:rPr>
          <w:sz w:val="24"/>
          <w:szCs w:val="24"/>
          <w:lang w:val="pt-BR"/>
        </w:rPr>
        <w:t xml:space="preserve"> </w:t>
      </w:r>
    </w:p>
    <w:p w14:paraId="36BCFAFD" w14:textId="77777777" w:rsidR="008E1B31" w:rsidRDefault="005C5514">
      <w:pPr>
        <w:spacing w:after="480" w:line="360" w:lineRule="auto"/>
        <w:jc w:val="center"/>
      </w:pPr>
      <w:r>
        <w:rPr>
          <w:b/>
          <w:bCs/>
          <w:sz w:val="32"/>
          <w:szCs w:val="32"/>
        </w:rPr>
        <w:t>Asset-Centric Temporal Graphs for Crude Oil Logistics: Schema Design and Consistency Guarantees for Multi-Resolution Network Data</w:t>
      </w:r>
    </w:p>
    <w:p w14:paraId="36BCFAFE" w14:textId="77777777" w:rsidR="008E1B31" w:rsidRDefault="005C5514">
      <w:r>
        <w:rPr>
          <w:sz w:val="24"/>
          <w:szCs w:val="24"/>
        </w:rPr>
        <w:t xml:space="preserve"> </w:t>
      </w:r>
    </w:p>
    <w:p w14:paraId="36BCFAFF" w14:textId="77777777" w:rsidR="008E1B31" w:rsidRDefault="005C5514">
      <w:pPr>
        <w:spacing w:after="1440"/>
        <w:jc w:val="center"/>
      </w:pPr>
      <w:r>
        <w:rPr>
          <w:i/>
          <w:iCs/>
          <w:sz w:val="24"/>
          <w:szCs w:val="24"/>
        </w:rPr>
        <w:t>Master Thesis in Information Management Systems</w:t>
      </w:r>
    </w:p>
    <w:p w14:paraId="36BCFB00" w14:textId="77777777" w:rsidR="008E1B31" w:rsidRDefault="005C5514">
      <w:r>
        <w:rPr>
          <w:sz w:val="24"/>
          <w:szCs w:val="24"/>
        </w:rPr>
        <w:t xml:space="preserve"> </w:t>
      </w:r>
    </w:p>
    <w:p w14:paraId="36BCFB01" w14:textId="77777777" w:rsidR="008E1B31" w:rsidRDefault="005C5514">
      <w:r>
        <w:rPr>
          <w:sz w:val="24"/>
          <w:szCs w:val="24"/>
        </w:rPr>
        <w:t xml:space="preserve"> </w:t>
      </w:r>
    </w:p>
    <w:p w14:paraId="36BCFB02" w14:textId="77777777" w:rsidR="008E1B31" w:rsidRPr="00A9717A" w:rsidRDefault="005C5514">
      <w:pPr>
        <w:spacing w:after="120"/>
        <w:jc w:val="center"/>
        <w:rPr>
          <w:lang w:val="pt-BR"/>
        </w:rPr>
      </w:pPr>
      <w:r>
        <w:rPr>
          <w:b/>
          <w:bCs/>
          <w:sz w:val="26"/>
          <w:szCs w:val="26"/>
          <w:lang w:val="pt-BR"/>
        </w:rPr>
        <w:t>Pedro Porfírio</w:t>
      </w:r>
    </w:p>
    <w:p w14:paraId="36BCFB03" w14:textId="77777777" w:rsidR="008E1B31" w:rsidRPr="00A9717A" w:rsidRDefault="005C5514">
      <w:pPr>
        <w:spacing w:after="480"/>
        <w:jc w:val="center"/>
        <w:rPr>
          <w:lang w:val="pt-BR"/>
        </w:rPr>
      </w:pPr>
      <w:r>
        <w:rPr>
          <w:lang w:val="pt-BR"/>
        </w:rPr>
        <w:t>Student Number: 20241283</w:t>
      </w:r>
    </w:p>
    <w:p w14:paraId="36BCFB04" w14:textId="77777777" w:rsidR="008E1B31" w:rsidRPr="00A9717A" w:rsidRDefault="005C5514">
      <w:pPr>
        <w:spacing w:after="1440"/>
        <w:jc w:val="center"/>
        <w:rPr>
          <w:lang w:val="pt-BR"/>
        </w:rPr>
      </w:pPr>
      <w:r>
        <w:rPr>
          <w:lang w:val="pt-BR"/>
        </w:rPr>
        <w:t>Supervisor: Professor Flávio Pinheiro</w:t>
      </w:r>
    </w:p>
    <w:p w14:paraId="36BCFB05" w14:textId="77777777" w:rsidR="008E1B31" w:rsidRPr="00A9717A" w:rsidRDefault="005C5514">
      <w:pPr>
        <w:rPr>
          <w:lang w:val="pt-BR"/>
        </w:rPr>
      </w:pPr>
      <w:r>
        <w:rPr>
          <w:sz w:val="24"/>
          <w:szCs w:val="24"/>
          <w:lang w:val="pt-BR"/>
        </w:rPr>
        <w:t xml:space="preserve"> </w:t>
      </w:r>
    </w:p>
    <w:p w14:paraId="36BCFB06" w14:textId="77777777" w:rsidR="008E1B31" w:rsidRPr="00A9717A" w:rsidRDefault="005C5514">
      <w:pPr>
        <w:rPr>
          <w:lang w:val="pt-BR"/>
        </w:rPr>
      </w:pPr>
      <w:r>
        <w:rPr>
          <w:sz w:val="24"/>
          <w:szCs w:val="24"/>
          <w:lang w:val="pt-BR"/>
        </w:rPr>
        <w:t xml:space="preserve"> </w:t>
      </w:r>
    </w:p>
    <w:p w14:paraId="36BCFB07" w14:textId="77777777" w:rsidR="008E1B31" w:rsidRPr="00A9717A" w:rsidRDefault="005C5514">
      <w:pPr>
        <w:rPr>
          <w:lang w:val="pt-BR"/>
        </w:rPr>
      </w:pPr>
      <w:r>
        <w:rPr>
          <w:sz w:val="24"/>
          <w:szCs w:val="24"/>
          <w:lang w:val="pt-BR"/>
        </w:rPr>
        <w:t xml:space="preserve"> </w:t>
      </w:r>
    </w:p>
    <w:p w14:paraId="36BCFB08" w14:textId="77777777" w:rsidR="008E1B31" w:rsidRDefault="005C5514">
      <w:pPr>
        <w:jc w:val="center"/>
      </w:pPr>
      <w:r>
        <w:t>May 2026</w:t>
      </w:r>
    </w:p>
    <w:p w14:paraId="36BCFB09" w14:textId="77777777" w:rsidR="008E1B31" w:rsidRDefault="005C5514">
      <w:r>
        <w:br w:type="page"/>
      </w:r>
    </w:p>
    <w:p w14:paraId="36BCFB0A" w14:textId="77777777" w:rsidR="008E1B31" w:rsidRDefault="005C5514">
      <w:pPr>
        <w:pStyle w:val="Heading1"/>
        <w:spacing w:before="240"/>
        <w:jc w:val="center"/>
      </w:pPr>
      <w:r>
        <w:lastRenderedPageBreak/>
        <w:t>Abstract</w:t>
      </w:r>
    </w:p>
    <w:p w14:paraId="787034EA" w14:textId="07319F05" w:rsidR="00964724" w:rsidRDefault="00964724">
      <w:pPr>
        <w:spacing w:after="200" w:line="316" w:lineRule="auto"/>
        <w:jc w:val="both"/>
        <w:rPr>
          <w:kern w:val="2"/>
          <w14:ligatures w14:val="standardContextual"/>
        </w:rPr>
      </w:pPr>
      <w:r>
        <w:t xml:space="preserve">Crude oil logistics networks are complex systems. Not only the actual infrastructure is complex, </w:t>
      </w:r>
      <w:r w:rsidR="00A44854">
        <w:t>but data is also</w:t>
      </w:r>
      <w:r>
        <w:t xml:space="preserve"> published at multiple levels of resolution by different agencies. Reporting boundaries do not always match the physical system, some flows are directly observed while others can only be inferred, and the network itself changes over time as pipelines reverse, terminals open, or assets are retired. In practice, analysts often bridge these gaps with spreadsheets or notebooks built around custom allocation rules and residual adjustments. Those workflows can produce useful outputs, but they are usually difficult to audit, hard to reuse, and have dependencies that are not always explicit.d</w:t>
      </w:r>
    </w:p>
    <w:p w14:paraId="1A4D8937" w14:textId="16B381E1" w:rsidR="0007075C" w:rsidRDefault="00964724">
      <w:pPr>
        <w:spacing w:after="200" w:line="316" w:lineRule="auto"/>
        <w:jc w:val="both"/>
      </w:pPr>
      <w:r>
        <w:t xml:space="preserve">This thesis develops and tests an asset-centric temporal graph schema designed to be able to describe the flow of oil and its products. The main </w:t>
      </w:r>
      <w:r w:rsidR="009B4C92">
        <w:t>purpose</w:t>
      </w:r>
      <w:r>
        <w:t xml:space="preserve"> is to generate a framework that is both flexible and robust so it can be extended and collapsed and can accommodate data with different levels of granularity. We focus on a framework that will describe the flow of oil and that is suitable for optimization using linear programming or Graph neural networks.</w:t>
      </w:r>
    </w:p>
    <w:p w14:paraId="4ED72FF9" w14:textId="2D616137" w:rsidR="003E151E" w:rsidRDefault="00FA4BAD">
      <w:pPr>
        <w:spacing w:after="200" w:line="316" w:lineRule="auto"/>
        <w:jc w:val="both"/>
      </w:pPr>
      <w:r>
        <w:t>To</w:t>
      </w:r>
      <w:r w:rsidR="0037118B">
        <w:t xml:space="preserve"> accommodate the complexities of oil logistics, we focus on six axioms and their corollaries that will allow flexibility while </w:t>
      </w:r>
      <w:r>
        <w:t>maintaining</w:t>
      </w:r>
      <w:r w:rsidR="0037118B">
        <w:t xml:space="preserve"> consistency and extensibility. </w:t>
      </w:r>
    </w:p>
    <w:p w14:paraId="69D2F0E3" w14:textId="3D7CEF28" w:rsidR="004D5E43" w:rsidRDefault="008E4EB0">
      <w:pPr>
        <w:spacing w:after="200" w:line="316" w:lineRule="auto"/>
        <w:jc w:val="both"/>
      </w:pPr>
      <w:r>
        <w:t xml:space="preserve">We define a physical asset as the framework primitive: it represents actual physical infrastructure that can produce, consume, transport or store oil and its products. Abstract assets are representations of constraints or </w:t>
      </w:r>
      <w:r w:rsidR="00FA4BAD">
        <w:t>groups</w:t>
      </w:r>
      <w:r>
        <w:t xml:space="preserve"> of assets. Nodes represent how assets appear in a graph, with each node binding to exactly one asset. Physical ass</w:t>
      </w:r>
      <w:r w:rsidR="007D7806">
        <w:t xml:space="preserve">ets are </w:t>
      </w:r>
      <w:r>
        <w:t xml:space="preserve">real, named entities with capacity, geography, and flow edges and abstract </w:t>
      </w:r>
      <w:r w:rsidR="007D7806">
        <w:t xml:space="preserve">assets are </w:t>
      </w:r>
      <w:r>
        <w:t xml:space="preserve">aggregation views over the physical layer with no edges of their own, with defined constraints. Physical assets carry their own inventory and mass-balance structure. The topology remains stable over time, with zero-flow edges representing inactivity rather than disappearance. Every physical asset follows a common mass-balance equation with an explicit balancing item; abstract assets inherit mass balance as a corollary of aggregation rather than as a separate constraint. Abstract assets are important as the granularity of data is </w:t>
      </w:r>
      <w:r w:rsidR="007D7806">
        <w:t>often</w:t>
      </w:r>
      <w:r>
        <w:t xml:space="preserve"> at higher levels of granularity than the actual assets. Nodes have variables and they can be linked to formulas, time series, or values. Edges and aggregation links are derived from variables, which acts as the system's source of truth on how nodes </w:t>
      </w:r>
      <w:r w:rsidR="004E1CAA">
        <w:t>interact.</w:t>
      </w:r>
      <w:r>
        <w:t xml:space="preserve"> </w:t>
      </w:r>
    </w:p>
    <w:p w14:paraId="5D924B45" w14:textId="1827FCD9" w:rsidR="00964724" w:rsidRDefault="00964724">
      <w:pPr>
        <w:spacing w:after="200" w:line="316" w:lineRule="auto"/>
        <w:jc w:val="both"/>
        <w:rPr>
          <w:kern w:val="2"/>
          <w14:ligatures w14:val="standardContextual"/>
        </w:rPr>
      </w:pPr>
      <w:r>
        <w:t xml:space="preserve">The persistent asset graph is kept separate from scenario-specific assignments, the physical layer is distinguished from the observational aggregation layer, and geography metadata is kept separate from the resolution hierarchy. At schema level, a </w:t>
      </w:r>
      <w:r w:rsidR="004E1CAA">
        <w:t xml:space="preserve">SQL Postgres </w:t>
      </w:r>
      <w:r>
        <w:t xml:space="preserve">CHECK constraint enforces single attribution of value: each assignment row binds the variable to one source, a time series or a formula, never both. Aggregation relationships used for cross-checking can be declared but do not count as a second source. Structurally real but unobserved flows are treated as latent rather than filled with heuristic estimates. Bidirectional movements are represented as separate directed edges, sum-type formulas are canonical, </w:t>
      </w:r>
      <w:r>
        <w:lastRenderedPageBreak/>
        <w:t>and latent values are distinguished from unresolved ones so that uncertainty is not hidden inside apparently complete data.</w:t>
      </w:r>
    </w:p>
    <w:p w14:paraId="05A43D87" w14:textId="6F802DB9" w:rsidR="006E3777" w:rsidRDefault="006E3777">
      <w:pPr>
        <w:spacing w:after="160" w:line="319" w:lineRule="auto"/>
        <w:jc w:val="both"/>
        <w:rPr>
          <w:kern w:val="2"/>
          <w14:ligatures w14:val="standardContextual"/>
        </w:rPr>
      </w:pPr>
      <w:r>
        <w:t>Each node carries several variables — production, consumption, inflows, outflows, inventory, and a balancing item — and the CHECK constraint applies to each variable's assignment individually, so a node with five variables has five independent assignment decisions in a given scenario. Mass balance is enforced at physical assets only; abstract assets are aggregation views that inherit teh variables but can introduce constraints.</w:t>
      </w:r>
    </w:p>
    <w:p w14:paraId="1279A69E" w14:textId="7DFE8ABE" w:rsidR="00964724" w:rsidRDefault="00964724">
      <w:pPr>
        <w:spacing w:after="200" w:line="316" w:lineRule="auto"/>
        <w:jc w:val="both"/>
      </w:pPr>
      <w:r>
        <w:t>The framework was implemented as a working system composed of a relational database, a deterministic resolver that produces a per-(scenario, variable, observation date) value table, a layered set of views for downstream use, and a full instance of the U.S. crude oil network covering January 2015 to December 2024. The implemented instance includes 251 assets, 433 directed flow edges, and 1,870 variables, of which 90 are time-series-observed under strict one-to-one attribution. The resolver runs in about 20 seconds and leaves no variables unresolved. Partition closure holds within rounding tolerance across all PADD aggregates and at the USA level, and mass balance is satisfied at every node. The difference between observed and closure-derived balancing items remains limited in normal periods and rises sharply around major disruption events such as Hurricane Harvey, COVID-19, the Colonial Pipeline shutdown, and the Strategic Petroleum Reserve release.</w:t>
      </w:r>
    </w:p>
    <w:p w14:paraId="0333E9C8" w14:textId="29AB07B5" w:rsidR="006654A8" w:rsidRDefault="006654A8">
      <w:pPr>
        <w:spacing w:after="200" w:line="316" w:lineRule="auto"/>
        <w:jc w:val="both"/>
        <w:rPr>
          <w:kern w:val="2"/>
          <w14:ligatures w14:val="standardContextual"/>
        </w:rPr>
      </w:pPr>
      <w:commentRangeStart w:id="0"/>
      <w:r>
        <w:rPr>
          <w:kern w:val="2"/>
          <w14:ligatures w14:val="standardContextual"/>
        </w:rPr>
        <w:t>To show the flexibility of the design, we move from a crude only scenario to one where we assume the oil grades produced in each basin and show how the inventories evolve over time.</w:t>
      </w:r>
      <w:commentRangeEnd w:id="0"/>
      <w:r w:rsidR="00887766">
        <w:rPr>
          <w:rStyle w:val="CommentReference"/>
          <w:kern w:val="2"/>
          <w:sz w:val="22"/>
          <w:szCs w:val="22"/>
          <w14:ligatures w14:val="standardContextual"/>
        </w:rPr>
        <w:commentReference w:id="0"/>
      </w:r>
    </w:p>
    <w:p w14:paraId="36BCFB0F" w14:textId="77777777" w:rsidR="008E1B31" w:rsidRDefault="005C5514">
      <w:pPr>
        <w:spacing w:after="200" w:line="320" w:lineRule="auto"/>
        <w:jc w:val="both"/>
      </w:pPr>
      <w:r>
        <w:rPr>
          <w:b/>
          <w:bCs/>
        </w:rPr>
        <w:t>Keywords:</w:t>
      </w:r>
      <w:r>
        <w:t xml:space="preserve"> logistics networks, graph databases, crude oil, mass balance, multi-resolution data, schema design, linear programming, asset-centric representation</w:t>
      </w:r>
    </w:p>
    <w:p w14:paraId="36BCFB10" w14:textId="77777777" w:rsidR="008E1B31" w:rsidRDefault="005C5514">
      <w:r>
        <w:br w:type="page"/>
      </w:r>
    </w:p>
    <w:p w14:paraId="36BCFB11" w14:textId="77777777" w:rsidR="008E1B31" w:rsidRDefault="005C5514">
      <w:pPr>
        <w:pStyle w:val="Heading1"/>
        <w:spacing w:before="240"/>
        <w:jc w:val="center"/>
      </w:pPr>
      <w:r>
        <w:lastRenderedPageBreak/>
        <w:t>Acknowledgements</w:t>
      </w:r>
    </w:p>
    <w:p w14:paraId="54569988" w14:textId="77777777" w:rsidR="001F1DD0" w:rsidRDefault="001F1DD0" w:rsidP="001F1DD0">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 I did not merely enjoy working with Professor Pinheiro; I loved it.</w:t>
      </w:r>
    </w:p>
    <w:p w14:paraId="194CE959" w14:textId="77777777" w:rsidR="001F1DD0" w:rsidRDefault="001F1DD0" w:rsidP="001F1DD0"/>
    <w:p w14:paraId="36A0C73C" w14:textId="77777777" w:rsidR="001F1DD0" w:rsidRDefault="001F1DD0" w:rsidP="001F1DD0">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510822B6" w14:textId="77777777" w:rsidR="001F1DD0" w:rsidRDefault="001F1DD0" w:rsidP="001F1DD0"/>
    <w:p w14:paraId="402878C2" w14:textId="57C3EA72" w:rsidR="001F1DD0" w:rsidRDefault="00267E72" w:rsidP="001F1DD0">
      <w:r>
        <w:t>I would like to dedicate this work to</w:t>
      </w:r>
      <w:r w:rsidR="001F1DD0">
        <w:t xml:space="preserve"> my wife, Ana, who endured many hours waiting for me to finish prototypes or fine-tune the database before we could have dinner, as well as the many movie evenings we missed along the way. For the past 35 years, those have been among the things we most enjoy doing together, which makes her patience and support all the more meaningful to me. Without her by my side, it would have been impossible to accomplish not only this thesis, but so much of what I have done.</w:t>
      </w:r>
    </w:p>
    <w:p w14:paraId="6BAD7FBE" w14:textId="77777777" w:rsidR="001F1DD0" w:rsidRDefault="001F1DD0" w:rsidP="001F1DD0"/>
    <w:p w14:paraId="7A0A90FC" w14:textId="29644022" w:rsidR="001F1DD0" w:rsidRDefault="001F1DD0" w:rsidP="001F1DD0">
      <w:r>
        <w:t xml:space="preserve">I would also like to thank Luiza, Lucas, Mateus, and Julia, my children, who teased me about needing to obtain a proper Master’s degree. </w:t>
      </w:r>
      <w:r w:rsidR="00257CF5">
        <w:t>There you go you four</w:t>
      </w:r>
      <w:r>
        <w:t xml:space="preserve"> — and I am proud that it is a Master’s from NOVA IMS, the best IMS </w:t>
      </w:r>
      <w:r w:rsidR="00257CF5">
        <w:t xml:space="preserve">Master Program </w:t>
      </w:r>
      <w:r>
        <w:t>in Europe.</w:t>
      </w:r>
    </w:p>
    <w:p w14:paraId="247DEEE4" w14:textId="77777777" w:rsidR="00BA7679" w:rsidRDefault="00BA7679" w:rsidP="001F1DD0"/>
    <w:p w14:paraId="1BF8681A" w14:textId="06B3ADE3" w:rsidR="00BA7679" w:rsidRDefault="00BA7679" w:rsidP="001F1DD0">
      <w:r>
        <w:t>Special thanks to Mariana Costa and Manuel Stone for the help and suppo</w:t>
      </w:r>
      <w:r w:rsidR="00267E72">
        <w:t>rt!</w:t>
      </w:r>
    </w:p>
    <w:p w14:paraId="02690238" w14:textId="77777777" w:rsidR="001F1DD0" w:rsidRDefault="001F1DD0" w:rsidP="001F1DD0"/>
    <w:p w14:paraId="36BCFB15" w14:textId="74E1DC43" w:rsidR="008E1B31" w:rsidRDefault="00257CF5" w:rsidP="001F1DD0">
      <w:r>
        <w:t>A note of appreciation to</w:t>
      </w:r>
      <w:r w:rsidR="001F1DD0">
        <w:t xml:space="preserve"> NOVA IMS for its patience, encouragement, and support during the writing of this thesis. I would particularly like to thank the administrative staff for their understanding and flexibility in accommodating the personal issues that arose along the way.</w:t>
      </w:r>
      <w:r w:rsidR="005C5514">
        <w:br w:type="page"/>
      </w:r>
    </w:p>
    <w:p w14:paraId="36BCFB16" w14:textId="77777777" w:rsidR="008E1B31" w:rsidRDefault="005C5514">
      <w:pPr>
        <w:pStyle w:val="Heading1"/>
        <w:pageBreakBefore/>
      </w:pPr>
      <w:r>
        <w:lastRenderedPageBreak/>
        <w:t>1. Introduction</w:t>
      </w:r>
    </w:p>
    <w:p w14:paraId="36BCFB17" w14:textId="77777777" w:rsidR="008E1B31" w:rsidRDefault="005C5514">
      <w:pPr>
        <w:pStyle w:val="Heading2"/>
      </w:pPr>
      <w:r>
        <w:t>1.1 Background and motivation</w:t>
      </w:r>
    </w:p>
    <w:p w14:paraId="2B21394E" w14:textId="3F0797DC" w:rsidR="00964724" w:rsidRDefault="00964724">
      <w:pPr>
        <w:spacing w:after="160" w:line="316" w:lineRule="auto"/>
        <w:jc w:val="both"/>
        <w:rPr>
          <w:kern w:val="2"/>
          <w14:ligatures w14:val="standardContextual"/>
        </w:rPr>
      </w:pPr>
      <w:r>
        <w:t xml:space="preserve">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 </w:t>
      </w:r>
    </w:p>
    <w:p w14:paraId="1C3744C4" w14:textId="0F55E374" w:rsidR="00BE69DE" w:rsidRDefault="00BE69DE" w:rsidP="008D148F">
      <w:pPr>
        <w:spacing w:after="160" w:line="316" w:lineRule="auto"/>
        <w:jc w:val="center"/>
      </w:pPr>
      <w:r>
        <w:rPr>
          <w:noProof/>
        </w:rPr>
        <w:drawing>
          <wp:inline distT="0" distB="0" distL="0" distR="0" wp14:anchorId="6D03A138" wp14:editId="3F4CD782">
            <wp:extent cx="4381500" cy="4221366"/>
            <wp:effectExtent l="0" t="0" r="0" b="8255"/>
            <wp:docPr id="1944777189" name="Picture 1944777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5556" cy="4225273"/>
                    </a:xfrm>
                    <a:prstGeom prst="rect">
                      <a:avLst/>
                    </a:prstGeom>
                  </pic:spPr>
                </pic:pic>
              </a:graphicData>
            </a:graphic>
          </wp:inline>
        </w:drawing>
      </w:r>
    </w:p>
    <w:p w14:paraId="7A948A02" w14:textId="77777777" w:rsidR="008D148F" w:rsidRDefault="008D148F" w:rsidP="008D148F">
      <w:pPr>
        <w:spacing w:after="240"/>
        <w:jc w:val="center"/>
      </w:pPr>
      <w:r>
        <w:rPr>
          <w:i/>
          <w:iCs/>
          <w:sz w:val="20"/>
          <w:szCs w:val="20"/>
        </w:rPr>
        <w:t>Figure 1. 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4A8FA074" w14:textId="77777777" w:rsidR="008D148F" w:rsidRDefault="008D148F" w:rsidP="008D148F">
      <w:pPr>
        <w:spacing w:after="160" w:line="316" w:lineRule="auto"/>
        <w:jc w:val="center"/>
      </w:pPr>
    </w:p>
    <w:p w14:paraId="42ED5243" w14:textId="010CE65B" w:rsidR="00964724" w:rsidRDefault="009F023E">
      <w:pPr>
        <w:spacing w:after="160" w:line="316" w:lineRule="auto"/>
        <w:jc w:val="both"/>
        <w:rPr>
          <w:kern w:val="2"/>
          <w14:ligatures w14:val="standardContextual"/>
        </w:rPr>
      </w:pPr>
      <w:r>
        <w:t xml:space="preserve">The physical layer of an oil network cannot react quickly to short-term economic signals. Well output is constrained by geology and reservoir conditions, so large and rapid production changes are technically difficult and expensive to implement (Fattouh, 2011; Ribas, Hamacher, and Street, 2010). Refineries face a similar kind of inertia: they are built for </w:t>
      </w:r>
      <w:r w:rsidR="005354F1">
        <w:t>throughput</w:t>
      </w:r>
      <w:r>
        <w:t xml:space="preserve"> ranges and crude slates, and moving outside those ranges can reduce efficiency and affect product quality (Fernandes, Relvas, and Barbosa-Póvoa, 2013; Lima, Relvas, and Barbosa-Póvoa, 2016). Even changing crude grade </w:t>
      </w:r>
      <w:r w:rsidR="00FE42AE">
        <w:t xml:space="preserve">– as the characteristics of the </w:t>
      </w:r>
      <w:r w:rsidR="00FE42AE">
        <w:lastRenderedPageBreak/>
        <w:t xml:space="preserve">hydrocarbon chain can vary greatly - </w:t>
      </w:r>
      <w:r>
        <w:t>is rarely a simple commercial choice, because it may require unit reconfiguration and planned downtime. Transport introduces another layer of delay, as pipelines, ports, and tankers imply transit times measured in days or months (Stopford, 2009; Kazemi and Szmerekovsky, 2015). In practice, meaningful flow changes usually require lead time, capital, and coordination across several parts of the chain (Lima, Relvas, and Barbosa-Póvoa, 2016).</w:t>
      </w:r>
    </w:p>
    <w:p w14:paraId="517551A9" w14:textId="10CEED5C" w:rsidR="00964724" w:rsidRDefault="00964724">
      <w:pPr>
        <w:spacing w:after="160" w:line="316" w:lineRule="auto"/>
        <w:jc w:val="both"/>
        <w:rPr>
          <w:kern w:val="2"/>
          <w14:ligatures w14:val="standardContextual"/>
        </w:rPr>
      </w:pPr>
      <w:r>
        <w:t>Because production and refining cannot adjust quickly, inventories absorb much of the system’s short-term imbalance, and the level of stocks is one of the principal determinants of short-term crude price dynamics (Working, 1949; Pindyck, 2001; U.S. Energy Information Administration, 2024). Tank farms, storage terminals, and strategic petroleum reserves act as buffers between what is produced and what is consumed at a given moment. When stocks are comfortable, shocks can be absorbed with limited price impact. When stocks become tight, concerns about availability tend to push prices upward; when they become excessive, storage costs rise and prices usually soften. Storage also creates a hard physical limit: when usable capacity is effectively full, the marginal barrel has nowhere to go. The April 2020 WTI front-month settlement at −37 USD per barrel — a price at which the seller pays the buyer to take delivery — was a highly visible reminder of that constraint.</w:t>
      </w:r>
    </w:p>
    <w:p w14:paraId="1590E33A" w14:textId="533E4A58" w:rsidR="006E3777" w:rsidRDefault="006E3777">
      <w:pPr>
        <w:spacing w:after="160" w:line="316" w:lineRule="auto"/>
        <w:jc w:val="both"/>
        <w:rPr>
          <w:kern w:val="2"/>
          <w14:ligatures w14:val="standardContextual"/>
        </w:rPr>
      </w:pPr>
      <w:r>
        <w:t xml:space="preserve">Within that physical system, each operational asset—whether an onshore well, an offshore platform, a gathering system, a pipeline segment, a terminal, or a refinery— </w:t>
      </w:r>
      <w:r w:rsidR="00374A30">
        <w:t>produces</w:t>
      </w:r>
      <w:r>
        <w:t xml:space="preserve">, transport, consume or transform oil, and there is  data that reflects </w:t>
      </w:r>
      <w:r w:rsidR="00374A30">
        <w:t>the current and past</w:t>
      </w:r>
      <w:r w:rsidR="00943BC2">
        <w:t xml:space="preserve"> of the</w:t>
      </w:r>
      <w:r>
        <w:t xml:space="preserve"> asset</w:t>
      </w:r>
      <w:r w:rsidR="00943BC2">
        <w:t>, as their operators react to economic conditions</w:t>
      </w:r>
      <w:r>
        <w:t xml:space="preserve">. Production rates, consumption volumes, inflows, outflows, storage levels, and capacity utilisation all change over time in response to internal constraints such as maintenance, equipment limits, and contractual commitments, as well as external shocks such as geopolitics, weather, demand shifts, and price movements. These relationships are not only complex but also </w:t>
      </w:r>
      <w:r w:rsidR="00943BC2">
        <w:t>time varying</w:t>
      </w:r>
      <w:r>
        <w:t>. A disruption at an upstream production site does not stay local for long; it propagates downstream through pipelines and storage nodes, with effects shaped by routing options, transit times, and operating priorities.</w:t>
      </w:r>
    </w:p>
    <w:p w14:paraId="546D6FF5" w14:textId="1EFEFD7D" w:rsidR="00BA4B88" w:rsidRDefault="006E3777">
      <w:pPr>
        <w:spacing w:after="160" w:line="316" w:lineRule="auto"/>
        <w:jc w:val="both"/>
      </w:pPr>
      <w:r>
        <w:t>The main modelling tools used to study systems like this usually fall into two broad groups: operations research and classical time series methods</w:t>
      </w:r>
      <w:r w:rsidR="00691247">
        <w:t>: operations research and timeseries methods.</w:t>
      </w:r>
    </w:p>
    <w:p w14:paraId="3316B2B2" w14:textId="77777777" w:rsidR="00691247" w:rsidRDefault="00BA4B88">
      <w:pPr>
        <w:spacing w:after="160" w:line="316" w:lineRule="auto"/>
        <w:jc w:val="both"/>
      </w:pPr>
      <w:r>
        <w:t xml:space="preserve">Operations research, including linear programming, mixed-integer programming, and stochastic optimisation are mathematically rigorous and very useful for strategic design and tactical planning, but they often rely on simplified representations that leave out much of the operational detail visible in the real network. Moreover, the representation of the complex systems </w:t>
      </w:r>
      <w:r w:rsidR="00691247">
        <w:t>is</w:t>
      </w:r>
      <w:r>
        <w:t xml:space="preserve"> usually bespoke, difficult to audit and change. </w:t>
      </w:r>
    </w:p>
    <w:p w14:paraId="073DFE75" w14:textId="6F5BE2BF" w:rsidR="006E3777" w:rsidRDefault="00691247">
      <w:pPr>
        <w:spacing w:after="160" w:line="316" w:lineRule="auto"/>
        <w:jc w:val="both"/>
        <w:rPr>
          <w:kern w:val="2"/>
          <w14:ligatures w14:val="standardContextual"/>
        </w:rPr>
      </w:pPr>
      <w:r>
        <w:t>C</w:t>
      </w:r>
      <w:r w:rsidR="00BA4B88">
        <w:t xml:space="preserve">lassical time-series methods, such as ARIMA, VAR, and more recent neural forecasting models. These are typically applied to individual variables—refinery throughput, regional </w:t>
      </w:r>
      <w:r w:rsidR="00BA4B88">
        <w:lastRenderedPageBreak/>
        <w:t>inventories, benchmark prices—without explicitly modelling the network structure that links those variables together.</w:t>
      </w:r>
    </w:p>
    <w:p w14:paraId="4B672663" w14:textId="4B7993AB" w:rsidR="006E3777" w:rsidRDefault="006E3777">
      <w:pPr>
        <w:spacing w:after="160" w:line="316" w:lineRule="auto"/>
        <w:jc w:val="both"/>
        <w:rPr>
          <w:kern w:val="2"/>
          <w14:ligatures w14:val="standardContextual"/>
        </w:rPr>
      </w:pPr>
      <w:r>
        <w:t xml:space="preserve">Over the last decade, a third line of research has developed at the intersection of those two traditions. Graph neural networks and graph representation learning offer a way to model systems whose behaviour depends both on local time dynamics and on a broader relational structure. Recent surveys (Wu et al., 2020; Jin et al., 2024) document how quickly this literature has expanded across traffic networks, power systems, and, more recently, supply chains (Kosasih and Brintrup, 2022; Wasi et al., 2024; Ahn et al., 2024). What makes these methods especially relevant here is that they can bring together two aspects of the problem that classical </w:t>
      </w:r>
      <w:r w:rsidR="00BB3E6E">
        <w:t>operations research</w:t>
      </w:r>
      <w:r>
        <w:t xml:space="preserve"> and standard time-series approaches often handle separately: the network itself and the temporal behaviour of the variables attached to it.</w:t>
      </w:r>
    </w:p>
    <w:p w14:paraId="126C90AA" w14:textId="1222F02C" w:rsidR="006E3777" w:rsidRDefault="006E3777">
      <w:pPr>
        <w:spacing w:after="160" w:line="316" w:lineRule="auto"/>
        <w:jc w:val="both"/>
        <w:rPr>
          <w:kern w:val="2"/>
          <w14:ligatures w14:val="standardContextual"/>
        </w:rPr>
      </w:pPr>
      <w:r>
        <w:t>Before any of these modelling approaches can be applied, however, the same upstream question appears: how should the network itself be represented? In the crude oil case, that question is still not well resolved. Available data is released at multiple resolutions by overlapping agencies. Reporting boundaries do not line up neatly with operational ones. Some flows are directly measured, while others can only be inferred from aggregate constraints. Inventories often close only at coarser levels than the production they are supposed to balance against. And the topology changes over time through real events such as pipeline reversals, terminal commissioning, and refinery shutdowns. A representation that can handle these features cleanly would be useful not only for optimisation and forecasting, but also for the analysts who currently connect public data to downstream models through manual workflows.</w:t>
      </w:r>
    </w:p>
    <w:p w14:paraId="36BCFB1F" w14:textId="77777777" w:rsidR="008E1B31" w:rsidRDefault="005C5514">
      <w:pPr>
        <w:pStyle w:val="Heading2"/>
      </w:pPr>
      <w:r>
        <w:t>1.2 Problem statement</w:t>
      </w:r>
    </w:p>
    <w:p w14:paraId="514F438F" w14:textId="77777777" w:rsidR="006E3777" w:rsidRDefault="006E3777">
      <w:pPr>
        <w:spacing w:after="160" w:line="316" w:lineRule="auto"/>
        <w:jc w:val="both"/>
        <w:rPr>
          <w:kern w:val="2"/>
          <w14:ligatures w14:val="standardContextual"/>
        </w:rPr>
      </w:pPr>
      <w:r>
        <w:t>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the slowly changing physical topology from the faster-changing data assignments attached to it.</w:t>
      </w:r>
    </w:p>
    <w:p w14:paraId="20641955" w14:textId="4497C5AD" w:rsidR="006E3777" w:rsidRDefault="006E3777">
      <w:pPr>
        <w:spacing w:after="160" w:line="316" w:lineRule="auto"/>
        <w:jc w:val="both"/>
        <w:rPr>
          <w:kern w:val="2"/>
          <w14:ligatures w14:val="standardContextual"/>
        </w:rPr>
      </w:pPr>
      <w:r>
        <w:t xml:space="preserve">Anyone who has worked with energy data will recognise the practitioner workflow that fills this gap. Analysts often maintain Excel workbooks or </w:t>
      </w:r>
      <w:r w:rsidR="00176047">
        <w:t>pandas’</w:t>
      </w:r>
      <w:r>
        <w:t xml:space="preserve"> notebooks where production, consumption, flows, and stocks for each PADD are loaded from a multitude of sources, reconciled through 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36BCFB22" w14:textId="77777777" w:rsidR="008E1B31" w:rsidRDefault="005C5514">
      <w:pPr>
        <w:pBdr>
          <w:top w:val="single" w:sz="12" w:space="8" w:color="406090"/>
          <w:left w:val="single" w:sz="12" w:space="8" w:color="406090"/>
          <w:bottom w:val="single" w:sz="12" w:space="8" w:color="406090"/>
          <w:right w:val="single" w:sz="12" w:space="8" w:color="406090"/>
        </w:pBdr>
        <w:shd w:val="clear" w:color="auto" w:fill="EAF1F8"/>
        <w:spacing w:after="160" w:line="320" w:lineRule="auto"/>
        <w:jc w:val="both"/>
      </w:pPr>
      <w:r>
        <w:lastRenderedPageBreak/>
        <w:t xml:space="preserve">The central problem this thesis addresses is therefore: </w:t>
      </w:r>
      <w:r>
        <w:rPr>
          <w:b/>
          <w:bCs/>
        </w:rPr>
        <w:t>how can the crude oil logistics network be represented in a way that admits multi-resolution data, enforces single-attribution structurally, preserves provenance through derivations, and is consumable by both classical optimisation models (linear programmes) and modern machine learning models (graph neural networks) without further hand-cleaning?</w:t>
      </w:r>
    </w:p>
    <w:p w14:paraId="4862C3C0" w14:textId="77777777" w:rsidR="006E3777" w:rsidRDefault="006E3777">
      <w:pPr>
        <w:spacing w:after="160" w:line="316" w:lineRule="auto"/>
        <w:jc w:val="both"/>
        <w:rPr>
          <w:kern w:val="2"/>
          <w14:ligatures w14:val="standardContextual"/>
        </w:rPr>
      </w:pPr>
      <w:r>
        <w:t>This thesis answers that question by developing, implementing, and validating an asset-centric temporal graph schema organised around six axioms and the corollaries that follow from them, together with a deterministic resolver that produces a single per-(scenario, variable, observation date) value table that downstream consumers can read directly.</w:t>
      </w:r>
    </w:p>
    <w:p w14:paraId="36BCFB24" w14:textId="77777777" w:rsidR="008E1B31" w:rsidRDefault="005C5514">
      <w:pPr>
        <w:pStyle w:val="Heading2"/>
      </w:pPr>
      <w:r>
        <w:t>1.3 Research objectives</w:t>
      </w:r>
    </w:p>
    <w:p w14:paraId="78272677" w14:textId="77777777" w:rsidR="006E3777" w:rsidRDefault="006E3777">
      <w:pPr>
        <w:spacing w:after="160" w:line="319" w:lineRule="auto"/>
        <w:jc w:val="both"/>
        <w:rPr>
          <w:kern w:val="2"/>
          <w14:ligatures w14:val="standardContextual"/>
        </w:rPr>
      </w:pPr>
      <w:r>
        <w:t>The research pursues three main objectives:</w:t>
      </w:r>
    </w:p>
    <w:p w14:paraId="7DA2EC5E" w14:textId="77777777" w:rsidR="006E3777" w:rsidRDefault="006E3777">
      <w:pPr>
        <w:spacing w:after="160" w:line="319" w:lineRule="auto"/>
        <w:jc w:val="both"/>
        <w:rPr>
          <w:kern w:val="2"/>
          <w14:ligatures w14:val="standardContextual"/>
        </w:rPr>
      </w:pPr>
      <w:r>
        <w:t xml:space="preserve">To </w:t>
      </w:r>
      <w:r>
        <w:rPr>
          <w:b/>
          <w:bCs/>
        </w:rPr>
        <w:t>design</w:t>
      </w:r>
      <w:r>
        <w:t xml:space="preserve"> 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44BAE62D" w14:textId="77777777" w:rsidR="006E3777" w:rsidRDefault="006E3777">
      <w:pPr>
        <w:spacing w:after="160" w:line="319" w:lineRule="auto"/>
        <w:jc w:val="both"/>
        <w:rPr>
          <w:kern w:val="2"/>
          <w14:ligatures w14:val="standardContextual"/>
        </w:rPr>
      </w:pPr>
      <w:r>
        <w:t xml:space="preserve">To </w:t>
      </w:r>
      <w:r>
        <w:rPr>
          <w:b/>
          <w:bCs/>
        </w:rPr>
        <w:t>implement</w:t>
      </w:r>
      <w:r>
        <w:t xml:space="preserve"> that schema as a working system, including a database representation, a deterministic resolver that produces the per-(variable, date) data tensor, a layered view structure for downstream consumers, and a complete starter instance covering the U.S. crude oil network from 2015 onwards.</w:t>
      </w:r>
    </w:p>
    <w:p w14:paraId="3201DD33" w14:textId="77777777" w:rsidR="006E3777" w:rsidRDefault="006E3777">
      <w:pPr>
        <w:spacing w:after="160" w:line="319" w:lineRule="auto"/>
        <w:jc w:val="both"/>
        <w:rPr>
          <w:kern w:val="2"/>
          <w14:ligatures w14:val="standardContextual"/>
        </w:rPr>
      </w:pPr>
      <w:commentRangeStart w:id="1"/>
      <w:r>
        <w:t xml:space="preserve">To </w:t>
      </w:r>
      <w:r>
        <w:rPr>
          <w:b/>
          <w:bCs/>
        </w:rPr>
        <w:t>validate</w:t>
      </w:r>
      <w:r>
        <w:t xml:space="preserve"> the framework by formulating linear programmes that consume its output, showing that the framework's consistency properties are sufficient for non-trivial optimisation tasks, and assessing its readiness for further downstream consumers such as graph neural networks for forecasting, which are left for future work.</w:t>
      </w:r>
      <w:commentRangeEnd w:id="1"/>
      <w:r w:rsidR="007F777D">
        <w:rPr>
          <w:rStyle w:val="CommentReference"/>
          <w:kern w:val="2"/>
          <w:sz w:val="22"/>
          <w:szCs w:val="22"/>
          <w14:ligatures w14:val="standardContextual"/>
        </w:rPr>
        <w:commentReference w:id="1"/>
      </w:r>
    </w:p>
    <w:p w14:paraId="36BCFB29" w14:textId="77777777" w:rsidR="008E1B31" w:rsidRDefault="005C5514">
      <w:pPr>
        <w:pStyle w:val="Heading2"/>
      </w:pPr>
      <w:r>
        <w:t>1.4 Scope and delimitations</w:t>
      </w:r>
    </w:p>
    <w:p w14:paraId="2EA9A278" w14:textId="466800D9" w:rsidR="006E3777" w:rsidRDefault="006E3777">
      <w:pPr>
        <w:spacing w:after="160" w:line="319" w:lineRule="auto"/>
        <w:jc w:val="both"/>
        <w:rPr>
          <w:kern w:val="2"/>
          <w14:ligatures w14:val="standardContextual"/>
        </w:rPr>
      </w:pPr>
      <w:r>
        <w:t xml:space="preserve">This research focuses on the representational framework and its first downstream consumer. The asset graph is built at the level of named physical assets wherever public data allows, with residuals used for un-named tail production. The geographic scope is the United States, the temporal resolution is monthly, and the initial implementation treats crude oil as a single commodity grade. The schema is designed to be extendable along all three dimensions—to </w:t>
      </w:r>
      <w:r w:rsidR="00DC1E04">
        <w:t xml:space="preserve">other grades and </w:t>
      </w:r>
      <w:r>
        <w:t>refined products, to other countries, and to finer temporal granularity—and those extension paths are discussed where relevant. Even so, the implemented instance in this thesis is the U.S. monthly crude oil graph from January 2015 to December 2024 inclusive.</w:t>
      </w:r>
    </w:p>
    <w:p w14:paraId="4ADE4A2D" w14:textId="6E833BD7" w:rsidR="006E3777" w:rsidRDefault="006E3777">
      <w:pPr>
        <w:spacing w:after="160" w:line="319" w:lineRule="auto"/>
        <w:jc w:val="both"/>
        <w:rPr>
          <w:kern w:val="2"/>
          <w14:ligatures w14:val="standardContextual"/>
        </w:rPr>
      </w:pPr>
      <w:r>
        <w:t xml:space="preserve">Two important areas are explicitly outside the scope of the present work and are positioned as future work in Chapter 10. The first is forecasting. Forecasting is treated in this thesis as a downstream use case that the framework is designed to support but does not itself implement. </w:t>
      </w:r>
      <w:r>
        <w:lastRenderedPageBreak/>
        <w:t>Chapter 10 explains why the framework is ready for forecasting work and outlines what that next step would involve. The second area is production deployment. The implementation developed here is a working research artefact rather than a production system, so issues such</w:t>
      </w:r>
      <w:r w:rsidR="007D4F8E">
        <w:t xml:space="preserve"> hardware and software </w:t>
      </w:r>
      <w:r w:rsidR="0030197E">
        <w:t xml:space="preserve">selection, </w:t>
      </w:r>
      <w:r>
        <w:t>user interfaces, monitoring, and access control are left aside.</w:t>
      </w:r>
    </w:p>
    <w:p w14:paraId="3CCAA2B2" w14:textId="59D39D09" w:rsidR="006E3777" w:rsidRDefault="006E3777">
      <w:pPr>
        <w:spacing w:after="160" w:line="319" w:lineRule="auto"/>
        <w:jc w:val="both"/>
        <w:rPr>
          <w:kern w:val="2"/>
          <w14:ligatures w14:val="standardContextual"/>
        </w:rPr>
      </w:pPr>
      <w:r>
        <w:t xml:space="preserve">Two pieces of vocabulary used throughout deserve flagging upfront. The framework distinguishes assets from nodes. An asset is a primitive entity: a refinery, a pipeline, a </w:t>
      </w:r>
      <w:r w:rsidR="0030197E">
        <w:t>basin,</w:t>
      </w:r>
      <w:r>
        <w:t xml:space="preserve">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44D05CFB" w14:textId="1EEDA9AC" w:rsidR="006E3777" w:rsidRDefault="006E3777">
      <w:pPr>
        <w:spacing w:after="160" w:line="319" w:lineRule="auto"/>
        <w:jc w:val="both"/>
        <w:rPr>
          <w:kern w:val="2"/>
          <w14:ligatures w14:val="standardContextual"/>
        </w:rPr>
      </w:pPr>
      <w:r>
        <w:t>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the district views, basin views, refining-district views, and the stock-decomposition aggregates of Section 5.4) and has no flow edges of its own. Abstract assets exist to host roll-up observations and partition relationships</w:t>
      </w:r>
      <w:r w:rsidR="00783D3E">
        <w:t xml:space="preserve"> and constraints of other nodes</w:t>
      </w:r>
      <w:r>
        <w:t xml:space="preserve">; their relationship to the physical layer is declared through </w:t>
      </w:r>
      <w:r w:rsidR="008323A4">
        <w:t>formula inputs</w:t>
      </w:r>
      <w:r>
        <w:t xml:space="preserve"> rather than through edges. Mass balance is enforced at every physical asset, and abstract assets inherit it as a corollary (Section 4.3) — they do not introduce </w:t>
      </w:r>
      <w:r w:rsidR="008323A4">
        <w:t>intrinsic constraints – these must be explicit if needed</w:t>
      </w:r>
      <w:r>
        <w:t>.</w:t>
      </w:r>
    </w:p>
    <w:p w14:paraId="088BEC9E" w14:textId="6A7CEB2C" w:rsidR="006E3777" w:rsidRDefault="006E3777">
      <w:pPr>
        <w:spacing w:after="160" w:line="319" w:lineRule="auto"/>
        <w:jc w:val="both"/>
        <w:rPr>
          <w:kern w:val="2"/>
          <w14:ligatures w14:val="standardContextual"/>
        </w:rPr>
      </w:pPr>
      <w:r>
        <w:t xml:space="preserve">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refined-product output as a derived variable through formula and </w:t>
      </w:r>
      <w:r w:rsidR="003D3622">
        <w:t>formula inputs</w:t>
      </w:r>
      <w:r>
        <w:t>, so a refinery's gasoline production can be defined as a fixed fraction of its consumption of a particular grade (</w:t>
      </w:r>
      <w:r w:rsidR="003D3622">
        <w:t>gasoline</w:t>
      </w:r>
      <w:r>
        <w:t xml:space="preserve"> </w:t>
      </w:r>
      <w:r w:rsidR="003D3622">
        <w:t xml:space="preserve">production </w:t>
      </w:r>
      <w:r>
        <w:t>= 0.35 × crude</w:t>
      </w:r>
      <w:r w:rsidR="003D3622">
        <w:t xml:space="preserve"> consumption</w:t>
      </w:r>
      <w:r>
        <w:t xml:space="preserve"> of grade X), with the yield coefficients themselves potentially scenario-specific. Both extensions sit on top of the schema as constructed; neither requires structural change.</w:t>
      </w:r>
    </w:p>
    <w:p w14:paraId="36BCFB2C" w14:textId="77777777" w:rsidR="008E1B31" w:rsidRDefault="005C5514">
      <w:pPr>
        <w:pStyle w:val="Heading2"/>
      </w:pPr>
      <w:r>
        <w:t>1.5 Thesis structure</w:t>
      </w:r>
    </w:p>
    <w:p w14:paraId="3D812E8D" w14:textId="77777777" w:rsidR="006E3777" w:rsidRDefault="006E3777">
      <w:pPr>
        <w:spacing w:after="160" w:line="319" w:lineRule="auto"/>
        <w:jc w:val="both"/>
        <w:rPr>
          <w:kern w:val="2"/>
          <w14:ligatures w14:val="standardContextual"/>
        </w:rPr>
      </w:pPr>
      <w:r>
        <w:t>The thesis is organised in three parts. Chapters 1 to 3 frame the problem: this introduction, a focused literature review in Chapter 2 that examines the three streams discussed above and identifies the specific gap, and a domain background chapter in Chapter 3 on the U.S. crude oil network, which grounds the design choices that follow in the physical system itself.</w:t>
      </w:r>
    </w:p>
    <w:p w14:paraId="5357D883" w14:textId="047FA242" w:rsidR="006E3777" w:rsidRDefault="006E3777">
      <w:pPr>
        <w:spacing w:after="160" w:line="319" w:lineRule="auto"/>
        <w:jc w:val="both"/>
        <w:rPr>
          <w:kern w:val="2"/>
          <w14:ligatures w14:val="standardContextual"/>
        </w:rPr>
      </w:pPr>
      <w:r>
        <w:lastRenderedPageBreak/>
        <w:t>Chapters 4 to 8 develop the main contribution. Chapter 4 sets out the design principles that govern the representation. Chapter 5 translates those principles into a concrete schema and graph-construction process. Chapter 6 describes the resolver that consumes the schema and produces the per</w:t>
      </w:r>
      <w:r w:rsidR="00081E26">
        <w:t>- (</w:t>
      </w:r>
      <w:r>
        <w:t>variable, date) data tensor. Chapter 7 presents the consistency guarantees supported by the framework and the audits used to demonstrate them. Chapter 8 then introduces the linear programme that acts as the first downstream consumer of the resolved data.</w:t>
      </w:r>
    </w:p>
    <w:p w14:paraId="7209FE68" w14:textId="77777777" w:rsidR="006E3777" w:rsidRDefault="006E3777">
      <w:pPr>
        <w:spacing w:after="160" w:line="319" w:lineRule="auto"/>
        <w:jc w:val="both"/>
        <w:rPr>
          <w:kern w:val="2"/>
          <w14:ligatures w14:val="standardContextual"/>
        </w:rPr>
      </w:pPr>
      <w:r>
        <w:t>Chapters 9 and 10 close the thesis. Chapter 9 presents a case study that follows the framework end to end on a concrete scenario. Chapter 10 summarises the contribution, discusses the framework's readiness for graph neural network forecasting as a natural next consumer, and outlines a broader roadmap for future development.</w:t>
      </w:r>
    </w:p>
    <w:p w14:paraId="5CDBFB98" w14:textId="77777777" w:rsidR="006E3777" w:rsidRDefault="006E3777">
      <w:pPr>
        <w:spacing w:after="160" w:line="319" w:lineRule="auto"/>
        <w:jc w:val="both"/>
        <w:rPr>
          <w:kern w:val="2"/>
          <w14:ligatures w14:val="standardContextual"/>
        </w:rPr>
      </w:pPr>
      <w:r>
        <w:t>The annexes provide supporting reference material. Annex A offers a primer on graph neural networks for readers who want to follow the GNN-readiness discussion in Chapter 10 in more detail. Annex B compares asset-centric and location-centric graph representations. Annex C documents the resolver's dispatch rules, and Annex D catalogues the variables included in the starter scenario.</w:t>
      </w:r>
    </w:p>
    <w:p w14:paraId="36BCFB31" w14:textId="77777777" w:rsidR="008E1B31" w:rsidRDefault="005C5514">
      <w:pPr>
        <w:pStyle w:val="Heading1"/>
        <w:pageBreakBefore/>
      </w:pPr>
      <w:r>
        <w:lastRenderedPageBreak/>
        <w:t>2. Literature Review</w:t>
      </w:r>
    </w:p>
    <w:p w14:paraId="07765D71" w14:textId="77777777" w:rsidR="006E3777" w:rsidRDefault="006E3777">
      <w:pPr>
        <w:spacing w:after="160" w:line="319" w:lineRule="auto"/>
        <w:jc w:val="both"/>
        <w:rPr>
          <w:kern w:val="2"/>
          <w14:ligatures w14:val="standardContextual"/>
        </w:rPr>
      </w:pPr>
      <w:r>
        <w:t>This thesis sits at the intersection of three research streams: petroleum supply chain optimisation, which has produced many of the dominant tools used to analyse crude oil logistics; graph data models and graph representation learning, which provide the methodological basis for downstream forecasting and relational modelling; and energy statistics conventions, which shape how the underlying public data is published and used in practice. This chapter reviews each stream with a focus on what it contributes and, just as importantly, what it leaves unresolved. It then brings those strands together to clarify the gap that motivates the present work.</w:t>
      </w:r>
    </w:p>
    <w:p w14:paraId="36BCFB33" w14:textId="77777777" w:rsidR="008E1B31" w:rsidRDefault="005C5514">
      <w:pPr>
        <w:pStyle w:val="Heading2"/>
      </w:pPr>
      <w:r>
        <w:t>2.1 Petroleum supply chain optimisation</w:t>
      </w:r>
    </w:p>
    <w:p w14:paraId="49A0534A" w14:textId="77777777" w:rsidR="006E3777" w:rsidRDefault="006E3777">
      <w:pPr>
        <w:spacing w:after="160" w:line="319" w:lineRule="auto"/>
        <w:jc w:val="both"/>
        <w:rPr>
          <w:kern w:val="2"/>
          <w14:ligatures w14:val="standardContextual"/>
        </w:rPr>
      </w:pPr>
      <w:r>
        <w:t>The literature on crude oil and refined-product supply chains is extensive and well established. Most contributions fall into one of two broad methodological groups: deterministic mathematical programming, especially mixed-integer linear programming and related formulations, and uncertainty-aware extensions such as stochastic and robust optimisation.</w:t>
      </w:r>
    </w:p>
    <w:p w14:paraId="6DCF7C2E" w14:textId="77777777" w:rsidR="006E3777" w:rsidRDefault="006E3777">
      <w:pPr>
        <w:spacing w:after="160" w:line="319" w:lineRule="auto"/>
        <w:jc w:val="both"/>
        <w:rPr>
          <w:kern w:val="2"/>
          <w14:ligatures w14:val="standardContextual"/>
        </w:rPr>
      </w:pPr>
      <w:r>
        <w:t>Fernandes, Relvas, and Barbosa-Póvoa (2013) develop a deterministic MILP for the strategic design of multi-entity, multi-echelon, and multi-product downstream petroleum supply chains, using the Portuguese network as a case study. Their model captures the facility-location and capacity decisions that distinguish strategic network design from day-to-day planning. Kazemi and Szmerekovsky (2015) extend this line of work to multimodal transportation, showing that the joint treatment of pipeline, rail, marine, and truck transport can materially change the optimal solution when compared with single-mode formulations. Ghaithan, Attia, and Duffuaa (2017) move toward tactical planning in an integrated oil and gas setting, formulating a multi-objective optimisation model that balances cost, revenue, and service-level targets in a Saudi Arabian case.</w:t>
      </w:r>
    </w:p>
    <w:p w14:paraId="74361A8B" w14:textId="26637F14" w:rsidR="006E3777" w:rsidRDefault="006E3777">
      <w:pPr>
        <w:spacing w:after="160" w:line="319" w:lineRule="auto"/>
        <w:jc w:val="both"/>
        <w:rPr>
          <w:kern w:val="2"/>
          <w14:ligatures w14:val="standardContextual"/>
        </w:rPr>
      </w:pPr>
      <w:r>
        <w:t xml:space="preserve">On the uncertainty side, Ribas, Hamacher, and Street (2010) develop stochastic programming models for integrated oil-chain planning under uncertainty in demand, production, and prices. Lima, Relvas, and Barbosa-Póvoa (2016), in their broad review of downstream oil supply chain management, show how common robust and stochastic formulations have become in this field. One recurring issue in that review is especially relevant here: the level of detail at which optimisation models are built often does not match the level of detail at which real input data is </w:t>
      </w:r>
      <w:r w:rsidR="00301576">
        <w:t>available</w:t>
      </w:r>
      <w:r>
        <w:t>.</w:t>
      </w:r>
    </w:p>
    <w:p w14:paraId="5719DF47" w14:textId="77777777" w:rsidR="006E3777" w:rsidRDefault="006E3777">
      <w:pPr>
        <w:spacing w:after="160" w:line="319" w:lineRule="auto"/>
        <w:jc w:val="both"/>
        <w:rPr>
          <w:kern w:val="2"/>
          <w14:ligatures w14:val="standardContextual"/>
        </w:rPr>
      </w:pPr>
      <w:r>
        <w:t>What these contributions have in common is the level of abstraction at which the network is represented. Nodes are usually large aggregates—refineries, demand centres, production regions—and edges are abstract connections defined in terms of cost, capacity, or lead time. That is entirely appropriate for the strategic and tactical questions these models are meant to answer, such as where to locate capacity or how to allocate supply across regions. It is much less helpful, however, for the separate question of how to represent the system itself in a way that can absorb multi-resolution data and support different types of downstream consumers.</w:t>
      </w:r>
    </w:p>
    <w:p w14:paraId="320D9D16" w14:textId="22EA21D5" w:rsidR="006E3777" w:rsidRDefault="006E3777">
      <w:pPr>
        <w:spacing w:after="160" w:line="319" w:lineRule="auto"/>
        <w:jc w:val="both"/>
        <w:rPr>
          <w:kern w:val="2"/>
          <w14:ligatures w14:val="standardContextual"/>
        </w:rPr>
      </w:pPr>
      <w:r>
        <w:lastRenderedPageBreak/>
        <w:t xml:space="preserve">A related issue is that this literature often treats supply chain modelling and logistics modelling as if they were effectively the same. They are clearly related, but they are not identical. Classical supply chain optimisation is mainly concerned with questions of multi-firm coordination, procurement, facility location, and strategic capacity—how the network should be designed and how commitments should be distributed across firms. Logistics network modelling is closer to the operational layer of a given network: how flows move through fixed assets, where inventories accumulate, and what kinds of consistency the available data </w:t>
      </w:r>
      <w:r w:rsidR="00DC7B18">
        <w:t>supports</w:t>
      </w:r>
      <w:r>
        <w:t>. This thesis belongs to that second. The design choices that follow—asset-centric nodes, stable topology, and schema-level consistency—respond to logistics requirements rather than to the more aggregated concerns of supply chain design.</w:t>
      </w:r>
    </w:p>
    <w:p w14:paraId="36BCFB39" w14:textId="77777777" w:rsidR="008E1B31" w:rsidRDefault="005C5514">
      <w:pPr>
        <w:pStyle w:val="Heading2"/>
      </w:pPr>
      <w:r>
        <w:t>2.2 Graph data models for commodity and logistics networks</w:t>
      </w:r>
    </w:p>
    <w:p w14:paraId="75035457" w14:textId="77777777" w:rsidR="006E3777" w:rsidRDefault="006E3777">
      <w:pPr>
        <w:spacing w:after="160" w:line="319" w:lineRule="auto"/>
        <w:jc w:val="both"/>
        <w:rPr>
          <w:kern w:val="2"/>
          <w14:ligatures w14:val="standardContextual"/>
        </w:rPr>
      </w:pPr>
      <w:r>
        <w:t>The use of graph data models in commodity networks specifically—as distinct from more general supply chain applications—is relatively recent. Kosasih and Brintrup (2022) show that GNN-based methods can predict hidden links in supply chain networks, revealing dependencies that aggregate-level data tends to miss. Wasi et al. (2024) introduce SupplyGraph, the first benchmark dataset explicitly designed for GNN-based supply chain analytics, with tasks such as demand forecasting, production planning, and product classification. Ahn et al. (2024) develop a probabilistic GNN model for supply and inventory prediction using data from a global consumer-goods company, showing that attention-based graph architectures can improve predictive performance by capturing cascading effects across nodes.</w:t>
      </w:r>
    </w:p>
    <w:p w14:paraId="61EEF33E" w14:textId="50AEAA51" w:rsidR="006E3777" w:rsidRDefault="006E3777">
      <w:pPr>
        <w:spacing w:after="160" w:line="319" w:lineRule="auto"/>
        <w:jc w:val="both"/>
        <w:rPr>
          <w:kern w:val="2"/>
          <w14:ligatures w14:val="standardContextual"/>
        </w:rPr>
      </w:pPr>
      <w:r>
        <w:t xml:space="preserve">These studies are important because they show that graph-based methods can add value in commodity and logistics settings beyond what isolated node-level time-series models usually provide. At the same time, they share a limitation from the perspective of this thesis: each is built around its own application-specific data representation. In other words, the representation is tailored to the task rather than treated as a </w:t>
      </w:r>
      <w:r w:rsidR="00F263B6">
        <w:t>contribution</w:t>
      </w:r>
      <w:r>
        <w:t xml:space="preserve">. SupplyGraph, for example, is structured around production lines and demand centres in </w:t>
      </w:r>
      <w:r w:rsidR="00F263B6">
        <w:t>fast-moving consumer-goods</w:t>
      </w:r>
      <w:r>
        <w:t xml:space="preserve"> setting. Its node types, edge meanings, and temporal resolution make sense there, but they do not transfer directly to crude oil logistics.</w:t>
      </w:r>
    </w:p>
    <w:p w14:paraId="5C5B2A31" w14:textId="77777777" w:rsidR="006E3777" w:rsidRDefault="006E3777">
      <w:pPr>
        <w:spacing w:after="160" w:line="319" w:lineRule="auto"/>
        <w:jc w:val="both"/>
        <w:rPr>
          <w:kern w:val="2"/>
          <w14:ligatures w14:val="standardContextual"/>
        </w:rPr>
      </w:pPr>
      <w:r>
        <w:t>Behind these applied studies sits a broader graph representation learning literature. Foundational work on random-walk embeddings (Perozzi et al., 2014; Grover and Leskovec, 2016; Tang et al., 2015) and on graph neural networks more directly (Kipf and Welling, 2017; Veličković et al., 2018; Hamilton, Ying, and Leskovec, 2017) established the methodological base that later work builds on. Surveys by Wu et al. (2020) and Jin et al. (2024) provide useful overviews of this rapidly expanding field, with the latter focusing specifically on the interface between graph methods and time-series modelling. Temporal extensions such as TGAT (Xu et al., 2020), TGN (Rossi et al., 2020), and causal anonymous walks (Wang et al., 2021), together with hybrid architectures like DCRNN (Li et al., 2018) and STGCN (Yu, Yin, and Zhu, 2018), make the temporal dimension an explicit part of the modelling framework.</w:t>
      </w:r>
    </w:p>
    <w:p w14:paraId="043D9A3A" w14:textId="77777777" w:rsidR="006E3777" w:rsidRDefault="006E3777">
      <w:pPr>
        <w:spacing w:after="160" w:line="319" w:lineRule="auto"/>
        <w:jc w:val="both"/>
        <w:rPr>
          <w:kern w:val="2"/>
          <w14:ligatures w14:val="standardContextual"/>
        </w:rPr>
      </w:pPr>
      <w:r>
        <w:lastRenderedPageBreak/>
        <w:t>The traffic forecasting literature is particularly relevant to the present work, especially because DCRNN and STGCN have become standard reference models in that area. Traffic networks share several structural features with crude oil logistics networks: a largely stable physical topology, clearly identified nodes, and forecasting targets that depend both on local temporal behaviour and on dependencies that propagate through the network. The comparison is not perfect, but it is close enough to be useful. One of the goals of the framework developed in this thesis is to make that methodological transfer from traffic to commodity logistics possible in a more concrete and principled way. Annex A provides a fuller methodological background for readers who want to follow the GNN-readiness discussion in Chapter 10 more closely.</w:t>
      </w:r>
    </w:p>
    <w:p w14:paraId="7B011E4B" w14:textId="77777777" w:rsidR="006E3777" w:rsidRDefault="006E3777">
      <w:pPr>
        <w:spacing w:after="160" w:line="319" w:lineRule="auto"/>
        <w:jc w:val="both"/>
        <w:rPr>
          <w:kern w:val="2"/>
          <w14:ligatures w14:val="standardContextual"/>
        </w:rPr>
      </w:pPr>
      <w:r>
        <w:t>The comparison is informative as much for its differences as for its similarities. Traffic networks carry many independent agents — individual drivers responding to local signals on a second-by-second timescale — while crude oil networks carry few large commercial entities whose flow decisions are negotiated through contracts and nominated weeks in advance. Traffic data is dense, with GPS-derived counts on every monitored road; crude oil data is sparse, with a handful of monthly EIA series defining what is publicly observable. Mass balance in traffic is the conservation of vehicles across an intersection, with no explicit inventory; mass balance in oil is the conservation of barrels at every junction, with substantial inventory carried in tank farms, on vessels, and as line-fill in the pipelines themselves. Several oil pipelines reverse direction over the modelled period (Capline in 2022, Seaway in 2012); equivalent topology changes are rare in traffic networks at any useful temporal granularity. The structural parallel — fixed topology, identified nodes, flows with both local and propagating dependencies — is genuine, but the parallels in data density and operational timescale need to be qualified before traffic-network methods are adopted directly.</w:t>
      </w:r>
    </w:p>
    <w:p w14:paraId="36BCFB3E" w14:textId="77777777" w:rsidR="008E1B31" w:rsidRDefault="005C5514">
      <w:pPr>
        <w:pStyle w:val="Heading2"/>
      </w:pPr>
      <w:r>
        <w:t>2.3 Energy statistics conventions and the practitioner workflow</w:t>
      </w:r>
    </w:p>
    <w:p w14:paraId="5DE9957F" w14:textId="77777777" w:rsidR="006E3777" w:rsidRDefault="006E3777">
      <w:pPr>
        <w:spacing w:after="160" w:line="319" w:lineRule="auto"/>
        <w:jc w:val="both"/>
        <w:rPr>
          <w:kern w:val="2"/>
          <w14:ligatures w14:val="standardContextual"/>
        </w:rPr>
      </w:pPr>
      <w:r>
        <w:t>The third stream is less academic in form, but it is closer to the practical problem that motivated this thesis. It concerns the conventions through which energy statistics are published by national and international agencies, and the analytical workflows built around those conventions.</w:t>
      </w:r>
    </w:p>
    <w:p w14:paraId="1C2E54DD" w14:textId="073D8033" w:rsidR="006E3777" w:rsidRDefault="006E3777">
      <w:pPr>
        <w:spacing w:after="160" w:line="319" w:lineRule="auto"/>
        <w:jc w:val="both"/>
        <w:rPr>
          <w:kern w:val="2"/>
          <w14:ligatures w14:val="standardContextual"/>
        </w:rPr>
      </w:pPr>
      <w:r>
        <w:t>The U.S. Energy Information Administration publishes a wide range of monthly series covering crude oil production, refining, stocks, trade, and movements between PADDs. These series are organised both by data type and by geographic resolution, ranging from national and PADD-level views to refining districts and, in a few cases, facility-level detail. The same physical quantity often appears at several resolutions at once. U.S.-level production is reported separately from PADD-level production, which is in turn distinct from named-basin production within each PADD. These series do not always reconcile exactly across levels, and the differences usually reflect reporting timing, custody-transfer conventions, or coverage choices rather than simple measurement error.</w:t>
      </w:r>
      <w:r w:rsidR="0057550F">
        <w:t xml:space="preserve"> That is a common </w:t>
      </w:r>
      <w:r w:rsidR="00E6032D">
        <w:t>issue on data available for the network. Some data providers specialize in measuring inventories by using satellite imagery. Other</w:t>
      </w:r>
      <w:r w:rsidR="00F64906">
        <w:t xml:space="preserve">s use infra-red cameras to measure activity in refineries. </w:t>
      </w:r>
      <w:r w:rsidR="00B12B3E">
        <w:t xml:space="preserve">And the frequency of </w:t>
      </w:r>
      <w:r w:rsidR="00B12B3E">
        <w:lastRenderedPageBreak/>
        <w:t>the data varies among them, from minute by minute (vessel GPS positioning) to daily to weekly to monthly to yearly.</w:t>
      </w:r>
    </w:p>
    <w:p w14:paraId="74F42C96" w14:textId="77777777" w:rsidR="006E3777" w:rsidRDefault="006E3777">
      <w:pPr>
        <w:spacing w:after="160" w:line="319" w:lineRule="auto"/>
        <w:jc w:val="both"/>
        <w:rPr>
          <w:kern w:val="2"/>
          <w14:ligatures w14:val="standardContextual"/>
        </w:rPr>
      </w:pPr>
      <w:r>
        <w:t>PADD stands for Petroleum Administration for Defense District. The five PADDs were established in 1942 to coordinate wartime petroleum logistics and have remained the primary regional grouping used by EIA ever since: PADD 1 covers the East Coast, PADD 2 the Midwest, PADD 3 the Gulf Coast, PADD 4 the Rocky Mountain region, and PADD 5 the West Coast. EIA reports production, refining, consumption, stocks, and inter-district movements at this resolution. The framework's partition tree uses the same five-district structure as its primary geographic spine.</w:t>
      </w:r>
    </w:p>
    <w:p w14:paraId="58007950" w14:textId="77777777" w:rsidR="006E3777" w:rsidRDefault="006E3777">
      <w:pPr>
        <w:spacing w:after="160" w:line="319" w:lineRule="auto"/>
        <w:jc w:val="both"/>
        <w:rPr>
          <w:kern w:val="2"/>
          <w14:ligatures w14:val="standardContextual"/>
        </w:rPr>
      </w:pPr>
      <w:r>
        <w:t>The International Energy Agency follows a similar pattern at the international level in its monthly Oil Market Report and annual World Energy Balances. Importantly, the IEA retains an explicit balancing item in its supply-demand tables, defined as the residual between observed stock changes and the sum of observed flows. That convention matters here because it treats the residual as information rather than as noise to be hidden. The size and sign of the balancing item indicate where the reporting system is not closing cleanly, and the IEA does not try to make that issue disappear by silently folding it into nearby quantities.</w:t>
      </w:r>
    </w:p>
    <w:p w14:paraId="5A3079E2" w14:textId="2A36838E" w:rsidR="006E3777" w:rsidRDefault="006E3777">
      <w:pPr>
        <w:spacing w:after="160" w:line="319" w:lineRule="auto"/>
        <w:jc w:val="both"/>
        <w:rPr>
          <w:kern w:val="2"/>
          <w14:ligatures w14:val="standardContextual"/>
        </w:rPr>
      </w:pPr>
      <w:r>
        <w:t xml:space="preserve">The workflow built around these series is familiar across trading firms, consultancies, and integrated oil companies, and it is the immediate practical context for this thesis. Analysts typically maintain spreadsheets or </w:t>
      </w:r>
      <w:r w:rsidR="00F36414">
        <w:t>pandas’</w:t>
      </w:r>
      <w:r>
        <w:t xml:space="preserve"> notebooks that ingest EIA and IEA series, reconcile them across resolutions as best they can, and then produce derived quantities such as implied flows, regional balances, or term-structure indicators. The workflow works, in the sense that it produces usable outputs, but it also has well-known weaknesses.</w:t>
      </w:r>
    </w:p>
    <w:p w14:paraId="36BCFB43" w14:textId="77777777" w:rsidR="008E1B31" w:rsidRDefault="005C5514">
      <w:pPr>
        <w:spacing w:after="160" w:line="320" w:lineRule="auto"/>
        <w:jc w:val="both"/>
      </w:pPr>
      <w:r>
        <w:t xml:space="preserve">First, </w:t>
      </w:r>
      <w:r>
        <w:rPr>
          <w:b/>
          <w:bCs/>
        </w:rPr>
        <w:t>reconciliation is implicit and inconsistent across analysts.</w:t>
      </w:r>
      <w:r>
        <w:t xml:space="preserve"> Each workbook makes its own hardcoded allocation rules and absorbs the residual into a custom "adjustment" term. Two analysts working on the same underlying data produce different derived quantities because their reconciliation choices differ.</w:t>
      </w:r>
    </w:p>
    <w:p w14:paraId="36BCFB44" w14:textId="2512E01F" w:rsidR="008E1B31" w:rsidRDefault="005C5514">
      <w:pPr>
        <w:spacing w:after="160" w:line="320" w:lineRule="auto"/>
        <w:jc w:val="both"/>
      </w:pPr>
      <w:r>
        <w:t xml:space="preserve">Second, </w:t>
      </w:r>
      <w:r>
        <w:rPr>
          <w:b/>
          <w:bCs/>
        </w:rPr>
        <w:t>provenance is lost.</w:t>
      </w:r>
      <w:r>
        <w:t xml:space="preserve"> A derived quantity in a typical workbook depends on a chain of allocations and adjustments, and tracing any specific value back to its inputs requires </w:t>
      </w:r>
      <w:r w:rsidR="00F36414">
        <w:t>reverse engineering</w:t>
      </w:r>
      <w:r>
        <w:t xml:space="preserve"> the workbook. This makes the workflow difficult to audit and difficult to extend.</w:t>
      </w:r>
    </w:p>
    <w:p w14:paraId="36BCFB45" w14:textId="39DC855B" w:rsidR="008E1B31" w:rsidRDefault="005C5514">
      <w:pPr>
        <w:spacing w:after="160" w:line="320" w:lineRule="auto"/>
        <w:jc w:val="both"/>
      </w:pPr>
      <w:r>
        <w:t xml:space="preserve">Third, </w:t>
      </w:r>
      <w:r>
        <w:rPr>
          <w:b/>
          <w:bCs/>
        </w:rPr>
        <w:t>multi-resolution mixing is ha</w:t>
      </w:r>
      <w:r w:rsidR="00F36414">
        <w:rPr>
          <w:b/>
          <w:bCs/>
        </w:rPr>
        <w:t>r</w:t>
      </w:r>
      <w:r>
        <w:rPr>
          <w:b/>
          <w:bCs/>
        </w:rPr>
        <w:t>d-coded.</w:t>
      </w:r>
      <w:r>
        <w:t xml:space="preserve"> When a finer-resolution series becomes available — for example, EIA's PADD-level stock decomposition into commercial and SPR portions — incorporating it requires modifying the workbook's allocation logic</w:t>
      </w:r>
      <w:r w:rsidR="00F36414">
        <w:t xml:space="preserve"> by changing configuration files</w:t>
      </w:r>
      <w:r>
        <w:t>, often introducing inconsistencies with the legacy resolution that was previously authoritative.</w:t>
      </w:r>
    </w:p>
    <w:p w14:paraId="565F74BF" w14:textId="0D2CEF71" w:rsidR="006E3777" w:rsidRDefault="006E3777">
      <w:pPr>
        <w:spacing w:after="160" w:line="319" w:lineRule="auto"/>
        <w:jc w:val="both"/>
        <w:rPr>
          <w:kern w:val="2"/>
          <w14:ligatures w14:val="standardContextual"/>
        </w:rPr>
      </w:pPr>
      <w:r>
        <w:t>EIA was chosen for this thesis because it is public, free to access, and covers the United States consistently at monthly resolution from 2015 onward</w:t>
      </w:r>
      <w:r w:rsidR="00C95545">
        <w:t>, but the information is not necessarily consistent, one example bein</w:t>
      </w:r>
      <w:r w:rsidR="00ED672D">
        <w:t>g oil production on basins that are located in more than one PADD</w:t>
      </w:r>
      <w:r>
        <w:t xml:space="preserve">. Commercial sources occupy a complementary niche. Providers such as OilX, </w:t>
      </w:r>
      <w:r>
        <w:lastRenderedPageBreak/>
        <w:t>Genscape, Wood Mackenzie's IIR, and S&amp;P Global Commodity Insights collect higher-frequency and finer-granularity data through satellite imagery, gauge-level sensors, and survey panels, often resolving individual storage-tank levels and per-pipeline flows that public data aggregates away. The framework is designed to consume both. A scenario is defined as a coverage of authoritative bindings, and different scenarios can bind different variables to different sources; a single scenario can also mix public and commercial sources where each is available. The same physical asset graph therefore supports a public-only scenario for reproducibility, a commercial-augmented scenario for accuracy where licensed data is available, and per-source comparison scenarios for assessing where the cheapest data is good enough.</w:t>
      </w:r>
    </w:p>
    <w:p w14:paraId="2917D05D" w14:textId="77777777" w:rsidR="006E3777" w:rsidRDefault="006E3777">
      <w:pPr>
        <w:spacing w:after="160" w:line="319" w:lineRule="auto"/>
        <w:jc w:val="both"/>
        <w:rPr>
          <w:kern w:val="2"/>
          <w14:ligatures w14:val="standardContextual"/>
        </w:rPr>
      </w:pPr>
      <w:r>
        <w:t>Part of the purpose of this thesis is to turn that informal workflow into a structured representation. The axioms and corollaries introduced in Chapter 4 respond directly to the three limitations just described: schema-level single attribution addresses the problem of inconsistent reconciliation, the resolver's audit trail addresses the loss of provenance, and the separation between the persistent graph and scenario-specific state addresses the fragility of hand-coded multi-resolution mixing.</w:t>
      </w:r>
    </w:p>
    <w:p w14:paraId="36BCFB47" w14:textId="77777777" w:rsidR="008E1B31" w:rsidRDefault="005C5514">
      <w:pPr>
        <w:pStyle w:val="Heading2"/>
      </w:pPr>
      <w:r>
        <w:t>2.4 Synthesis and the research gap</w:t>
      </w:r>
    </w:p>
    <w:p w14:paraId="3EDB21B0" w14:textId="0D190CC9" w:rsidR="006E3777" w:rsidRDefault="006E3777">
      <w:pPr>
        <w:spacing w:after="160" w:line="319" w:lineRule="auto"/>
        <w:jc w:val="both"/>
        <w:rPr>
          <w:kern w:val="2"/>
          <w14:ligatures w14:val="standardContextual"/>
        </w:rPr>
      </w:pPr>
      <w:r>
        <w:t xml:space="preserve">Taken together, the three streams reviewed above point to a clear gap. The petroleum supply chain optimisation literature offers mathematical rigour using network abstractions that leave out both operational detail and the multi-resolution structure of the data. The graph data models literature offers increasingly powerful methods for relational and temporal learning assuming that the upstream representation is already clean and well formed. The energy statistics literature shows how the data is </w:t>
      </w:r>
      <w:r w:rsidR="006F1B2F">
        <w:t>published</w:t>
      </w:r>
      <w:r>
        <w:t xml:space="preserve"> and used, yet the workflow that connects those publications to downstream models remains largely ad hoc and difficult to audit or extend.</w:t>
      </w:r>
    </w:p>
    <w:p w14:paraId="03D60528" w14:textId="0C2D2EDE" w:rsidR="006E3777" w:rsidRDefault="00FB2104">
      <w:pPr>
        <w:spacing w:after="160" w:line="319" w:lineRule="auto"/>
        <w:jc w:val="both"/>
        <w:rPr>
          <w:kern w:val="2"/>
          <w14:ligatures w14:val="standardContextual"/>
        </w:rPr>
      </w:pPr>
      <w:r>
        <w:t>We present an upstream representation that: (a) admits the multi-resolution structure of public energy data without requiring each downstream consumer to reconcile it independently; (b) enforces single attribution and consistency at schema level rather than through post-hoc checks; (c) preserves the provenance of derived quantities so that any value can be traced back to its sources; (d) can be consumed by both classical optimisation models, such as linear programmes, and modern machine learning models, such as graph neural networks, without structural modification; and (e) exists as a working artefact rather than as an abstract proposal.</w:t>
      </w:r>
    </w:p>
    <w:p w14:paraId="0E9A7AC9" w14:textId="6BBC1D6E" w:rsidR="006E3777" w:rsidRDefault="00E270DB">
      <w:pPr>
        <w:spacing w:after="160" w:line="319" w:lineRule="auto"/>
        <w:jc w:val="both"/>
      </w:pPr>
      <w:r>
        <w:t>The asset-centric temporal graph methodology presented in Chapter 4 is the result of numerous designs that led to the implementation described in Chapter 5, the resolver presented in Chapter 6, the consistency guarantees demonstrated in Chapter 7, and the linear-programming consumer developed in Chapter 8. Graph neural network consumers are not implemented here, but their role as a natural next step is discussed in Chapter 10, where the argument for the framework's readiness is developed.</w:t>
      </w:r>
    </w:p>
    <w:p w14:paraId="350E690F" w14:textId="77777777" w:rsidR="008F3427" w:rsidRDefault="008F3427">
      <w:pPr>
        <w:spacing w:after="160" w:line="319" w:lineRule="auto"/>
        <w:jc w:val="both"/>
      </w:pPr>
    </w:p>
    <w:p w14:paraId="7309BDC7" w14:textId="18708177" w:rsidR="008F3427" w:rsidRDefault="008F3427">
      <w:pPr>
        <w:spacing w:after="160" w:line="319" w:lineRule="auto"/>
        <w:jc w:val="both"/>
        <w:rPr>
          <w:kern w:val="2"/>
          <w14:ligatures w14:val="standardContextual"/>
        </w:rPr>
      </w:pPr>
      <w:r>
        <w:t xml:space="preserve">While EIA data was used to develop the framework, the work focus on the different formats, frequency and granularity of available data. From single position of vessels from Kpler, specific flows and storage volumes from Genscape, to time series provided by the International Energy Agency. Flexible, consistent and scalable were obsessions </w:t>
      </w:r>
      <w:r w:rsidR="00420973">
        <w:t>constant obsessions of this work</w:t>
      </w:r>
      <w:r>
        <w:t>.</w:t>
      </w:r>
    </w:p>
    <w:p w14:paraId="36BCFB4C" w14:textId="77777777" w:rsidR="008E1B31" w:rsidRDefault="005C5514">
      <w:pPr>
        <w:pStyle w:val="Heading1"/>
        <w:pageBreakBefore/>
      </w:pPr>
      <w:r>
        <w:lastRenderedPageBreak/>
        <w:t>3. Domain Background: The U.S. Crude Oil Network</w:t>
      </w:r>
    </w:p>
    <w:p w14:paraId="7774F9BF" w14:textId="77777777" w:rsidR="00BD3161" w:rsidRDefault="00BD3161">
      <w:pPr>
        <w:spacing w:after="160" w:line="319" w:lineRule="auto"/>
        <w:jc w:val="both"/>
        <w:rPr>
          <w:kern w:val="2"/>
          <w14:ligatures w14:val="standardContextual"/>
        </w:rPr>
      </w:pPr>
      <w:r>
        <w:t>This chapter describes the physical and informational structure of the U.S. crude oil network at the level needed to make the design choices in later chapters clear. It is not intended as a full overview of the petroleum industry, which would go well beyond the scope of this thesis. Instead, the aim is narrower: to outline the assets, flows, and reporting conventions that the framework must represent. Readers already familiar with the industry may wish to skim parts of the chapter. For readers coming from a methods background, however, the discussion provides the practical context for the design principles introduced in Chapter 4.</w:t>
      </w:r>
    </w:p>
    <w:p w14:paraId="36BCFB4E" w14:textId="77777777" w:rsidR="008E1B31" w:rsidRDefault="005C5514">
      <w:pPr>
        <w:pStyle w:val="Heading2"/>
      </w:pPr>
      <w:r>
        <w:t>3.1 The physical layer</w:t>
      </w:r>
    </w:p>
    <w:p w14:paraId="2FAC78D8" w14:textId="77777777" w:rsidR="00BD3161" w:rsidRDefault="00BD3161">
      <w:pPr>
        <w:spacing w:after="160" w:line="319" w:lineRule="auto"/>
        <w:jc w:val="both"/>
        <w:rPr>
          <w:kern w:val="2"/>
          <w14:ligatures w14:val="standardContextual"/>
        </w:rPr>
      </w:pPr>
      <w:r>
        <w:t>At the scale of the United States, the crude oil system can be described in terms of four broad physical layers: upstream production, midstream gathering and transportation, downstream refining, and the storage and export infrastructure that links the domestic network to the international market.</w:t>
      </w:r>
    </w:p>
    <w:p w14:paraId="16CCEEF3" w14:textId="77777777" w:rsidR="00BD3161" w:rsidRDefault="00BD3161">
      <w:pPr>
        <w:spacing w:after="160" w:line="319" w:lineRule="auto"/>
        <w:jc w:val="both"/>
        <w:rPr>
          <w:kern w:val="2"/>
          <w14:ligatures w14:val="standardContextual"/>
        </w:rPr>
      </w:pPr>
      <w:r>
        <w:t xml:space="preserve">The </w:t>
      </w:r>
      <w:r>
        <w:rPr>
          <w:b/>
          <w:bCs/>
        </w:rPr>
        <w:t>upstream layer</w:t>
      </w:r>
      <w:r>
        <w:t xml:space="preserve"> consists of the assets that bring crude oil to the surface. In the U.S. context, these fall into three main categories. The first is onshore conventional production, the historical core of U.S. output, based on wells drilled into permeable reservoirs and produced through natural pressure or artificial lift. The second is offshore production, concentrated in federal waters in the Gulf of America (formerly the Gulf of Mexico), where large fixed and floating platforms operate above sub-sea wells. The third is shale and tight oil production, which reshaped U.S. supply from around 2010 onward through horizontal drilling and hydraulic fracturing. The Permian in Texas and New Mexico, the Bakken in North Dakota and Montana, and the Eagle Ford in Texas are the most important examples, and together they shifted the centre of U.S. production decisively toward these basins.</w:t>
      </w:r>
    </w:p>
    <w:p w14:paraId="1941D796" w14:textId="77777777" w:rsidR="00BD3161" w:rsidRDefault="00BD3161">
      <w:pPr>
        <w:spacing w:after="160" w:line="319" w:lineRule="auto"/>
        <w:jc w:val="both"/>
        <w:rPr>
          <w:kern w:val="2"/>
          <w14:ligatures w14:val="standardContextual"/>
        </w:rPr>
      </w:pPr>
      <w:r>
        <w:t xml:space="preserve">The </w:t>
      </w:r>
      <w:r>
        <w:rPr>
          <w:b/>
          <w:bCs/>
        </w:rPr>
        <w:t>midstream layer</w:t>
      </w:r>
      <w:r>
        <w:t xml:space="preserve"> moves crude from where it is produced to where it is stored, refined, or exported. Gathering systems collect output from many individual wells and convert it into custody-grade volumes suitable for longer-distance transport. From there, trunk pipelines carry crude across hundreds or sometimes thousands of miles between producing regions, hubs, storage terminals, and refining centres. Marine transport handles longer-distance and international movements, especially through the Gulf Coast export system, using vessel classes such as Aframax, Suezmax, and VLCC. Rail and truck move much smaller volumes in aggregate, but they remain important where pipeline coverage is limited, as was particularly visible during the early Bakken expansion before sufficient pipeline capacity was built.</w:t>
      </w:r>
    </w:p>
    <w:p w14:paraId="3FA02CD7" w14:textId="77777777" w:rsidR="00BD3161" w:rsidRDefault="00BD3161">
      <w:pPr>
        <w:spacing w:after="160" w:line="319" w:lineRule="auto"/>
        <w:jc w:val="both"/>
        <w:rPr>
          <w:kern w:val="2"/>
          <w14:ligatures w14:val="standardContextual"/>
        </w:rPr>
      </w:pPr>
      <w:r>
        <w:t xml:space="preserve">The </w:t>
      </w:r>
      <w:r>
        <w:rPr>
          <w:b/>
          <w:bCs/>
        </w:rPr>
        <w:t>storage layer</w:t>
      </w:r>
      <w:r>
        <w:t xml:space="preserve"> sits between midstream and downstream and absorbs much of the system's short-term imbalance. Commercial tank farms at major hubs such as Cushing, Patoka, Houston, St. James, and the LOOP system provide the working storage used by refiners, traders, and pipeline operators. Alongside them sits the Strategic Petroleum Reserve, a set of underground salt-cavern sites on the Gulf Coast that the U.S. government can draw on during major supply disruptions.</w:t>
      </w:r>
    </w:p>
    <w:p w14:paraId="68593F45" w14:textId="77777777" w:rsidR="00BD3161" w:rsidRDefault="00BD3161">
      <w:pPr>
        <w:spacing w:after="160" w:line="319" w:lineRule="auto"/>
        <w:jc w:val="both"/>
        <w:rPr>
          <w:kern w:val="2"/>
          <w14:ligatures w14:val="standardContextual"/>
        </w:rPr>
      </w:pPr>
      <w:r>
        <w:lastRenderedPageBreak/>
        <w:t xml:space="preserve">The </w:t>
      </w:r>
      <w:r>
        <w:rPr>
          <w:b/>
          <w:bCs/>
        </w:rPr>
        <w:t>downstream layer</w:t>
      </w:r>
      <w:r>
        <w:t xml:space="preserve"> is where crude oil is converted into refined products. U.S. refineries number in the low hundreds and are concentrated most heavily in PADD 3 on the Gulf Coast, with smaller but still important clusters in PADD 2, PADD 1, PADD 5, and PADD 4. These refineries differ materially in complexity, capacity, and crude slate. Some smaller plants process less than 50 kbd, while the largest Gulf Coast sites exceed 600 kbd. Complexity also varies, commonly summarised through the Nelson Complexity Index, as does the mix of crude grades each refinery is designed to run efficiently. For the purposes of this thesis, the downstream layer marks the point at which crude exits the modelled system and reappears as refined products.</w:t>
      </w:r>
    </w:p>
    <w:p w14:paraId="36BCFB54" w14:textId="77777777" w:rsidR="008E1B31" w:rsidRDefault="005C5514">
      <w:pPr>
        <w:spacing w:after="160" w:line="320" w:lineRule="auto"/>
        <w:jc w:val="both"/>
      </w:pPr>
      <w:r>
        <w:t>The figure below shows the physical structure schematically, with arrows indicating the direction of crude flow through the chain.</w:t>
      </w:r>
    </w:p>
    <w:p w14:paraId="36BCFB55" w14:textId="1C7F762A" w:rsidR="008E1B31" w:rsidRDefault="008E1B31">
      <w:pPr>
        <w:spacing w:before="240" w:after="120"/>
        <w:jc w:val="center"/>
      </w:pPr>
    </w:p>
    <w:p w14:paraId="36BCFB57" w14:textId="77777777" w:rsidR="008E1B31" w:rsidRDefault="005C5514">
      <w:pPr>
        <w:pStyle w:val="Heading2"/>
      </w:pPr>
      <w:r>
        <w:t>3.2 The PADD structure</w:t>
      </w:r>
    </w:p>
    <w:p w14:paraId="7B910EC0" w14:textId="77777777" w:rsidR="00BD3161" w:rsidRDefault="00BD3161">
      <w:pPr>
        <w:spacing w:after="160" w:line="319" w:lineRule="auto"/>
        <w:jc w:val="both"/>
        <w:rPr>
          <w:kern w:val="2"/>
          <w14:ligatures w14:val="standardContextual"/>
        </w:rPr>
      </w:pPr>
      <w:r>
        <w:t>The U.S. Energy Information Administration organises petroleum statistics around five Petroleum Administration for Defense Districts, or PADDs. These districts were created during the Second World War for fuel rationing and distribution purposes, but they have remained the dominant geographic structure for U.S. petroleum reporting ever since. The five PADDs group states as follows:</w:t>
      </w:r>
    </w:p>
    <w:tbl>
      <w:tblPr>
        <w:tblStyle w:val="TableGrid"/>
        <w:tblW w:w="9067" w:type="dxa"/>
        <w:tblLook w:val="04A0" w:firstRow="1" w:lastRow="0" w:firstColumn="1" w:lastColumn="0" w:noHBand="0" w:noVBand="1"/>
      </w:tblPr>
      <w:tblGrid>
        <w:gridCol w:w="1129"/>
        <w:gridCol w:w="2477"/>
        <w:gridCol w:w="5461"/>
      </w:tblGrid>
      <w:tr w:rsidR="00711530" w:rsidRPr="00666B2D" w14:paraId="2F6ADF3B" w14:textId="77777777" w:rsidTr="000C3B52">
        <w:tc>
          <w:tcPr>
            <w:tcW w:w="1129" w:type="dxa"/>
            <w:shd w:val="clear" w:color="auto" w:fill="000000" w:themeFill="text1"/>
          </w:tcPr>
          <w:p w14:paraId="0FBEE4A9" w14:textId="77777777" w:rsidR="00711530" w:rsidRPr="00666B2D" w:rsidRDefault="00711530" w:rsidP="00666B2D">
            <w:pPr>
              <w:spacing w:after="160" w:line="320" w:lineRule="auto"/>
              <w:jc w:val="both"/>
            </w:pPr>
            <w:r>
              <w:t xml:space="preserve"> PADD </w:t>
            </w:r>
          </w:p>
        </w:tc>
        <w:tc>
          <w:tcPr>
            <w:tcW w:w="2477" w:type="dxa"/>
            <w:shd w:val="clear" w:color="auto" w:fill="000000" w:themeFill="text1"/>
          </w:tcPr>
          <w:p w14:paraId="2956DCD2" w14:textId="5F9FB5D2" w:rsidR="00711530" w:rsidRPr="00666B2D" w:rsidRDefault="00711530" w:rsidP="00666B2D">
            <w:pPr>
              <w:spacing w:after="160" w:line="320" w:lineRule="auto"/>
              <w:jc w:val="both"/>
            </w:pPr>
            <w:r>
              <w:t xml:space="preserve">Coverage </w:t>
            </w:r>
          </w:p>
        </w:tc>
        <w:tc>
          <w:tcPr>
            <w:tcW w:w="5461" w:type="dxa"/>
            <w:shd w:val="clear" w:color="auto" w:fill="000000" w:themeFill="text1"/>
          </w:tcPr>
          <w:p w14:paraId="04622B53" w14:textId="77777777" w:rsidR="00711530" w:rsidRPr="00666B2D" w:rsidRDefault="00711530" w:rsidP="00666B2D">
            <w:pPr>
              <w:spacing w:after="160" w:line="320" w:lineRule="auto"/>
              <w:jc w:val="both"/>
            </w:pPr>
            <w:r>
              <w:t xml:space="preserve"> States </w:t>
            </w:r>
          </w:p>
        </w:tc>
      </w:tr>
      <w:tr w:rsidR="00711530" w:rsidRPr="00666B2D" w14:paraId="66D900E4" w14:textId="77777777" w:rsidTr="000C3B52">
        <w:tc>
          <w:tcPr>
            <w:tcW w:w="1129" w:type="dxa"/>
            <w:shd w:val="clear" w:color="auto" w:fill="D9D9D9" w:themeFill="background1" w:themeFillShade="D9"/>
          </w:tcPr>
          <w:p w14:paraId="7527D4D4" w14:textId="77777777" w:rsidR="00711530" w:rsidRPr="00666B2D" w:rsidRDefault="00711530" w:rsidP="00666B2D">
            <w:pPr>
              <w:spacing w:after="160" w:line="320" w:lineRule="auto"/>
              <w:jc w:val="both"/>
            </w:pPr>
            <w:r>
              <w:t xml:space="preserve"> PADD 1 </w:t>
            </w:r>
          </w:p>
        </w:tc>
        <w:tc>
          <w:tcPr>
            <w:tcW w:w="2477" w:type="dxa"/>
          </w:tcPr>
          <w:p w14:paraId="141CB67D" w14:textId="77777777" w:rsidR="00711530" w:rsidRPr="00666B2D" w:rsidRDefault="00711530" w:rsidP="00666B2D">
            <w:pPr>
              <w:spacing w:after="160" w:line="320" w:lineRule="auto"/>
              <w:jc w:val="both"/>
            </w:pPr>
            <w:r>
              <w:t xml:space="preserve"> East Coast </w:t>
            </w:r>
          </w:p>
        </w:tc>
        <w:tc>
          <w:tcPr>
            <w:tcW w:w="5461" w:type="dxa"/>
          </w:tcPr>
          <w:p w14:paraId="2C919B6C" w14:textId="18EEE7C9" w:rsidR="00711530" w:rsidRPr="00666B2D" w:rsidRDefault="00711530" w:rsidP="00666B2D">
            <w:pPr>
              <w:spacing w:after="160" w:line="320" w:lineRule="auto"/>
              <w:jc w:val="both"/>
            </w:pPr>
            <w:r>
              <w:t xml:space="preserve">Connecticut, Delaware, District of Columbia, Florida, Georgia, Maine, Maryland, Massachusetts, New Hampshire, New Jersey, New York, North Carolina, Pennsylvania, Rhode Island, South Carolina, Vermont, Virginia, West Virginia </w:t>
            </w:r>
          </w:p>
        </w:tc>
      </w:tr>
      <w:tr w:rsidR="00711530" w:rsidRPr="00666B2D" w14:paraId="32C50BF7" w14:textId="77777777" w:rsidTr="000C3B52">
        <w:tc>
          <w:tcPr>
            <w:tcW w:w="1129" w:type="dxa"/>
            <w:shd w:val="clear" w:color="auto" w:fill="D9D9D9" w:themeFill="background1" w:themeFillShade="D9"/>
          </w:tcPr>
          <w:p w14:paraId="6E9ADE9B" w14:textId="77777777" w:rsidR="00711530" w:rsidRPr="00666B2D" w:rsidRDefault="00711530" w:rsidP="00666B2D">
            <w:pPr>
              <w:spacing w:after="160" w:line="320" w:lineRule="auto"/>
              <w:jc w:val="both"/>
            </w:pPr>
            <w:r>
              <w:t xml:space="preserve"> PADD 2 </w:t>
            </w:r>
          </w:p>
        </w:tc>
        <w:tc>
          <w:tcPr>
            <w:tcW w:w="2477" w:type="dxa"/>
          </w:tcPr>
          <w:p w14:paraId="465ACB02" w14:textId="77777777" w:rsidR="00711530" w:rsidRPr="00666B2D" w:rsidRDefault="00711530" w:rsidP="00666B2D">
            <w:pPr>
              <w:spacing w:after="160" w:line="320" w:lineRule="auto"/>
              <w:jc w:val="both"/>
            </w:pPr>
            <w:r>
              <w:t xml:space="preserve"> Midwest </w:t>
            </w:r>
          </w:p>
        </w:tc>
        <w:tc>
          <w:tcPr>
            <w:tcW w:w="5461" w:type="dxa"/>
          </w:tcPr>
          <w:p w14:paraId="242AD861" w14:textId="203EBCC0" w:rsidR="00711530" w:rsidRPr="00666B2D" w:rsidRDefault="00711530" w:rsidP="00666B2D">
            <w:pPr>
              <w:spacing w:after="160" w:line="320" w:lineRule="auto"/>
              <w:jc w:val="both"/>
            </w:pPr>
            <w:r>
              <w:t xml:space="preserve">Illinois, Indiana, Iowa, Kansas, Kentucky, Michigan, Minnesota, Missouri, Nebraska, North Dakota, Ohio, Oklahoma, South Dakota, Tennessee, Wisconsin </w:t>
            </w:r>
          </w:p>
        </w:tc>
      </w:tr>
      <w:tr w:rsidR="00711530" w:rsidRPr="00666B2D" w14:paraId="59D233D9" w14:textId="77777777" w:rsidTr="000C3B52">
        <w:tc>
          <w:tcPr>
            <w:tcW w:w="1129" w:type="dxa"/>
            <w:shd w:val="clear" w:color="auto" w:fill="D9D9D9" w:themeFill="background1" w:themeFillShade="D9"/>
          </w:tcPr>
          <w:p w14:paraId="6DC30022" w14:textId="77777777" w:rsidR="00711530" w:rsidRPr="00666B2D" w:rsidRDefault="00711530" w:rsidP="00666B2D">
            <w:pPr>
              <w:spacing w:after="160" w:line="320" w:lineRule="auto"/>
              <w:jc w:val="both"/>
            </w:pPr>
            <w:r>
              <w:t xml:space="preserve"> PADD 3 </w:t>
            </w:r>
          </w:p>
        </w:tc>
        <w:tc>
          <w:tcPr>
            <w:tcW w:w="2477" w:type="dxa"/>
          </w:tcPr>
          <w:p w14:paraId="6CE8F8B5" w14:textId="77777777" w:rsidR="00711530" w:rsidRPr="00666B2D" w:rsidRDefault="00711530" w:rsidP="00666B2D">
            <w:pPr>
              <w:spacing w:after="160" w:line="320" w:lineRule="auto"/>
              <w:jc w:val="both"/>
            </w:pPr>
            <w:r>
              <w:t xml:space="preserve"> Gulf Coast </w:t>
            </w:r>
          </w:p>
        </w:tc>
        <w:tc>
          <w:tcPr>
            <w:tcW w:w="5461" w:type="dxa"/>
          </w:tcPr>
          <w:p w14:paraId="409A285F" w14:textId="21DBC41B" w:rsidR="00711530" w:rsidRPr="00666B2D" w:rsidRDefault="00711530" w:rsidP="00666B2D">
            <w:pPr>
              <w:spacing w:after="160" w:line="320" w:lineRule="auto"/>
              <w:jc w:val="both"/>
            </w:pPr>
            <w:r>
              <w:t xml:space="preserve">Alabama, Arkansas, Louisiana, Mississippi, New Mexico, Texas </w:t>
            </w:r>
          </w:p>
        </w:tc>
      </w:tr>
      <w:tr w:rsidR="00711530" w:rsidRPr="00A44854" w14:paraId="52AC3497" w14:textId="77777777" w:rsidTr="000C3B52">
        <w:tc>
          <w:tcPr>
            <w:tcW w:w="1129" w:type="dxa"/>
            <w:shd w:val="clear" w:color="auto" w:fill="D9D9D9" w:themeFill="background1" w:themeFillShade="D9"/>
          </w:tcPr>
          <w:p w14:paraId="7C82A3E8" w14:textId="77777777" w:rsidR="00711530" w:rsidRPr="00666B2D" w:rsidRDefault="00711530" w:rsidP="00666B2D">
            <w:pPr>
              <w:spacing w:after="160" w:line="320" w:lineRule="auto"/>
              <w:jc w:val="both"/>
            </w:pPr>
            <w:r>
              <w:t xml:space="preserve"> PADD 4 </w:t>
            </w:r>
          </w:p>
        </w:tc>
        <w:tc>
          <w:tcPr>
            <w:tcW w:w="2477" w:type="dxa"/>
          </w:tcPr>
          <w:p w14:paraId="3AD6FD95" w14:textId="77777777" w:rsidR="00711530" w:rsidRPr="00666B2D" w:rsidRDefault="00711530" w:rsidP="00666B2D">
            <w:pPr>
              <w:spacing w:after="160" w:line="320" w:lineRule="auto"/>
              <w:jc w:val="both"/>
            </w:pPr>
            <w:r>
              <w:t xml:space="preserve"> Rocky Mountain </w:t>
            </w:r>
          </w:p>
        </w:tc>
        <w:tc>
          <w:tcPr>
            <w:tcW w:w="5461" w:type="dxa"/>
          </w:tcPr>
          <w:p w14:paraId="64CB122C" w14:textId="06FEF5B0" w:rsidR="00711530" w:rsidRPr="00A74670" w:rsidRDefault="00711530" w:rsidP="00666B2D">
            <w:pPr>
              <w:spacing w:after="160" w:line="320" w:lineRule="auto"/>
              <w:jc w:val="both"/>
              <w:rPr>
                <w:lang w:val="pt-BR"/>
              </w:rPr>
            </w:pPr>
            <w:r>
              <w:rPr>
                <w:lang w:val="pt-BR"/>
              </w:rPr>
              <w:t xml:space="preserve">Colorado, Idaho, Montana, Utah, Wyoming </w:t>
            </w:r>
          </w:p>
        </w:tc>
      </w:tr>
      <w:tr w:rsidR="00711530" w:rsidRPr="00666B2D" w14:paraId="1A240356" w14:textId="77777777" w:rsidTr="000C3B52">
        <w:tc>
          <w:tcPr>
            <w:tcW w:w="1129" w:type="dxa"/>
            <w:shd w:val="clear" w:color="auto" w:fill="D9D9D9" w:themeFill="background1" w:themeFillShade="D9"/>
          </w:tcPr>
          <w:p w14:paraId="1329FF8E" w14:textId="77777777" w:rsidR="00711530" w:rsidRPr="00666B2D" w:rsidRDefault="00711530" w:rsidP="00666B2D">
            <w:pPr>
              <w:spacing w:after="160" w:line="320" w:lineRule="auto"/>
              <w:jc w:val="both"/>
            </w:pPr>
            <w:r>
              <w:rPr>
                <w:lang w:val="pt-BR"/>
              </w:rPr>
              <w:t xml:space="preserve"> </w:t>
            </w:r>
            <w:r>
              <w:t xml:space="preserve">PADD 5 </w:t>
            </w:r>
          </w:p>
        </w:tc>
        <w:tc>
          <w:tcPr>
            <w:tcW w:w="2477" w:type="dxa"/>
          </w:tcPr>
          <w:p w14:paraId="4D3D9E96" w14:textId="77777777" w:rsidR="00711530" w:rsidRPr="00666B2D" w:rsidRDefault="00711530" w:rsidP="00666B2D">
            <w:pPr>
              <w:spacing w:after="160" w:line="320" w:lineRule="auto"/>
              <w:jc w:val="both"/>
            </w:pPr>
            <w:r>
              <w:t xml:space="preserve"> West Coast </w:t>
            </w:r>
          </w:p>
        </w:tc>
        <w:tc>
          <w:tcPr>
            <w:tcW w:w="5461" w:type="dxa"/>
          </w:tcPr>
          <w:p w14:paraId="4FF9BC94" w14:textId="7E24050D" w:rsidR="00711530" w:rsidRPr="00666B2D" w:rsidRDefault="00711530" w:rsidP="00666B2D">
            <w:pPr>
              <w:spacing w:after="160" w:line="320" w:lineRule="auto"/>
              <w:jc w:val="both"/>
            </w:pPr>
            <w:r>
              <w:t xml:space="preserve">Alaska, Arizona, California, Hawaii, Nevada, Oregon, Washington </w:t>
            </w:r>
          </w:p>
        </w:tc>
      </w:tr>
    </w:tbl>
    <w:p w14:paraId="2916A2ED" w14:textId="77777777" w:rsidR="00711530" w:rsidRDefault="00711530">
      <w:pPr>
        <w:spacing w:after="160" w:line="319" w:lineRule="auto"/>
        <w:jc w:val="both"/>
      </w:pPr>
    </w:p>
    <w:p w14:paraId="325F7A09" w14:textId="1786CA96" w:rsidR="00BD3161" w:rsidRDefault="00BD3161">
      <w:pPr>
        <w:spacing w:after="160" w:line="319" w:lineRule="auto"/>
        <w:jc w:val="both"/>
        <w:rPr>
          <w:kern w:val="2"/>
          <w14:ligatures w14:val="standardContextual"/>
        </w:rPr>
      </w:pPr>
      <w:r>
        <w:t xml:space="preserve">Within the PADD structure, the EIA also reports refinery activity through refining districts such as PADD 3A, 3B, and 3C, or PADD 2A, 2B, and 2C. These are reporting groupings rather </w:t>
      </w:r>
      <w:r>
        <w:lastRenderedPageBreak/>
        <w:t>than physical assets. Their importance for this thesis lies in the way they impose multiple coexisting resolutions on the published data. Production may be reported at state-basin level, consumption at refining-district level, stocks at PADD level, and movements at the level of PADD pairs. Each of those levels is authoritative for some variables. A workable representation therefore needs to accommodate all of them at once without forcing everything into a single finest-granularity view and then hiding the resulting mismatches in reconciliation residuals.</w:t>
      </w:r>
    </w:p>
    <w:p w14:paraId="36BCFB61" w14:textId="77777777" w:rsidR="008E1B31" w:rsidRDefault="005C5514">
      <w:pPr>
        <w:pStyle w:val="Heading2"/>
      </w:pPr>
      <w:r>
        <w:t>3.3 The production geography</w:t>
      </w:r>
    </w:p>
    <w:p w14:paraId="081E199C" w14:textId="77777777" w:rsidR="00BD3161" w:rsidRDefault="00BD3161">
      <w:pPr>
        <w:spacing w:after="160" w:line="319" w:lineRule="auto"/>
        <w:jc w:val="both"/>
        <w:rPr>
          <w:kern w:val="2"/>
          <w14:ligatures w14:val="standardContextual"/>
        </w:rPr>
      </w:pPr>
      <w:r>
        <w:t>Over the period modelled in this thesis, from 2015 onward, U.S. crude oil production is dominated by four producing regions with clearly different geological and operational profiles:</w:t>
      </w:r>
    </w:p>
    <w:p w14:paraId="3A8F8107" w14:textId="77777777" w:rsidR="00BD3161" w:rsidRDefault="00BD3161">
      <w:pPr>
        <w:spacing w:after="160" w:line="319" w:lineRule="auto"/>
        <w:jc w:val="both"/>
        <w:rPr>
          <w:kern w:val="2"/>
          <w14:ligatures w14:val="standardContextual"/>
        </w:rPr>
      </w:pPr>
      <w:r>
        <w:rPr>
          <w:b/>
          <w:bCs/>
        </w:rPr>
        <w:t>Permian Basin.</w:t>
      </w:r>
      <w:r>
        <w:t xml:space="preserve"> The Permian, stretching across west Texas and southeastern New Mexico, is the largest producing basin in the United States and in recent years has accounted for roughly 40 per cent of total U.S. crude output. Production exceeded 6 mbd in 2024. It is a shale and tight oil province whose growth from around 1 mbd in 2010 to more than 6 mbd by 2024 was driven by horizontal drilling and hydraulic fracturing. For this thesis, the basin is especially useful because it is split by the Texas-New Mexico border and is therefore reported by the EIA through separate series. That makes it a very clear example of the multi-resolution problem the framework is designed to handle.</w:t>
      </w:r>
    </w:p>
    <w:p w14:paraId="36BCFB64" w14:textId="77777777" w:rsidR="008E1B31" w:rsidRDefault="005C5514">
      <w:pPr>
        <w:spacing w:after="160" w:line="320" w:lineRule="auto"/>
        <w:jc w:val="both"/>
      </w:pPr>
      <w:r>
        <w:rPr>
          <w:b/>
          <w:bCs/>
        </w:rPr>
        <w:t>Bakken.</w:t>
      </w:r>
      <w:r>
        <w:t xml:space="preserve"> Spanning western North Dakota and northeastern Montana, the Bakken was the first major shale play to industrialise (peak production around 2014–2015) and remains the second-largest U.S. light tight oil basin. Production peaked at approximately 1.5 mbd before declining; current output is around 1.2 mbd. The Bakken straddles a state line (North Dakota vs Montana), and again EIA reports the two halves separately.</w:t>
      </w:r>
    </w:p>
    <w:p w14:paraId="36BCFB65" w14:textId="77777777" w:rsidR="008E1B31" w:rsidRDefault="005C5514">
      <w:pPr>
        <w:spacing w:after="160" w:line="320" w:lineRule="auto"/>
        <w:jc w:val="both"/>
      </w:pPr>
      <w:r>
        <w:rPr>
          <w:b/>
          <w:bCs/>
        </w:rPr>
        <w:t>Eagle Ford.</w:t>
      </w:r>
      <w:r>
        <w:t xml:space="preserve"> Located entirely within Texas, the Eagle Ford shale produces both crude oil and condensate. Its single-state location simplifies the reporting picture: Eagle Ford production is the entirety of certain EIA Texas series.</w:t>
      </w:r>
    </w:p>
    <w:p w14:paraId="36BCFB66" w14:textId="77777777" w:rsidR="008E1B31" w:rsidRDefault="005C5514">
      <w:pPr>
        <w:spacing w:after="160" w:line="320" w:lineRule="auto"/>
        <w:jc w:val="both"/>
      </w:pPr>
      <w:r>
        <w:rPr>
          <w:b/>
          <w:bCs/>
        </w:rPr>
        <w:t>Gulf of America offshore.</w:t>
      </w:r>
      <w:r>
        <w:t xml:space="preserve"> Federal waters in the Gulf produce approximately 1.8 mbd in the modelled period, dominated by deepwater platforms operated by major integrated oil companies. EIA reports Gulf production as a single series rather than disaggregating by platform or field.</w:t>
      </w:r>
    </w:p>
    <w:p w14:paraId="12A950F3" w14:textId="77777777" w:rsidR="00BD3161" w:rsidRDefault="00BD3161">
      <w:pPr>
        <w:spacing w:after="160" w:line="319" w:lineRule="auto"/>
        <w:jc w:val="both"/>
        <w:rPr>
          <w:kern w:val="2"/>
          <w14:ligatures w14:val="standardContextual"/>
        </w:rPr>
      </w:pPr>
      <w:r>
        <w:t>Beyond these four major regions, smaller volumes are produced in Alaska, Oklahoma, California, Wyoming, and other parts of the country. Most of these are reported at state level. At the same time, the EIA's PADD totals usually exceed the sum of the named basins and fields published within each district. That residual volume reflects production that is real but not separately named at the resolution available in public data. It is this gap between the published total and the named contributors that motivates the residual-node design discussed later in Chapter 5.</w:t>
      </w:r>
    </w:p>
    <w:p w14:paraId="5740D22F" w14:textId="3D4FADFD" w:rsidR="006E3777" w:rsidRDefault="006E3777">
      <w:pPr>
        <w:spacing w:after="160" w:line="319" w:lineRule="auto"/>
        <w:jc w:val="both"/>
        <w:rPr>
          <w:kern w:val="2"/>
          <w14:ligatures w14:val="standardContextual"/>
        </w:rPr>
      </w:pPr>
      <w:r>
        <w:lastRenderedPageBreak/>
        <w:t>The basins differ substantively in the crude grade they produce, and that grade matters operationally because each refinery is configured for a particular slate. The starter scenario treats crude as a single commodity, but the framework's commodity dimension on variables admits per-grade decomposition without schema modification. The table below summarises the dominant grade by producing region; refined-product yield modelling — expressing, for example, a refinery's gasoline production as a fixed fraction of its consumption of a particular crude grade — is a natural extension of the same machinery.</w:t>
      </w:r>
    </w:p>
    <w:tbl>
      <w:tblPr>
        <w:tblStyle w:val="ListTable3"/>
        <w:tblW w:w="9067" w:type="dxa"/>
        <w:tblLook w:val="04A0" w:firstRow="1" w:lastRow="0" w:firstColumn="1" w:lastColumn="0" w:noHBand="0" w:noVBand="1"/>
      </w:tblPr>
      <w:tblGrid>
        <w:gridCol w:w="1546"/>
        <w:gridCol w:w="2385"/>
        <w:gridCol w:w="1026"/>
        <w:gridCol w:w="1559"/>
        <w:gridCol w:w="2551"/>
      </w:tblGrid>
      <w:tr w:rsidR="006801A3" w:rsidRPr="00B428FD" w14:paraId="0B3431FA" w14:textId="4A12A333" w:rsidTr="005711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46" w:type="dxa"/>
            <w:tcBorders>
              <w:top w:val="single" w:sz="4" w:space="0" w:color="000000" w:themeColor="text1"/>
              <w:bottom w:val="single" w:sz="4" w:space="0" w:color="000000" w:themeColor="text1"/>
              <w:right w:val="single" w:sz="4" w:space="0" w:color="000000" w:themeColor="text1"/>
            </w:tcBorders>
          </w:tcPr>
          <w:p w14:paraId="27A1719D" w14:textId="5B582C38" w:rsidR="006801A3" w:rsidRPr="00C8125A" w:rsidRDefault="006801A3" w:rsidP="00C8125A">
            <w:pPr>
              <w:spacing w:after="160" w:line="319" w:lineRule="auto"/>
              <w:jc w:val="center"/>
              <w:rPr>
                <w:sz w:val="16"/>
                <w:szCs w:val="16"/>
              </w:rPr>
            </w:pPr>
            <w:r>
              <w:rPr>
                <w:sz w:val="16"/>
                <w:szCs w:val="16"/>
              </w:rPr>
              <w:t>Producing Basin</w:t>
            </w:r>
          </w:p>
        </w:tc>
        <w:tc>
          <w:tcPr>
            <w:tcW w:w="2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9050A6" w14:textId="6DB74383" w:rsidR="006801A3" w:rsidRPr="00C8125A" w:rsidRDefault="00C8125A"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Typical Grade</w:t>
            </w:r>
          </w:p>
        </w:tc>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72EE7B" w14:textId="12F76CFF" w:rsidR="006801A3" w:rsidRPr="00C8125A" w:rsidRDefault="006801A3"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API (°)</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33E064" w14:textId="6E95185F" w:rsidR="006801A3" w:rsidRPr="00C8125A" w:rsidRDefault="006801A3"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Sulphur</w:t>
            </w:r>
          </w:p>
        </w:tc>
        <w:tc>
          <w:tcPr>
            <w:tcW w:w="2551" w:type="dxa"/>
            <w:tcBorders>
              <w:top w:val="single" w:sz="4" w:space="0" w:color="000000" w:themeColor="text1"/>
              <w:left w:val="single" w:sz="4" w:space="0" w:color="000000" w:themeColor="text1"/>
              <w:bottom w:val="single" w:sz="4" w:space="0" w:color="000000" w:themeColor="text1"/>
            </w:tcBorders>
          </w:tcPr>
          <w:p w14:paraId="480BABDA" w14:textId="3829E6EA" w:rsidR="006801A3" w:rsidRPr="00C8125A" w:rsidRDefault="00236115"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Notes</w:t>
            </w:r>
          </w:p>
        </w:tc>
      </w:tr>
      <w:tr w:rsidR="006801A3" w:rsidRPr="00B428FD" w14:paraId="5D786E4F" w14:textId="25B76CB0" w:rsidTr="0057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6" w:type="dxa"/>
            <w:tcBorders>
              <w:right w:val="single" w:sz="4" w:space="0" w:color="000000" w:themeColor="text1"/>
            </w:tcBorders>
            <w:shd w:val="clear" w:color="auto" w:fill="D9D9D9" w:themeFill="background1" w:themeFillShade="D9"/>
          </w:tcPr>
          <w:p w14:paraId="059C1BB3" w14:textId="1534B169" w:rsidR="006801A3" w:rsidRPr="00C8125A" w:rsidRDefault="006801A3" w:rsidP="00C8125A">
            <w:pPr>
              <w:spacing w:after="160" w:line="319" w:lineRule="auto"/>
              <w:jc w:val="center"/>
              <w:rPr>
                <w:sz w:val="16"/>
                <w:szCs w:val="16"/>
              </w:rPr>
            </w:pPr>
            <w:r>
              <w:rPr>
                <w:sz w:val="16"/>
                <w:szCs w:val="16"/>
              </w:rPr>
              <w:t>Permian (TX/NM)</w:t>
            </w:r>
          </w:p>
        </w:tc>
        <w:tc>
          <w:tcPr>
            <w:tcW w:w="2385" w:type="dxa"/>
            <w:tcBorders>
              <w:left w:val="single" w:sz="4" w:space="0" w:color="000000" w:themeColor="text1"/>
              <w:right w:val="single" w:sz="4" w:space="0" w:color="000000" w:themeColor="text1"/>
            </w:tcBorders>
          </w:tcPr>
          <w:p w14:paraId="50DF5534" w14:textId="481EBB85"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WTI / WTI Midland</w:t>
            </w:r>
          </w:p>
        </w:tc>
        <w:tc>
          <w:tcPr>
            <w:tcW w:w="1026" w:type="dxa"/>
            <w:tcBorders>
              <w:left w:val="single" w:sz="4" w:space="0" w:color="000000" w:themeColor="text1"/>
              <w:right w:val="single" w:sz="4" w:space="0" w:color="000000" w:themeColor="text1"/>
            </w:tcBorders>
          </w:tcPr>
          <w:p w14:paraId="22D4880E" w14:textId="2AF7B2E4"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38–42</w:t>
            </w:r>
          </w:p>
        </w:tc>
        <w:tc>
          <w:tcPr>
            <w:tcW w:w="1559" w:type="dxa"/>
            <w:tcBorders>
              <w:left w:val="single" w:sz="4" w:space="0" w:color="000000" w:themeColor="text1"/>
              <w:right w:val="single" w:sz="4" w:space="0" w:color="000000" w:themeColor="text1"/>
            </w:tcBorders>
          </w:tcPr>
          <w:p w14:paraId="4E744499" w14:textId="5D86F580"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Sweet (~0.4%)</w:t>
            </w:r>
          </w:p>
        </w:tc>
        <w:tc>
          <w:tcPr>
            <w:tcW w:w="2551" w:type="dxa"/>
            <w:tcBorders>
              <w:left w:val="single" w:sz="4" w:space="0" w:color="000000" w:themeColor="text1"/>
            </w:tcBorders>
          </w:tcPr>
          <w:p w14:paraId="08D17196" w14:textId="654811D0"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Largest US producer; benchmark grade</w:t>
            </w:r>
          </w:p>
        </w:tc>
      </w:tr>
      <w:tr w:rsidR="006801A3" w:rsidRPr="00B428FD" w14:paraId="67375DB6" w14:textId="0D8F2BC8" w:rsidTr="00571129">
        <w:tc>
          <w:tcPr>
            <w:cnfStyle w:val="001000000000" w:firstRow="0" w:lastRow="0" w:firstColumn="1" w:lastColumn="0" w:oddVBand="0" w:evenVBand="0" w:oddHBand="0" w:evenHBand="0" w:firstRowFirstColumn="0" w:firstRowLastColumn="0" w:lastRowFirstColumn="0" w:lastRowLastColumn="0"/>
            <w:tcW w:w="1546" w:type="dxa"/>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B6BC9E8" w14:textId="15EC0773" w:rsidR="006801A3" w:rsidRPr="00C8125A" w:rsidRDefault="006801A3" w:rsidP="00C8125A">
            <w:pPr>
              <w:spacing w:after="160" w:line="319" w:lineRule="auto"/>
              <w:jc w:val="center"/>
              <w:rPr>
                <w:sz w:val="16"/>
                <w:szCs w:val="16"/>
              </w:rPr>
            </w:pPr>
            <w:r>
              <w:rPr>
                <w:sz w:val="16"/>
                <w:szCs w:val="16"/>
              </w:rPr>
              <w:t>Bakken (ND/MT)</w:t>
            </w:r>
          </w:p>
        </w:tc>
        <w:tc>
          <w:tcPr>
            <w:tcW w:w="2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2DB482" w14:textId="1903893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Bakken Light</w:t>
            </w:r>
          </w:p>
        </w:tc>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728FEE" w14:textId="2135AC96"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0879DA" w14:textId="39FD7BC7"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Sweet (~0.2%)</w:t>
            </w:r>
          </w:p>
        </w:tc>
        <w:tc>
          <w:tcPr>
            <w:tcW w:w="2551" w:type="dxa"/>
            <w:tcBorders>
              <w:top w:val="single" w:sz="4" w:space="0" w:color="000000" w:themeColor="text1"/>
              <w:left w:val="single" w:sz="4" w:space="0" w:color="000000" w:themeColor="text1"/>
              <w:bottom w:val="single" w:sz="4" w:space="0" w:color="000000" w:themeColor="text1"/>
            </w:tcBorders>
          </w:tcPr>
          <w:p w14:paraId="488F4DAE" w14:textId="5A057468"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Light tight oil</w:t>
            </w:r>
          </w:p>
        </w:tc>
      </w:tr>
      <w:tr w:rsidR="006801A3" w:rsidRPr="00B428FD" w14:paraId="09F3864B" w14:textId="078E6CFD" w:rsidTr="0057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6" w:type="dxa"/>
            <w:tcBorders>
              <w:right w:val="single" w:sz="4" w:space="0" w:color="000000" w:themeColor="text1"/>
            </w:tcBorders>
            <w:shd w:val="clear" w:color="auto" w:fill="D9D9D9" w:themeFill="background1" w:themeFillShade="D9"/>
          </w:tcPr>
          <w:p w14:paraId="31DEAC61" w14:textId="4175E76F" w:rsidR="006801A3" w:rsidRPr="00C8125A" w:rsidRDefault="006801A3" w:rsidP="00C8125A">
            <w:pPr>
              <w:spacing w:after="160" w:line="319" w:lineRule="auto"/>
              <w:jc w:val="center"/>
              <w:rPr>
                <w:sz w:val="16"/>
                <w:szCs w:val="16"/>
              </w:rPr>
            </w:pPr>
            <w:r>
              <w:rPr>
                <w:sz w:val="16"/>
                <w:szCs w:val="16"/>
              </w:rPr>
              <w:t>Eagle Ford (TX)</w:t>
            </w:r>
          </w:p>
        </w:tc>
        <w:tc>
          <w:tcPr>
            <w:tcW w:w="2385" w:type="dxa"/>
            <w:tcBorders>
              <w:left w:val="single" w:sz="4" w:space="0" w:color="000000" w:themeColor="text1"/>
              <w:right w:val="single" w:sz="4" w:space="0" w:color="000000" w:themeColor="text1"/>
            </w:tcBorders>
          </w:tcPr>
          <w:p w14:paraId="4687C141" w14:textId="761C2C71" w:rsidR="006801A3" w:rsidRPr="00C8125A" w:rsidRDefault="006801A3" w:rsidP="00A74670">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Eagle Ford Light + condensate</w:t>
            </w:r>
          </w:p>
        </w:tc>
        <w:tc>
          <w:tcPr>
            <w:tcW w:w="1026" w:type="dxa"/>
            <w:tcBorders>
              <w:left w:val="single" w:sz="4" w:space="0" w:color="000000" w:themeColor="text1"/>
              <w:right w:val="single" w:sz="4" w:space="0" w:color="000000" w:themeColor="text1"/>
            </w:tcBorders>
          </w:tcPr>
          <w:p w14:paraId="610DC768" w14:textId="217C2ED8"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40–65</w:t>
            </w:r>
          </w:p>
        </w:tc>
        <w:tc>
          <w:tcPr>
            <w:tcW w:w="1559" w:type="dxa"/>
            <w:tcBorders>
              <w:left w:val="single" w:sz="4" w:space="0" w:color="000000" w:themeColor="text1"/>
              <w:right w:val="single" w:sz="4" w:space="0" w:color="000000" w:themeColor="text1"/>
            </w:tcBorders>
          </w:tcPr>
          <w:p w14:paraId="68A7D717" w14:textId="7666D6C1"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Sweet</w:t>
            </w:r>
          </w:p>
        </w:tc>
        <w:tc>
          <w:tcPr>
            <w:tcW w:w="2551" w:type="dxa"/>
            <w:tcBorders>
              <w:left w:val="single" w:sz="4" w:space="0" w:color="000000" w:themeColor="text1"/>
            </w:tcBorders>
          </w:tcPr>
          <w:p w14:paraId="7DF7E8AB" w14:textId="75933C8E"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Light to very light / condensate</w:t>
            </w:r>
          </w:p>
        </w:tc>
      </w:tr>
      <w:tr w:rsidR="006801A3" w:rsidRPr="00B428FD" w14:paraId="5FAF9284" w14:textId="1924E1A8" w:rsidTr="00571129">
        <w:tc>
          <w:tcPr>
            <w:cnfStyle w:val="001000000000" w:firstRow="0" w:lastRow="0" w:firstColumn="1" w:lastColumn="0" w:oddVBand="0" w:evenVBand="0" w:oddHBand="0" w:evenHBand="0" w:firstRowFirstColumn="0" w:firstRowLastColumn="0" w:lastRowFirstColumn="0" w:lastRowLastColumn="0"/>
            <w:tcW w:w="1546" w:type="dxa"/>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2C40161" w14:textId="3E1502D0" w:rsidR="006801A3" w:rsidRPr="00C8125A" w:rsidRDefault="006801A3" w:rsidP="00C8125A">
            <w:pPr>
              <w:spacing w:after="160" w:line="319" w:lineRule="auto"/>
              <w:jc w:val="center"/>
              <w:rPr>
                <w:sz w:val="16"/>
                <w:szCs w:val="16"/>
              </w:rPr>
            </w:pPr>
            <w:r>
              <w:rPr>
                <w:sz w:val="16"/>
                <w:szCs w:val="16"/>
              </w:rPr>
              <w:t>Gulf of America</w:t>
            </w:r>
          </w:p>
        </w:tc>
        <w:tc>
          <w:tcPr>
            <w:tcW w:w="2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759020" w14:textId="40E20ED3"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Mars, Poseidon, Thunder Horse blends</w:t>
            </w:r>
          </w:p>
        </w:tc>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26E3B6" w14:textId="5B5D6FC8"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28–33</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FA7D8D" w14:textId="5E9C1A20"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Medium-sour</w:t>
            </w:r>
          </w:p>
        </w:tc>
        <w:tc>
          <w:tcPr>
            <w:tcW w:w="2551" w:type="dxa"/>
            <w:tcBorders>
              <w:top w:val="single" w:sz="4" w:space="0" w:color="000000" w:themeColor="text1"/>
              <w:left w:val="single" w:sz="4" w:space="0" w:color="000000" w:themeColor="text1"/>
              <w:bottom w:val="single" w:sz="4" w:space="0" w:color="000000" w:themeColor="text1"/>
            </w:tcBorders>
          </w:tcPr>
          <w:p w14:paraId="36F1A2C1" w14:textId="4CE58560"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Offshore deepwater</w:t>
            </w:r>
          </w:p>
        </w:tc>
      </w:tr>
      <w:tr w:rsidR="006801A3" w:rsidRPr="00B428FD" w14:paraId="3D3B996E" w14:textId="6AD11B69" w:rsidTr="0057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6" w:type="dxa"/>
            <w:tcBorders>
              <w:right w:val="single" w:sz="4" w:space="0" w:color="000000" w:themeColor="text1"/>
            </w:tcBorders>
            <w:shd w:val="clear" w:color="auto" w:fill="D9D9D9" w:themeFill="background1" w:themeFillShade="D9"/>
          </w:tcPr>
          <w:p w14:paraId="34CFC73F" w14:textId="7D88993C" w:rsidR="006801A3" w:rsidRPr="00C8125A" w:rsidRDefault="006801A3" w:rsidP="00C8125A">
            <w:pPr>
              <w:spacing w:after="160" w:line="319" w:lineRule="auto"/>
              <w:jc w:val="center"/>
              <w:rPr>
                <w:sz w:val="16"/>
                <w:szCs w:val="16"/>
              </w:rPr>
            </w:pPr>
            <w:r>
              <w:rPr>
                <w:sz w:val="16"/>
                <w:szCs w:val="16"/>
              </w:rPr>
              <w:t>Alaska North Slope</w:t>
            </w:r>
          </w:p>
        </w:tc>
        <w:tc>
          <w:tcPr>
            <w:tcW w:w="2385" w:type="dxa"/>
            <w:tcBorders>
              <w:left w:val="single" w:sz="4" w:space="0" w:color="000000" w:themeColor="text1"/>
              <w:right w:val="single" w:sz="4" w:space="0" w:color="000000" w:themeColor="text1"/>
            </w:tcBorders>
          </w:tcPr>
          <w:p w14:paraId="221B9042" w14:textId="44BFA682"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ANS</w:t>
            </w:r>
          </w:p>
        </w:tc>
        <w:tc>
          <w:tcPr>
            <w:tcW w:w="1026" w:type="dxa"/>
            <w:tcBorders>
              <w:left w:val="single" w:sz="4" w:space="0" w:color="000000" w:themeColor="text1"/>
              <w:right w:val="single" w:sz="4" w:space="0" w:color="000000" w:themeColor="text1"/>
            </w:tcBorders>
          </w:tcPr>
          <w:p w14:paraId="1679FBB0" w14:textId="173C74C7"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~31</w:t>
            </w:r>
          </w:p>
        </w:tc>
        <w:tc>
          <w:tcPr>
            <w:tcW w:w="1559" w:type="dxa"/>
            <w:tcBorders>
              <w:left w:val="single" w:sz="4" w:space="0" w:color="000000" w:themeColor="text1"/>
              <w:right w:val="single" w:sz="4" w:space="0" w:color="000000" w:themeColor="text1"/>
            </w:tcBorders>
          </w:tcPr>
          <w:p w14:paraId="60B93BE5" w14:textId="37756538"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Medium-sour (~0.9%)</w:t>
            </w:r>
          </w:p>
        </w:tc>
        <w:tc>
          <w:tcPr>
            <w:tcW w:w="2551" w:type="dxa"/>
            <w:tcBorders>
              <w:left w:val="single" w:sz="4" w:space="0" w:color="000000" w:themeColor="text1"/>
            </w:tcBorders>
          </w:tcPr>
          <w:p w14:paraId="73157D2F" w14:textId="00978E49"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Pipeline to TAPS / Valdez</w:t>
            </w:r>
          </w:p>
        </w:tc>
      </w:tr>
      <w:tr w:rsidR="006801A3" w:rsidRPr="00B428FD" w14:paraId="0DF10F05" w14:textId="32322B75" w:rsidTr="00571129">
        <w:tc>
          <w:tcPr>
            <w:cnfStyle w:val="001000000000" w:firstRow="0" w:lastRow="0" w:firstColumn="1" w:lastColumn="0" w:oddVBand="0" w:evenVBand="0" w:oddHBand="0" w:evenHBand="0" w:firstRowFirstColumn="0" w:firstRowLastColumn="0" w:lastRowFirstColumn="0" w:lastRowLastColumn="0"/>
            <w:tcW w:w="1546" w:type="dxa"/>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C5E3512" w14:textId="29F9388B" w:rsidR="006801A3" w:rsidRPr="00C8125A" w:rsidRDefault="006801A3" w:rsidP="00C8125A">
            <w:pPr>
              <w:spacing w:after="160" w:line="319" w:lineRule="auto"/>
              <w:jc w:val="center"/>
              <w:rPr>
                <w:sz w:val="16"/>
                <w:szCs w:val="16"/>
              </w:rPr>
            </w:pPr>
            <w:r>
              <w:rPr>
                <w:sz w:val="16"/>
                <w:szCs w:val="16"/>
              </w:rPr>
              <w:t>California (onshore)</w:t>
            </w:r>
          </w:p>
        </w:tc>
        <w:tc>
          <w:tcPr>
            <w:tcW w:w="2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26E6C7" w14:textId="2D1E51BB"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Various heavy grades</w:t>
            </w:r>
          </w:p>
        </w:tc>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704839" w14:textId="470021E1"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13–25</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F63B5" w14:textId="5A471E3B"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Sour</w:t>
            </w:r>
          </w:p>
        </w:tc>
        <w:tc>
          <w:tcPr>
            <w:tcW w:w="2551" w:type="dxa"/>
            <w:tcBorders>
              <w:top w:val="single" w:sz="4" w:space="0" w:color="000000" w:themeColor="text1"/>
              <w:left w:val="single" w:sz="4" w:space="0" w:color="000000" w:themeColor="text1"/>
              <w:bottom w:val="single" w:sz="4" w:space="0" w:color="000000" w:themeColor="text1"/>
            </w:tcBorders>
          </w:tcPr>
          <w:p w14:paraId="49B9F1C2" w14:textId="0C299FA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Demands cokers / hydrocrackers</w:t>
            </w:r>
          </w:p>
        </w:tc>
      </w:tr>
      <w:tr w:rsidR="006801A3" w:rsidRPr="00B428FD" w14:paraId="2376BEDD" w14:textId="1A80C8FE" w:rsidTr="0057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6" w:type="dxa"/>
            <w:tcBorders>
              <w:right w:val="single" w:sz="4" w:space="0" w:color="000000" w:themeColor="text1"/>
            </w:tcBorders>
            <w:shd w:val="clear" w:color="auto" w:fill="D9D9D9" w:themeFill="background1" w:themeFillShade="D9"/>
          </w:tcPr>
          <w:p w14:paraId="3108FEE8" w14:textId="70F01671" w:rsidR="006801A3" w:rsidRPr="00C8125A" w:rsidRDefault="006801A3" w:rsidP="00C8125A">
            <w:pPr>
              <w:spacing w:after="160" w:line="319" w:lineRule="auto"/>
              <w:jc w:val="center"/>
              <w:rPr>
                <w:sz w:val="16"/>
                <w:szCs w:val="16"/>
              </w:rPr>
            </w:pPr>
            <w:r>
              <w:rPr>
                <w:sz w:val="16"/>
                <w:szCs w:val="16"/>
              </w:rPr>
              <w:t>Oklahoma (conv.)</w:t>
            </w:r>
          </w:p>
        </w:tc>
        <w:tc>
          <w:tcPr>
            <w:tcW w:w="2385" w:type="dxa"/>
            <w:tcBorders>
              <w:left w:val="single" w:sz="4" w:space="0" w:color="000000" w:themeColor="text1"/>
              <w:right w:val="single" w:sz="4" w:space="0" w:color="000000" w:themeColor="text1"/>
            </w:tcBorders>
          </w:tcPr>
          <w:p w14:paraId="4127DAC1" w14:textId="3B413E9B"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WTI-like / regional</w:t>
            </w:r>
          </w:p>
        </w:tc>
        <w:tc>
          <w:tcPr>
            <w:tcW w:w="1026" w:type="dxa"/>
            <w:tcBorders>
              <w:left w:val="single" w:sz="4" w:space="0" w:color="000000" w:themeColor="text1"/>
              <w:right w:val="single" w:sz="4" w:space="0" w:color="000000" w:themeColor="text1"/>
            </w:tcBorders>
          </w:tcPr>
          <w:p w14:paraId="30FFFB1A" w14:textId="431D2CE2"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~38</w:t>
            </w:r>
          </w:p>
        </w:tc>
        <w:tc>
          <w:tcPr>
            <w:tcW w:w="1559" w:type="dxa"/>
            <w:tcBorders>
              <w:left w:val="single" w:sz="4" w:space="0" w:color="000000" w:themeColor="text1"/>
              <w:right w:val="single" w:sz="4" w:space="0" w:color="000000" w:themeColor="text1"/>
            </w:tcBorders>
          </w:tcPr>
          <w:p w14:paraId="6750D7E1" w14:textId="7C3239A3"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Sweet</w:t>
            </w:r>
          </w:p>
        </w:tc>
        <w:tc>
          <w:tcPr>
            <w:tcW w:w="2551" w:type="dxa"/>
            <w:tcBorders>
              <w:left w:val="single" w:sz="4" w:space="0" w:color="000000" w:themeColor="text1"/>
            </w:tcBorders>
          </w:tcPr>
          <w:p w14:paraId="59AB69BA" w14:textId="5DA102F8"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Mature conventional</w:t>
            </w:r>
          </w:p>
        </w:tc>
      </w:tr>
      <w:tr w:rsidR="006801A3" w:rsidRPr="00B428FD" w14:paraId="026C8046" w14:textId="509BE71A" w:rsidTr="00571129">
        <w:tc>
          <w:tcPr>
            <w:cnfStyle w:val="001000000000" w:firstRow="0" w:lastRow="0" w:firstColumn="1" w:lastColumn="0" w:oddVBand="0" w:evenVBand="0" w:oddHBand="0" w:evenHBand="0" w:firstRowFirstColumn="0" w:firstRowLastColumn="0" w:lastRowFirstColumn="0" w:lastRowLastColumn="0"/>
            <w:tcW w:w="1546" w:type="dxa"/>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149342D" w14:textId="25D44445" w:rsidR="006801A3" w:rsidRPr="00C8125A" w:rsidRDefault="006801A3" w:rsidP="00C8125A">
            <w:pPr>
              <w:spacing w:after="160" w:line="319" w:lineRule="auto"/>
              <w:jc w:val="center"/>
              <w:rPr>
                <w:sz w:val="16"/>
                <w:szCs w:val="16"/>
              </w:rPr>
            </w:pPr>
            <w:r>
              <w:rPr>
                <w:sz w:val="16"/>
                <w:szCs w:val="16"/>
              </w:rPr>
              <w:t>Wyoming / Rockies</w:t>
            </w:r>
          </w:p>
        </w:tc>
        <w:tc>
          <w:tcPr>
            <w:tcW w:w="2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35D04" w14:textId="07ED1D3A"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Mixed (light to heavy)</w:t>
            </w:r>
          </w:p>
        </w:tc>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F444E9" w14:textId="094B45E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varies</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047795" w14:textId="78E44EB9"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Mixed</w:t>
            </w:r>
          </w:p>
        </w:tc>
        <w:tc>
          <w:tcPr>
            <w:tcW w:w="2551" w:type="dxa"/>
            <w:tcBorders>
              <w:top w:val="single" w:sz="4" w:space="0" w:color="000000" w:themeColor="text1"/>
              <w:left w:val="single" w:sz="4" w:space="0" w:color="000000" w:themeColor="text1"/>
              <w:bottom w:val="single" w:sz="4" w:space="0" w:color="000000" w:themeColor="text1"/>
            </w:tcBorders>
          </w:tcPr>
          <w:p w14:paraId="07FDB587" w14:textId="3950DFF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Rockies aggregator </w:t>
            </w:r>
          </w:p>
        </w:tc>
      </w:tr>
    </w:tbl>
    <w:p w14:paraId="36BCFB68" w14:textId="77777777" w:rsidR="008E1B31" w:rsidRDefault="005C5514">
      <w:pPr>
        <w:pStyle w:val="Heading2"/>
      </w:pPr>
      <w:r>
        <w:t>3.4 The transport network</w:t>
      </w:r>
    </w:p>
    <w:p w14:paraId="745AA1E1" w14:textId="5DBA37C5" w:rsidR="00BD3161" w:rsidRDefault="00BD3161">
      <w:pPr>
        <w:spacing w:after="160" w:line="319" w:lineRule="auto"/>
        <w:jc w:val="both"/>
        <w:rPr>
          <w:kern w:val="2"/>
          <w14:ligatures w14:val="standardContextual"/>
        </w:rPr>
      </w:pPr>
      <w:r>
        <w:t xml:space="preserve">The transport network links producing regions to refining centres, storage hubs, and export terminals. At a high level the U.S. network is dense, and most production areas sit within a few hundred miles of major refining or storage infrastructure. But the pipeline-by-pipeline structure still matters, especially when the question is not simply where oil moves in aggregate, but which parts of that movement are directly </w:t>
      </w:r>
      <w:r w:rsidR="00571129">
        <w:t>observed,</w:t>
      </w:r>
      <w:r>
        <w:t xml:space="preserve"> and which remain hidden in public data.</w:t>
      </w:r>
    </w:p>
    <w:p w14:paraId="18D97736" w14:textId="77777777" w:rsidR="00BD3161" w:rsidRDefault="00BD3161">
      <w:pPr>
        <w:spacing w:after="160" w:line="319" w:lineRule="auto"/>
        <w:jc w:val="both"/>
        <w:rPr>
          <w:kern w:val="2"/>
          <w14:ligatures w14:val="standardContextual"/>
        </w:rPr>
      </w:pPr>
      <w:r>
        <w:rPr>
          <w:b/>
          <w:bCs/>
        </w:rPr>
        <w:t>Permian outbound.</w:t>
      </w:r>
      <w:r>
        <w:t xml:space="preserve"> The Permian's roughly six-million-barrel-per-day output leaves the basin mainly through three origin terminals: Midland, the largest and most central; Wink, further to the southwest; and Crane, to the southeast. From those terminals, multiple long-haul pipelines move crude toward the Gulf Coast, including Gray Oak, Cactus II, EPIC, Wink-to-Webster, and others. Public data captures the basin's production and the receipts at major Gulf Coast destinations, but it does not report the split across individual pipelines. This is the clearest example in the thesis of a flow that is physically real and operationally important, yet unobserved at the per-edge level. It is therefore the canonical latent-flow problem used throughout the framework design.</w:t>
      </w:r>
    </w:p>
    <w:p w14:paraId="36BCFB6B" w14:textId="77777777" w:rsidR="008E1B31" w:rsidRDefault="005C5514">
      <w:pPr>
        <w:spacing w:after="160" w:line="320" w:lineRule="auto"/>
        <w:jc w:val="both"/>
      </w:pPr>
      <w:r>
        <w:rPr>
          <w:b/>
          <w:bCs/>
        </w:rPr>
        <w:lastRenderedPageBreak/>
        <w:t>Bakken outbound.</w:t>
      </w:r>
      <w:r>
        <w:t xml:space="preserve"> The Bakken connects to PADD 2 (Midwest) and onward to other PADDs through a network of pipelines (Dakota Access being the dominant trunk) and rail terminals. The per-pipeline split out of Bakken gathering is again unobserved in public data.</w:t>
      </w:r>
    </w:p>
    <w:p w14:paraId="36BCFB6C" w14:textId="77777777" w:rsidR="008E1B31" w:rsidRDefault="005C5514">
      <w:pPr>
        <w:spacing w:after="160" w:line="320" w:lineRule="auto"/>
        <w:jc w:val="both"/>
      </w:pPr>
      <w:r>
        <w:rPr>
          <w:b/>
          <w:bCs/>
        </w:rPr>
        <w:t>The Cushing complex.</w:t>
      </w:r>
      <w:r>
        <w:t xml:space="preserve"> Cushing, Oklahoma is the largest crude oil storage hub in the U.S. and the delivery point for the WTI futures contract. Pipelines converge on Cushing from all directions: north from Texas (Seaway north-bound), south to the Gulf (Seaway south-bound, MarketLink, Keystone XL, Cushing Marketlink), east to Patoka (Diamond, Mid-Valley), and into Cushing from the north (Pony Express from the Bakken via Wyoming). The Cushing hub itself comprises multiple operator sub-terminals (Enterprise, Plains, Magellan, and others), each reporting separately at quarterly intervals but aggregated to hub level monthly.</w:t>
      </w:r>
    </w:p>
    <w:p w14:paraId="4EE0F650" w14:textId="77777777" w:rsidR="00BD3161" w:rsidRDefault="00BD3161">
      <w:pPr>
        <w:spacing w:after="160" w:line="319" w:lineRule="auto"/>
        <w:jc w:val="both"/>
        <w:rPr>
          <w:kern w:val="2"/>
          <w14:ligatures w14:val="standardContextual"/>
        </w:rPr>
      </w:pPr>
      <w:r>
        <w:rPr>
          <w:b/>
          <w:bCs/>
        </w:rPr>
        <w:t>Inter-PADD flows.</w:t>
      </w:r>
      <w:r>
        <w:t xml:space="preserve"> The EIA reports crude movements between PADDs at the level of PADD pairs, such as PADD 2 to PADD 3 or PADD 3 to PADD 1, without specifying which individual pipelines carry those volumes. The framework's inter-PADD aggregate nodes are a direct response to that reporting choice. They give the partition structure a same-type child to attach to while leaving the underlying per-pipeline allocation latent for future optimisation or forecasting work.</w:t>
      </w:r>
    </w:p>
    <w:p w14:paraId="023B1514" w14:textId="77777777" w:rsidR="00BD3161" w:rsidRDefault="00BD3161">
      <w:pPr>
        <w:spacing w:after="160" w:line="319" w:lineRule="auto"/>
        <w:jc w:val="both"/>
        <w:rPr>
          <w:kern w:val="2"/>
          <w14:ligatures w14:val="standardContextual"/>
        </w:rPr>
      </w:pPr>
      <w:r>
        <w:rPr>
          <w:b/>
          <w:bCs/>
        </w:rPr>
        <w:t>The Gulf Coast export complex.</w:t>
      </w:r>
      <w:r>
        <w:t xml:space="preserve"> By 2024, roughly 4 mbd of U.S. crude was leaving the country through Gulf Coast export terminals. The main centres are the Houston complex, the Corpus Christi cluster, Nederland in southeast Texas, LOOP in offshore Louisiana, and St. James in Louisiana. Some of these are themselves groups of terminals operated by different companies. Throughput can often be observed at terminal level, but the final destination of those exports is usually reported at country level rather than terminal-destination level. This creates another multi-resolution mismatch: the physical exit point is known at one level, while the destination pattern is known only at a coarser one.</w:t>
      </w:r>
    </w:p>
    <w:p w14:paraId="633CF9FC" w14:textId="77777777" w:rsidR="006E3777" w:rsidRDefault="006E3777">
      <w:pPr>
        <w:spacing w:after="160" w:line="319" w:lineRule="auto"/>
        <w:jc w:val="center"/>
        <w:rPr>
          <w:kern w:val="2"/>
          <w14:ligatures w14:val="standardContextual"/>
        </w:rPr>
      </w:pPr>
      <w:r>
        <w:rPr>
          <w:noProof/>
        </w:rPr>
        <w:drawing>
          <wp:inline distT="0" distB="0" distL="0" distR="0" wp14:anchorId="356AF7E6" wp14:editId="63B500A1">
            <wp:extent cx="5669280" cy="33205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nsport_network.png"/>
                    <pic:cNvPicPr/>
                  </pic:nvPicPr>
                  <pic:blipFill>
                    <a:blip r:embed="rId12"/>
                    <a:stretch>
                      <a:fillRect/>
                    </a:stretch>
                  </pic:blipFill>
                  <pic:spPr>
                    <a:xfrm>
                      <a:off x="0" y="0"/>
                      <a:ext cx="5669280" cy="3320578"/>
                    </a:xfrm>
                    <a:prstGeom prst="rect">
                      <a:avLst/>
                    </a:prstGeom>
                  </pic:spPr>
                </pic:pic>
              </a:graphicData>
            </a:graphic>
          </wp:inline>
        </w:drawing>
      </w:r>
    </w:p>
    <w:p w14:paraId="354F2485" w14:textId="77777777" w:rsidR="006E3777" w:rsidRDefault="006E3777">
      <w:pPr>
        <w:spacing w:after="160" w:line="319" w:lineRule="auto"/>
        <w:jc w:val="center"/>
        <w:rPr>
          <w:kern w:val="2"/>
          <w14:ligatures w14:val="standardContextual"/>
        </w:rPr>
      </w:pPr>
      <w:r>
        <w:rPr>
          <w:i/>
          <w:sz w:val="18"/>
        </w:rPr>
        <w:lastRenderedPageBreak/>
        <w:t>Figure 2 — U.S. crude oil transport network as instantiated in the framework. Production basins (green) feed gathering systems (light blue) and origin terminals (light green). Pipelines (grey lines) connect basins, hubs, and refineries (red). Storage hubs (dark blue) sit at the major junctions; SPR sites (mustard) cluster along the Gulf coast. Export terminals (orange) and import terminals (purple) sit on the boundary of the modelled system.</w:t>
      </w:r>
    </w:p>
    <w:p w14:paraId="36BCFB6F" w14:textId="77777777" w:rsidR="008E1B31" w:rsidRDefault="005C5514">
      <w:pPr>
        <w:pStyle w:val="Heading2"/>
      </w:pPr>
      <w:r>
        <w:t>3.5 Refining and consumption</w:t>
      </w:r>
    </w:p>
    <w:p w14:paraId="40A0D0E4" w14:textId="77777777" w:rsidR="00BD3161" w:rsidRDefault="00BD3161">
      <w:pPr>
        <w:spacing w:after="160" w:line="319" w:lineRule="auto"/>
        <w:jc w:val="both"/>
        <w:rPr>
          <w:kern w:val="2"/>
          <w14:ligatures w14:val="standardContextual"/>
        </w:rPr>
      </w:pPr>
      <w:r>
        <w:t>U.S. refining capacity is roughly 18 mbd, while actual crude runs typically fall in the 15–17 mbd range. Capacity is highly concentrated geographically. PADD 3 on the Gulf Coast accounts for around half of total U.S. refining capacity, and within that district a relatively small number of large coastal refineries dominate. PADD 2 in the Midwest is the next largest refining centre, with facilities that process a mix of domestic and Canadian crude and, in several cases, are configured specifically for heavier Canadian grades.</w:t>
      </w:r>
    </w:p>
    <w:p w14:paraId="549B0AD3" w14:textId="77777777" w:rsidR="00BD3161" w:rsidRDefault="00BD3161">
      <w:pPr>
        <w:spacing w:after="160" w:line="319" w:lineRule="auto"/>
        <w:jc w:val="both"/>
        <w:rPr>
          <w:kern w:val="2"/>
          <w14:ligatures w14:val="standardContextual"/>
        </w:rPr>
      </w:pPr>
      <w:r>
        <w:t>Refineries differ in several ways that matter operationally: throughput capacity, process configuration, complexity, and crude slate. Configuration refers to the units installed on site, such as crude distillation, coking, hydrocracking, fluid catalytic cracking, alkylation, and reforming. Complexity is often summarised through the Nelson Complexity Index. Crude slate refers to the range of grades the refinery can run efficiently. That flexibility is limited and economically important. A refinery optimised for heavy sour Canadian crude cannot simply switch to light sweet Permian barrels without consequences for operations and yields.</w:t>
      </w:r>
    </w:p>
    <w:p w14:paraId="7A85F122" w14:textId="6C0B6BB3" w:rsidR="00314484" w:rsidRPr="002A57D6" w:rsidRDefault="00BD3161">
      <w:pPr>
        <w:spacing w:after="160" w:line="319" w:lineRule="auto"/>
        <w:jc w:val="both"/>
      </w:pPr>
      <w:r>
        <w:t>Within the framework, refineries are represented as nodes with three main variables: crude consumption, inventory, and a balancing item. Consumption corresponds to refinery throughput and is observed either at refining-district level or, in some cases, at facility level. Inventory is generally available at PADD level. The balancing item absorbs process losses and reporting residuals. Product slates and the detailed transformation of crude into refined products are outside the scope of the first implementation, which treats crude oil as a single commodity.</w:t>
      </w:r>
    </w:p>
    <w:p w14:paraId="36BCFB73" w14:textId="77777777" w:rsidR="008E1B31" w:rsidRDefault="005C5514">
      <w:pPr>
        <w:pStyle w:val="Heading2"/>
      </w:pPr>
      <w:r>
        <w:t>3.6 What the framework must accommodate</w:t>
      </w:r>
    </w:p>
    <w:p w14:paraId="015A910F" w14:textId="77777777" w:rsidR="00BD3161" w:rsidRDefault="00BD3161">
      <w:pPr>
        <w:spacing w:after="160" w:line="319" w:lineRule="auto"/>
        <w:jc w:val="both"/>
        <w:rPr>
          <w:kern w:val="2"/>
          <w14:ligatures w14:val="standardContextual"/>
        </w:rPr>
      </w:pPr>
      <w:r>
        <w:t>Taken together, the physical and reporting structure described above leads to a fairly specific set of requirements for the framework:</w:t>
      </w:r>
    </w:p>
    <w:p w14:paraId="36BCFB75" w14:textId="77777777" w:rsidR="008E1B31" w:rsidRDefault="005C5514">
      <w:pPr>
        <w:spacing w:after="160" w:line="320" w:lineRule="auto"/>
        <w:jc w:val="both"/>
      </w:pPr>
      <w:r>
        <w:rPr>
          <w:b/>
          <w:bCs/>
        </w:rPr>
        <w:t>Multi-resolution data without reconciliation residuals.</w:t>
      </w:r>
      <w:r>
        <w:t xml:space="preserve"> Production observed at basin level, stocks at PADD level, consumption at refining-district level, and inter-PADD flows at PADD-pair level all need to coexist in a single representation. The framework must not require any of these to be "down-disaggregated" to a uniform finest-granularity before being usable.</w:t>
      </w:r>
    </w:p>
    <w:p w14:paraId="36BCFB76" w14:textId="77777777" w:rsidR="008E1B31" w:rsidRDefault="005C5514">
      <w:pPr>
        <w:spacing w:after="160" w:line="320" w:lineRule="auto"/>
        <w:jc w:val="both"/>
      </w:pPr>
      <w:r>
        <w:rPr>
          <w:b/>
          <w:bCs/>
        </w:rPr>
        <w:t>Junction fan-outs with unobserved per-edge splits.</w:t>
      </w:r>
      <w:r>
        <w:t xml:space="preserve"> The Permian outflow problem (three terminals, multiple pipelines from each, downstream destinations observed only at aggregate level) is structural, not exceptional. Bakken gathering, the Cushing hub, and the Gulf Coast export complex all exhibit the same pattern at different scales. The framework must handle these natively rather than treating them as edge cases.</w:t>
      </w:r>
    </w:p>
    <w:p w14:paraId="36BCFB77" w14:textId="77777777" w:rsidR="008E1B31" w:rsidRDefault="005C5514">
      <w:pPr>
        <w:spacing w:after="160" w:line="320" w:lineRule="auto"/>
        <w:jc w:val="both"/>
      </w:pPr>
      <w:r>
        <w:rPr>
          <w:b/>
          <w:bCs/>
        </w:rPr>
        <w:lastRenderedPageBreak/>
        <w:t>A balancing item that absorbs systematic reporting residuals.</w:t>
      </w:r>
      <w:r>
        <w:t xml:space="preserve"> The IEA convention of a published balancing item exists for a reason: the data does not close exactly, and the residual carries information about where the reporting system is failing to close. The framework must retain B as a first-class variable rather than absorbing it into adjacent flows.</w:t>
      </w:r>
    </w:p>
    <w:p w14:paraId="36BCFB78" w14:textId="77777777" w:rsidR="008E1B31" w:rsidRDefault="005C5514">
      <w:pPr>
        <w:spacing w:after="160" w:line="320" w:lineRule="auto"/>
        <w:jc w:val="both"/>
      </w:pPr>
      <w:r>
        <w:rPr>
          <w:b/>
          <w:bCs/>
        </w:rPr>
        <w:t>Slow structural evolution.</w:t>
      </w:r>
      <w:r>
        <w:t xml:space="preserve"> The pipeline network changes deliberately over time (Capline reversed in 2022, the Bakken cross-state connector was added in 2024). These are real operational events, not data artefacts, and the framework must accommodate them without requiring a wholesale graph rebuild.</w:t>
      </w:r>
    </w:p>
    <w:p w14:paraId="36BCFB79" w14:textId="77777777" w:rsidR="008E1B31" w:rsidRDefault="005C5514">
      <w:pPr>
        <w:spacing w:after="160" w:line="320" w:lineRule="auto"/>
        <w:jc w:val="both"/>
      </w:pPr>
      <w:r>
        <w:rPr>
          <w:b/>
          <w:bCs/>
        </w:rPr>
        <w:t>A boundary that separates the modelled system from the rest of the world.</w:t>
      </w:r>
      <w:r>
        <w:t xml:space="preserve"> Foreign supply comes in through Canadian and other import flows; U.S. crude leaves through export terminals to destinations the framework does not track. The boundary needs to be explicit, with mass balance closing on the U.S. side without requiring the framework to model the foreign side.</w:t>
      </w:r>
    </w:p>
    <w:p w14:paraId="40BBD6F5" w14:textId="7620BDDB" w:rsidR="00BD3161" w:rsidRDefault="00BD3161">
      <w:pPr>
        <w:spacing w:after="160" w:line="319" w:lineRule="auto"/>
        <w:jc w:val="both"/>
        <w:rPr>
          <w:kern w:val="2"/>
          <w14:ligatures w14:val="standardContextual"/>
        </w:rPr>
      </w:pPr>
      <w:r>
        <w:t xml:space="preserve">These requirements are not optional add-ons. They follow directly from the way the system operates and from the way the data is </w:t>
      </w:r>
      <w:r w:rsidR="002A57D6">
        <w:t>published</w:t>
      </w:r>
      <w:r>
        <w:t>. The next chapter responds to them by introducing the axioms and corollaries that structure the framework.</w:t>
      </w:r>
    </w:p>
    <w:p w14:paraId="36BCFB7B" w14:textId="77777777" w:rsidR="008E1B31" w:rsidRDefault="005C5514">
      <w:pPr>
        <w:pStyle w:val="Heading1"/>
        <w:pageBreakBefore/>
      </w:pPr>
      <w:r>
        <w:lastRenderedPageBreak/>
        <w:t>4. Design Principles</w:t>
      </w:r>
    </w:p>
    <w:p w14:paraId="7DCD11D4" w14:textId="591A220D" w:rsidR="00BD3161" w:rsidRDefault="00BD3161">
      <w:pPr>
        <w:spacing w:after="160" w:line="319" w:lineRule="auto"/>
        <w:jc w:val="both"/>
        <w:rPr>
          <w:kern w:val="2"/>
          <w14:ligatures w14:val="standardContextual"/>
        </w:rPr>
      </w:pPr>
      <w:r>
        <w:t>This chapter sets out the six axioms that underpin the framework, together with the corollaries that follow from them once the variables collection is populated correctly. Of these, Axiom 3 does the heaviest architectural work: by treating the variables collection as the single source of truth, it makes edges, hierarchy, and node status all derivable rather than separately stored</w:t>
      </w:r>
      <w:r w:rsidR="00873A5A">
        <w:t>, avoiding redundant information and inconsistencies</w:t>
      </w:r>
      <w:r>
        <w:t xml:space="preserve">. Each principle is presented in the same way. The rule is stated, then an explanation of why the decision </w:t>
      </w:r>
      <w:r w:rsidR="00873A5A">
        <w:t>was</w:t>
      </w:r>
      <w:r>
        <w:t xml:space="preserve"> made and some of the </w:t>
      </w:r>
      <w:r w:rsidR="00873A5A">
        <w:t>alternatives that</w:t>
      </w:r>
      <w:r>
        <w:t xml:space="preserve"> </w:t>
      </w:r>
      <w:r w:rsidR="00873A5A">
        <w:t>were</w:t>
      </w:r>
      <w:r>
        <w:t xml:space="preserve"> considered during design, and finally discuss what that choice allows the framework to do.</w:t>
      </w:r>
    </w:p>
    <w:p w14:paraId="24E7C1A9" w14:textId="77777777" w:rsidR="00BD3161" w:rsidRDefault="00BD3161">
      <w:pPr>
        <w:spacing w:after="160" w:line="319" w:lineRule="auto"/>
        <w:jc w:val="both"/>
      </w:pPr>
      <w:r>
        <w:t>Taken together, the axioms and corollaries define the consistency properties claimed as the contribution of this thesis: an asset-centric representation that can handle multi-resolution data, preserve provenance through the resolution chain, and reject double counting at insertion time rather than only after the fact. Their order is deliberate. The discussion begins with the representational commitment on which the others depend and then moves outward to the rules that make that commitment workable in practice.</w:t>
      </w:r>
    </w:p>
    <w:p w14:paraId="5D6B82E8" w14:textId="5A0D6A1C" w:rsidR="00CB3431" w:rsidRDefault="00CB3431">
      <w:pPr>
        <w:spacing w:after="160" w:line="319" w:lineRule="auto"/>
        <w:jc w:val="both"/>
      </w:pPr>
      <w:r>
        <w:t>It is important to note that the relationship between the real assets and the availability of data in different aggregations, granularities and frequency were considered to design the elemental components of the graph allowing for consistency and extension, allowing multiple views of multiple crude and its products</w:t>
      </w:r>
      <w:r w:rsidR="00AE4FDA">
        <w:t xml:space="preserve"> while at the same time using granular data to test the concepts (e.g. all refineries in</w:t>
      </w:r>
      <w:r w:rsidR="002D208B">
        <w:t xml:space="preserve"> the US are used to build the example graph).</w:t>
      </w:r>
    </w:p>
    <w:p w14:paraId="042D1087" w14:textId="55EE4D0A" w:rsidR="00DA5208" w:rsidRDefault="00DA5208">
      <w:pPr>
        <w:spacing w:after="160" w:line="319" w:lineRule="auto"/>
        <w:jc w:val="both"/>
        <w:rPr>
          <w:kern w:val="2"/>
          <w14:ligatures w14:val="standardContextual"/>
        </w:rPr>
      </w:pPr>
      <w:r>
        <w:t xml:space="preserve">The axioms and corollaries presented are the foundation blocks for the data model where the network will be represented. We paid special </w:t>
      </w:r>
      <w:r w:rsidR="002D208B">
        <w:t>attention,</w:t>
      </w:r>
      <w:r>
        <w:t xml:space="preserve"> so the data model follows the consistency and the principles of the normal forms.</w:t>
      </w:r>
    </w:p>
    <w:p w14:paraId="36BCFB7E" w14:textId="77777777" w:rsidR="008E1B31" w:rsidRDefault="005C5514">
      <w:pPr>
        <w:pStyle w:val="Heading2"/>
      </w:pPr>
      <w:r>
        <w:t>4.1 Axiom 1: Asset-centric representation</w:t>
      </w:r>
    </w:p>
    <w:p w14:paraId="25BA68AB" w14:textId="3A349915" w:rsidR="00BD3161" w:rsidRDefault="00BD3161">
      <w:pPr>
        <w:spacing w:after="160" w:line="319" w:lineRule="auto"/>
        <w:jc w:val="both"/>
        <w:rPr>
          <w:kern w:val="2"/>
          <w14:ligatures w14:val="standardContextual"/>
        </w:rPr>
      </w:pPr>
      <w:r>
        <w:t xml:space="preserve">The first design commitment is that </w:t>
      </w:r>
      <w:r>
        <w:rPr>
          <w:b/>
          <w:bCs/>
        </w:rPr>
        <w:t>“every physical asset in the network is represented as a node with its own inventory and mass balance”</w:t>
      </w:r>
      <w:r>
        <w:t>. Pipelines, vessels, terminals, refineries, gathering systems, and storage hubs are therefore treated as first-class nodes rather than as properties attached to the edges between locations. This generalization allows the network to be scalable while representing the actual reality. The main alternative considered during design was a location-centric representation, where nodes denote places such as basins, ports, or refining centres and the assets connecting them sit on the edges. Both approaches are common in the literature, but the choice matters more than it may appear at first.</w:t>
      </w:r>
    </w:p>
    <w:p w14:paraId="24253770" w14:textId="77777777" w:rsidR="00BD3161" w:rsidRDefault="00BD3161">
      <w:pPr>
        <w:spacing w:after="160" w:line="319" w:lineRule="auto"/>
        <w:jc w:val="both"/>
        <w:rPr>
          <w:kern w:val="2"/>
          <w14:ligatures w14:val="standardContextual"/>
        </w:rPr>
      </w:pPr>
      <w:r>
        <w:t xml:space="preserve">In a location-centric model, a pipeline is usually treated as an edge with attributes such as length, capacity, transit time, and operating status. That works well in many settings. The difficulty in crude oil logistics is that the crude physically inside the pipeline at a given moment—the line-fill—is not a negligible detail. It becomes hidden state that must be </w:t>
      </w:r>
      <w:r>
        <w:lastRenderedPageBreak/>
        <w:t>reconstructed indirectly from transit time and recent flows. For a large trunk line, this can amount to several days of throughput and may be comparable to a regional refinery's weekly crude runs. When throughput changes, when maintenance shuts the line, or when a storm disrupts operations, the line-fill changes as well. Those changes can show up in regional inventory statistics. If the pipeline is only an edge, that movement is obscured. If the pipeline is a node, it becomes visible and accountable.</w:t>
      </w:r>
    </w:p>
    <w:p w14:paraId="6AF106BC" w14:textId="77777777" w:rsidR="00BD3161" w:rsidRDefault="00BD3161">
      <w:pPr>
        <w:spacing w:after="160" w:line="319" w:lineRule="auto"/>
        <w:jc w:val="both"/>
        <w:rPr>
          <w:kern w:val="2"/>
          <w14:ligatures w14:val="standardContextual"/>
        </w:rPr>
      </w:pPr>
      <w:r>
        <w:t>The same point applies even more strongly to vessels. A VLCC carrying two million barrels from Rotterdam to Houston is, for the duration of that voyage, a floating storage asset. During periods of contango, when holding crude in transit can make economic sense, that role becomes even more obvious. A representation that hides the cargo inside an edge attribute misses a part of the system that is both physically real and commercially important.</w:t>
      </w:r>
    </w:p>
    <w:p w14:paraId="2176E791" w14:textId="77777777" w:rsidR="00BD3161" w:rsidRDefault="00BD3161">
      <w:pPr>
        <w:spacing w:after="160" w:line="319" w:lineRule="auto"/>
        <w:jc w:val="both"/>
      </w:pPr>
      <w:r>
        <w:t>The asset-centric commitment is therefore straightforward: each pipeline, vessel, terminal, and comparable operational asset is represented as a node with its own stock variable, its own mass balance, and, where relevant, its own observation series. Edges then represent what they physically are—directed movements from one asset to another. They carry volume, but they do not hold it.</w:t>
      </w:r>
    </w:p>
    <w:tbl>
      <w:tblPr>
        <w:tblStyle w:val="TableGrid"/>
        <w:tblW w:w="0" w:type="auto"/>
        <w:tblLook w:val="04A0" w:firstRow="1" w:lastRow="0" w:firstColumn="1" w:lastColumn="0" w:noHBand="0" w:noVBand="1"/>
      </w:tblPr>
      <w:tblGrid>
        <w:gridCol w:w="9016"/>
      </w:tblGrid>
      <w:tr w:rsidR="001C3183" w14:paraId="7F48E597" w14:textId="77777777" w:rsidTr="001C3183">
        <w:tc>
          <w:tcPr>
            <w:tcW w:w="9016" w:type="dxa"/>
          </w:tcPr>
          <w:p w14:paraId="3914D1CE" w14:textId="77777777" w:rsidR="001C3183" w:rsidRPr="00F67382" w:rsidRDefault="001C3183" w:rsidP="001C3183">
            <w:pPr>
              <w:spacing w:after="160" w:line="320" w:lineRule="auto"/>
              <w:jc w:val="both"/>
              <w:rPr>
                <w:i/>
                <w:iCs/>
                <w:sz w:val="20"/>
                <w:szCs w:val="20"/>
              </w:rPr>
            </w:pPr>
            <w:r>
              <w:rPr>
                <w:b/>
                <w:bCs/>
              </w:rPr>
              <w:t>Example:</w:t>
            </w:r>
            <w:r>
              <w:t xml:space="preserve"> </w:t>
            </w:r>
            <w:r w:rsidRPr="00F67382">
              <w:rPr>
                <w:i/>
                <w:iCs/>
                <w:sz w:val="20"/>
                <w:szCs w:val="20"/>
              </w:rPr>
              <w:t>When the Capline pipeline reversed direction in 2022, switching from south-bound to north-bound service, the asset-centric representation handles the change naturally. The pipeline remains a node. Its line-fill remains its own stock variable. The two directed edges that connect it to the Patoka hub at one end and the St. James terminal at the other remain in the topology; one direction goes to zero flow, the other becomes active. The location-centric alternative would have required a structural rewrite of the edge: changing its direction, possibly renaming it, and reconstructing how its line-fill is attributed across the change. Asset-centric makes the reversal a data event, not a schema event.</w:t>
            </w:r>
          </w:p>
          <w:p w14:paraId="62054585" w14:textId="2C4D4C08" w:rsidR="001C3183" w:rsidRPr="001C3183" w:rsidRDefault="001C3183" w:rsidP="001C3183">
            <w:pPr>
              <w:spacing w:after="160" w:line="320" w:lineRule="auto"/>
              <w:jc w:val="both"/>
              <w:rPr>
                <w:i/>
                <w:iCs/>
                <w:sz w:val="20"/>
                <w:szCs w:val="20"/>
              </w:rPr>
            </w:pPr>
            <w:r w:rsidRPr="008733E4">
              <w:rPr>
                <w:i/>
                <w:iCs/>
                <w:sz w:val="20"/>
                <w:szCs w:val="20"/>
              </w:rPr>
              <w:t>The same point holds quantitatively in the live implementation. EIA's stock identity for PADD 5 includes commercial stocks, the Strategic Petroleum Reserve, and an in-transit allocation. The identity consistently overshoots the sum of named commercial hubs and refinery stocks by roughly six million barrels, and that residual is crude moving aboard Jones Act tankers from the Gulf Coast to West Coast refineries; EIA allocates the volume to PADD 5 as destination-based ending stocks. The framework gives the volume a home. PADD 5's inter-PADD pipeline corridor node from PADD 3 already exists with TS-bound flow variables, so the residual lands there as line-fill inventory, closing PADD 5's stock partition exactly. A location-centric model, where the corridor is an edge attribute rather than a node, would have nowhere to put those barrels.</w:t>
            </w:r>
          </w:p>
        </w:tc>
      </w:tr>
    </w:tbl>
    <w:p w14:paraId="01FDD78E" w14:textId="77777777" w:rsidR="001C3183" w:rsidRDefault="001C3183">
      <w:pPr>
        <w:spacing w:after="160" w:line="320" w:lineRule="auto"/>
        <w:jc w:val="both"/>
      </w:pPr>
    </w:p>
    <w:p w14:paraId="3838D257" w14:textId="184AA08C" w:rsidR="008E1B31" w:rsidRDefault="005C5514">
      <w:pPr>
        <w:spacing w:after="160" w:line="320" w:lineRule="auto"/>
        <w:jc w:val="both"/>
      </w:pPr>
      <w:r>
        <w:t>The same asset-centric framing pays off when richer data sources are available. Genscape, now part of Wood Mackenzie, reports daily tank-by-tank inventory levels at the Cushing hub from infrared satellite imagery — roughly twenty individual storage tanks resolved rather than a single PADD-2 aggregate. OilX and Kpler track vessel movements globally through AIS feeds and shipping intelligence, resolving in-transit cargoes by ship, route, and grade rather than as a monthly net inflow. IIR Energy maintains a refinery operations database with per-</w:t>
      </w:r>
      <w:r>
        <w:lastRenderedPageBreak/>
        <w:t>unit turnaround schedules, capacity utilisation, and crude slate, at the facility and process-unit resolution that EIA only publishes for the PADD 3 refining district at most. S&amp;P Global Commodity Insights collects per-pipeline shipper nominations and contract-level pricing detail. In the asset-centric representation each of these data sources binds to the node it describes; in a location-centric representation, where pipelines and tanks are edge attributes, none of them would have a natural home.</w:t>
      </w:r>
    </w:p>
    <w:p w14:paraId="36BCFB84" w14:textId="77777777" w:rsidR="008E1B31" w:rsidRDefault="005C5514">
      <w:pPr>
        <w:pStyle w:val="Heading2"/>
      </w:pPr>
      <w:r>
        <w:t>4.2 Axiom 2: Stable topology via zero-flow edges</w:t>
      </w:r>
    </w:p>
    <w:p w14:paraId="4F1DB721" w14:textId="42CBFF33" w:rsidR="00BD3161" w:rsidRDefault="00BD3161">
      <w:pPr>
        <w:spacing w:after="160" w:line="319" w:lineRule="auto"/>
        <w:jc w:val="both"/>
        <w:rPr>
          <w:kern w:val="2"/>
          <w14:ligatures w14:val="standardContextual"/>
        </w:rPr>
      </w:pPr>
      <w:r>
        <w:t>The second commitment is that the “</w:t>
      </w:r>
      <w:r>
        <w:rPr>
          <w:b/>
          <w:bCs/>
        </w:rPr>
        <w:t>graph's adjacency matrix remains fixed over time”</w:t>
      </w:r>
      <w:r>
        <w:t>. Every edge that could carry flow under the modelled topology is defined once and remains part of the graph at every timestep, whether it is currently active or not. An inactive edge therefore carries zero flow rather than disappearing from the structure.</w:t>
      </w:r>
    </w:p>
    <w:p w14:paraId="246F8DC5" w14:textId="0C455883" w:rsidR="00BD3161" w:rsidRDefault="00BD3161">
      <w:pPr>
        <w:spacing w:after="160" w:line="319" w:lineRule="auto"/>
        <w:jc w:val="both"/>
        <w:rPr>
          <w:kern w:val="2"/>
          <w14:ligatures w14:val="standardContextual"/>
        </w:rPr>
      </w:pPr>
      <w:r>
        <w:t xml:space="preserve">The main alternative is a time-varying topology in which edges appear and disappear as physical or contractual relationships change. That can look appealing if the graph is interpreted literally as a record of which flows are active at a particular moment, and many dynamic graph methods in machine learning are built around that idea. This thesis rejects that approach for two reasons. First, most of the graph neural network architectures that would naturally consume this representation—such as GCN, GAT, GraphSAGE, DCRNN, STGCN, and TGN—work much more naturally with a stable adjacency structure. Second, keeping topology fixed creates a clean separation between structural change and operational change. Structural change is rare </w:t>
      </w:r>
      <w:r w:rsidR="006C0BB1">
        <w:t>as it implicates events that require massive investment (e.g. a new refinery)</w:t>
      </w:r>
      <w:r>
        <w:t>, and it should trigger schema review. Operational change is frequent and should be reflected only in the values attached to existing edges.</w:t>
      </w:r>
    </w:p>
    <w:p w14:paraId="773E1BCA" w14:textId="77777777" w:rsidR="00BD3161" w:rsidRDefault="00BD3161">
      <w:pPr>
        <w:spacing w:after="160" w:line="319" w:lineRule="auto"/>
        <w:jc w:val="both"/>
        <w:rPr>
          <w:kern w:val="2"/>
          <w14:ligatures w14:val="standardContextual"/>
        </w:rPr>
      </w:pPr>
      <w:r>
        <w:t>The zero-flow convention should therefore be understood as a modelling discipline rather than a physical claim. A pipeline shut for maintenance still exists as a node, and the edges connected to it still exist as part of the topology; their values are simply zero during the outage. A reversible line is represented by two directed edges in opposite directions, either of which may be zero at a given time. The topology remains unchanged. Only the edge values move.</w:t>
      </w:r>
    </w:p>
    <w:p w14:paraId="44BB1CD0" w14:textId="61B85F98" w:rsidR="00892723" w:rsidRDefault="00892723" w:rsidP="00E276AB">
      <w:pPr>
        <w:pStyle w:val="Heading2"/>
      </w:pPr>
      <w:r>
        <w:t>4.2.1 Axiom 2 examples</w:t>
      </w:r>
    </w:p>
    <w:p w14:paraId="36BCFB88" w14:textId="4CB5A8B0" w:rsidR="008E1B31" w:rsidRDefault="005C5514">
      <w:pPr>
        <w:spacing w:after="160" w:line="320" w:lineRule="auto"/>
        <w:jc w:val="both"/>
      </w:pPr>
      <w:r>
        <w:t xml:space="preserve">The Capline reversal mentioned above illustrates the rule. Both directed edges, north-bound and south-bound, exist throughout the modelled period. From 1944 (when Capline opened) through 2021 the south-bound flow was </w:t>
      </w:r>
      <w:r w:rsidR="00E276AB">
        <w:t>active,</w:t>
      </w:r>
      <w:r>
        <w:t xml:space="preserve"> and the north-bound flow was zero. From 2022 onwards the relationship flipped: the north-bound flow lit up, the south-bound went to zero. No structural rewrite of the graph was required, and no GNN architecture that depends on a stable adjacency matrix needed special handling.</w:t>
      </w:r>
    </w:p>
    <w:p w14:paraId="766546F6" w14:textId="48759192" w:rsidR="007729A0" w:rsidRDefault="007729A0">
      <w:pPr>
        <w:spacing w:after="160" w:line="320" w:lineRule="auto"/>
        <w:jc w:val="both"/>
      </w:pPr>
      <w:r>
        <w:t xml:space="preserve">Another useful example is the case of vessels. While each vessel is an asset allocated to a node, all the possible load and unload terminals are linked to the vessel by variables, but the loading and unloading is represented by the time series of the flows. If we use Markov </w:t>
      </w:r>
      <w:r>
        <w:lastRenderedPageBreak/>
        <w:t xml:space="preserve">processes to try and predict the destination of the vessels while they are in transit, the flows would be the probability of the vessel arriving at the terminal at that date times the volume the vessel carries. We could not find other designs that were general enough to accommodate all the real assets an oil logistics network can have. </w:t>
      </w:r>
    </w:p>
    <w:p w14:paraId="1FCE2C91" w14:textId="192ACCAC" w:rsidR="00C74C74" w:rsidRDefault="00C74C74">
      <w:pPr>
        <w:spacing w:after="160" w:line="320" w:lineRule="auto"/>
        <w:jc w:val="both"/>
      </w:pPr>
      <w:r>
        <w:t>At the refinery level, this concept is very powerful. Defining the slates possible as a percentage of the oil consumption of the refinery allows the definition of product production. Together with the design of the flows that the product can take, we can have a full description of the logistics network and a powerful base to apply pricing and profitability constraints to predict flows.</w:t>
      </w:r>
    </w:p>
    <w:p w14:paraId="76EA2D24" w14:textId="49D05573" w:rsidR="006E3777" w:rsidRDefault="006E3777">
      <w:pPr>
        <w:spacing w:after="160" w:line="319" w:lineRule="auto"/>
        <w:jc w:val="both"/>
        <w:rPr>
          <w:kern w:val="2"/>
          <w14:ligatures w14:val="standardContextual"/>
        </w:rPr>
      </w:pPr>
      <w:r>
        <w:t>The stable adjacency has a direct consequence for the downstream Linear Programing consumer of Chapter 8. Because every flow variable exists at every timestep, the LP's coefficient matrix is fixed across the modelled horizon; the only thing that changes between snapshots is the right-hand side (observed values) and the upper bounds (capacities, where they are time-versioned). Topology changes — Capline reversals, Bakken cross-state additions — are absorbed as data events: zero-flow becomes positive-flow in the active direction, or a previously latent edge carries a value once data lands on it, with no LP rebuild required.</w:t>
      </w:r>
    </w:p>
    <w:p w14:paraId="36BCFB89" w14:textId="77777777" w:rsidR="008E1B31" w:rsidRDefault="005C5514">
      <w:pPr>
        <w:pStyle w:val="Heading2"/>
      </w:pPr>
      <w:r>
        <w:t>4.3 Corollary A: Universal mass balance with balancing item</w:t>
      </w:r>
    </w:p>
    <w:p w14:paraId="1EABC443" w14:textId="77777777" w:rsidR="00BD3161" w:rsidRDefault="00BD3161">
      <w:pPr>
        <w:spacing w:after="160" w:line="319" w:lineRule="auto"/>
        <w:jc w:val="both"/>
      </w:pPr>
      <w:r>
        <w:t>The next commitment is that every physical node satisfies the mass-balance equation:</w:t>
      </w:r>
    </w:p>
    <w:p w14:paraId="08977492" w14:textId="7762EE2B" w:rsidR="0035694E" w:rsidRDefault="0035694E">
      <w:pPr>
        <w:spacing w:after="160" w:line="320" w:lineRule="auto"/>
        <w:jc w:val="both"/>
        <w:rPr>
          <w:b/>
          <w:bCs/>
        </w:rPr>
      </w:pPr>
      <m:oMathPara>
        <m:oMath>
          <m:r>
            <m:rPr>
              <m:sty m:val="b"/>
            </m:rPr>
            <w:rPr>
              <w:rFonts w:ascii="Cambria Math" w:hAnsi="Cambria Math"/>
            </w:rPr>
            <m:t>Δ</m:t>
          </m:r>
          <m:r>
            <m:rPr>
              <m:sty m:val="bi"/>
            </m:rPr>
            <w:rPr>
              <w:rFonts w:ascii="Cambria Math" w:hAnsi="Cambria Math"/>
            </w:rPr>
            <m:t>S</m:t>
          </m:r>
          <m:d>
            <m:dPr>
              <m:ctrlPr>
                <w:rPr>
                  <w:rFonts w:ascii="Cambria Math" w:hAnsi="Cambria Math"/>
                  <w:b/>
                  <w:bCs/>
                  <w:i/>
                </w:rPr>
              </m:ctrlPr>
            </m:dPr>
            <m:e>
              <m:r>
                <m:rPr>
                  <m:sty m:val="bi"/>
                </m:rPr>
                <w:rPr>
                  <w:rFonts w:ascii="Cambria Math" w:hAnsi="Cambria Math"/>
                </w:rPr>
                <m:t>i,j,g,t</m:t>
              </m:r>
            </m:e>
          </m:d>
          <m:r>
            <m:rPr>
              <m:sty m:val="bi"/>
            </m:rPr>
            <w:rPr>
              <w:rFonts w:ascii="Cambria Math" w:hAnsi="Cambria Math"/>
            </w:rPr>
            <m:t>=P</m:t>
          </m:r>
          <m:d>
            <m:dPr>
              <m:ctrlPr>
                <w:rPr>
                  <w:rFonts w:ascii="Cambria Math" w:hAnsi="Cambria Math"/>
                  <w:b/>
                  <w:bCs/>
                  <w:i/>
                </w:rPr>
              </m:ctrlPr>
            </m:dPr>
            <m:e>
              <m:r>
                <m:rPr>
                  <m:sty m:val="bi"/>
                </m:rPr>
                <w:rPr>
                  <w:rFonts w:ascii="Cambria Math" w:hAnsi="Cambria Math"/>
                </w:rPr>
                <m:t>i,g,t</m:t>
              </m:r>
            </m:e>
          </m:d>
          <m:r>
            <m:rPr>
              <m:sty m:val="bi"/>
            </m:rPr>
            <w:rPr>
              <w:rFonts w:ascii="Cambria Math" w:hAnsi="Cambria Math"/>
            </w:rPr>
            <m:t>+</m:t>
          </m:r>
          <m:nary>
            <m:naryPr>
              <m:chr m:val="∑"/>
              <m:supHide m:val="1"/>
              <m:ctrlPr>
                <w:rPr>
                  <w:rFonts w:ascii="Cambria Math" w:hAnsi="Cambria Math"/>
                  <w:b/>
                  <w:bCs/>
                  <w:i/>
                </w:rPr>
              </m:ctrlPr>
            </m:naryPr>
            <m:sub>
              <m:r>
                <m:rPr>
                  <m:sty m:val="bi"/>
                </m:rPr>
                <w:rPr>
                  <w:rFonts w:ascii="Cambria Math" w:hAnsi="Cambria Math"/>
                </w:rPr>
                <m:t>j</m:t>
              </m:r>
            </m:sub>
            <m:sup/>
            <m:e>
              <m:sSub>
                <m:sSubPr>
                  <m:ctrlPr>
                    <w:rPr>
                      <w:rFonts w:ascii="Cambria Math" w:hAnsi="Cambria Math"/>
                      <w:b/>
                      <w:bCs/>
                      <w:i/>
                    </w:rPr>
                  </m:ctrlPr>
                </m:sSubPr>
                <m:e>
                  <m:r>
                    <m:rPr>
                      <m:sty m:val="bi"/>
                    </m:rPr>
                    <w:rPr>
                      <w:rFonts w:ascii="Cambria Math" w:hAnsi="Cambria Math"/>
                    </w:rPr>
                    <m:t>F</m:t>
                  </m:r>
                </m:e>
                <m:sub>
                  <m:d>
                    <m:dPr>
                      <m:begChr m:val="{"/>
                      <m:endChr m:val="}"/>
                      <m:ctrlPr>
                        <w:rPr>
                          <w:rFonts w:ascii="Cambria Math" w:hAnsi="Cambria Math"/>
                          <w:b/>
                          <w:bCs/>
                          <w:i/>
                        </w:rPr>
                      </m:ctrlPr>
                    </m:dPr>
                    <m:e>
                      <m:r>
                        <m:rPr>
                          <m:sty m:val="bi"/>
                        </m:rPr>
                        <w:rPr>
                          <w:rFonts w:ascii="Cambria Math" w:hAnsi="Cambria Math"/>
                        </w:rPr>
                        <m:t>in</m:t>
                      </m:r>
                    </m:e>
                  </m:d>
                  <m:d>
                    <m:dPr>
                      <m:ctrlPr>
                        <w:rPr>
                          <w:rFonts w:ascii="Cambria Math" w:hAnsi="Cambria Math"/>
                          <w:b/>
                          <w:bCs/>
                          <w:i/>
                        </w:rPr>
                      </m:ctrlPr>
                    </m:dPr>
                    <m:e>
                      <m:r>
                        <m:rPr>
                          <m:sty m:val="bi"/>
                        </m:rPr>
                        <w:rPr>
                          <w:rFonts w:ascii="Cambria Math" w:hAnsi="Cambria Math"/>
                        </w:rPr>
                        <m:t>i,j,g,t</m:t>
                      </m:r>
                    </m:e>
                  </m:d>
                </m:sub>
              </m:sSub>
            </m:e>
          </m:nary>
          <m:r>
            <m:rPr>
              <m:sty m:val="bi"/>
            </m:rPr>
            <w:rPr>
              <w:rFonts w:ascii="Cambria Math" w:hAnsi="Cambria Math"/>
            </w:rPr>
            <m:t>-C</m:t>
          </m:r>
          <m:d>
            <m:dPr>
              <m:ctrlPr>
                <w:rPr>
                  <w:rFonts w:ascii="Cambria Math" w:hAnsi="Cambria Math"/>
                  <w:b/>
                  <w:bCs/>
                  <w:i/>
                </w:rPr>
              </m:ctrlPr>
            </m:dPr>
            <m:e>
              <m:r>
                <m:rPr>
                  <m:sty m:val="bi"/>
                </m:rPr>
                <w:rPr>
                  <w:rFonts w:ascii="Cambria Math" w:hAnsi="Cambria Math"/>
                </w:rPr>
                <m:t>i,g,t</m:t>
              </m:r>
            </m:e>
          </m:d>
          <m:r>
            <m:rPr>
              <m:sty m:val="bi"/>
            </m:rPr>
            <w:rPr>
              <w:rFonts w:ascii="Cambria Math" w:hAnsi="Cambria Math"/>
            </w:rPr>
            <m:t>-</m:t>
          </m:r>
          <m:nary>
            <m:naryPr>
              <m:chr m:val="∑"/>
              <m:supHide m:val="1"/>
              <m:ctrlPr>
                <w:rPr>
                  <w:rFonts w:ascii="Cambria Math" w:hAnsi="Cambria Math"/>
                  <w:b/>
                  <w:bCs/>
                  <w:i/>
                </w:rPr>
              </m:ctrlPr>
            </m:naryPr>
            <m:sub>
              <m:r>
                <m:rPr>
                  <m:sty m:val="bi"/>
                </m:rPr>
                <w:rPr>
                  <w:rFonts w:ascii="Cambria Math" w:hAnsi="Cambria Math"/>
                </w:rPr>
                <m:t>j</m:t>
              </m:r>
            </m:sub>
            <m:sup/>
            <m:e>
              <m:sSub>
                <m:sSubPr>
                  <m:ctrlPr>
                    <w:rPr>
                      <w:rFonts w:ascii="Cambria Math" w:hAnsi="Cambria Math"/>
                      <w:b/>
                      <w:bCs/>
                      <w:i/>
                    </w:rPr>
                  </m:ctrlPr>
                </m:sSubPr>
                <m:e>
                  <m:r>
                    <m:rPr>
                      <m:sty m:val="bi"/>
                    </m:rPr>
                    <w:rPr>
                      <w:rFonts w:ascii="Cambria Math" w:hAnsi="Cambria Math"/>
                    </w:rPr>
                    <m:t>F</m:t>
                  </m:r>
                </m:e>
                <m:sub>
                  <m:d>
                    <m:dPr>
                      <m:begChr m:val="{"/>
                      <m:endChr m:val="}"/>
                      <m:ctrlPr>
                        <w:rPr>
                          <w:rFonts w:ascii="Cambria Math" w:hAnsi="Cambria Math"/>
                          <w:b/>
                          <w:bCs/>
                          <w:i/>
                        </w:rPr>
                      </m:ctrlPr>
                    </m:dPr>
                    <m:e>
                      <m:r>
                        <m:rPr>
                          <m:sty m:val="bi"/>
                        </m:rPr>
                        <w:rPr>
                          <w:rFonts w:ascii="Cambria Math" w:hAnsi="Cambria Math"/>
                        </w:rPr>
                        <m:t>out</m:t>
                      </m:r>
                    </m:e>
                  </m:d>
                  <m:d>
                    <m:dPr>
                      <m:ctrlPr>
                        <w:rPr>
                          <w:rFonts w:ascii="Cambria Math" w:hAnsi="Cambria Math"/>
                          <w:b/>
                          <w:bCs/>
                          <w:i/>
                        </w:rPr>
                      </m:ctrlPr>
                    </m:dPr>
                    <m:e>
                      <m:r>
                        <m:rPr>
                          <m:sty m:val="bi"/>
                        </m:rPr>
                        <w:rPr>
                          <w:rFonts w:ascii="Cambria Math" w:hAnsi="Cambria Math"/>
                        </w:rPr>
                        <m:t>i,j,g,t</m:t>
                      </m:r>
                    </m:e>
                  </m:d>
                </m:sub>
              </m:sSub>
            </m:e>
          </m:nary>
          <m:r>
            <m:rPr>
              <m:sty m:val="bi"/>
            </m:rPr>
            <w:rPr>
              <w:rFonts w:ascii="Cambria Math" w:hAnsi="Cambria Math"/>
            </w:rPr>
            <m:t>+B</m:t>
          </m:r>
          <m:d>
            <m:dPr>
              <m:ctrlPr>
                <w:rPr>
                  <w:rFonts w:ascii="Cambria Math" w:hAnsi="Cambria Math"/>
                  <w:b/>
                  <w:bCs/>
                  <w:i/>
                </w:rPr>
              </m:ctrlPr>
            </m:dPr>
            <m:e>
              <m:r>
                <m:rPr>
                  <m:sty m:val="bi"/>
                </m:rPr>
                <w:rPr>
                  <w:rFonts w:ascii="Cambria Math" w:hAnsi="Cambria Math"/>
                </w:rPr>
                <m:t>i,g,t</m:t>
              </m:r>
            </m:e>
          </m:d>
        </m:oMath>
      </m:oMathPara>
    </w:p>
    <w:p w14:paraId="1931BB22" w14:textId="2B084804" w:rsidR="00D7417D" w:rsidRDefault="00D7417D">
      <w:pPr>
        <w:spacing w:after="160" w:line="320" w:lineRule="auto"/>
        <w:jc w:val="both"/>
      </w:pPr>
      <w:r w:rsidRPr="00D7417D">
        <w:t xml:space="preserve">where for node i, related node j, commodity g, and time </w:t>
      </w:r>
      <w:r>
        <w:t>t</w:t>
      </w:r>
      <w:r w:rsidRPr="00D7417D">
        <w:t>, ΔS denotes the change in stock, P is production, C is consumption, F</w:t>
      </w:r>
      <w:r w:rsidRPr="00D7417D">
        <w:rPr>
          <w:vertAlign w:val="subscript"/>
        </w:rPr>
        <w:t>in</w:t>
      </w:r>
      <w:r w:rsidRPr="00D7417D">
        <w:t>(i, j, g, t) is the inflow into i from related node j, F</w:t>
      </w:r>
      <w:r w:rsidRPr="00091FE8">
        <w:rPr>
          <w:vertAlign w:val="subscript"/>
        </w:rPr>
        <w:t>out</w:t>
      </w:r>
      <w:r w:rsidRPr="00D7417D">
        <w:t>(i, j, g, t) is the outflow from i to related node j, and B is the balancing item. The summations ΣF</w:t>
      </w:r>
      <w:r w:rsidRPr="00091FE8">
        <w:rPr>
          <w:vertAlign w:val="subscript"/>
        </w:rPr>
        <w:t>in</w:t>
      </w:r>
      <w:r w:rsidRPr="00D7417D">
        <w:t xml:space="preserve"> and ΣF</w:t>
      </w:r>
      <w:r w:rsidRPr="00091FE8">
        <w:rPr>
          <w:vertAlign w:val="subscript"/>
        </w:rPr>
        <w:t>out</w:t>
      </w:r>
      <w:r w:rsidRPr="00D7417D">
        <w:t xml:space="preserve"> run over the node's connected neighbours</w:t>
      </w:r>
      <w:r w:rsidR="00091FE8">
        <w:t xml:space="preserve"> per Axiom 3</w:t>
      </w:r>
      <w:r w:rsidRPr="00D7417D">
        <w:t>. The balancing item is a first-class node variable: a recorded value that absorbs systematic discrepancies between the observed stock change and the sum of the observed flows. It is retained as part of the node's data, not discarded as noise.</w:t>
      </w:r>
    </w:p>
    <w:p w14:paraId="10D2C09B" w14:textId="1A4AB24E" w:rsidR="008E1B31" w:rsidRDefault="005C5514">
      <w:pPr>
        <w:spacing w:after="160" w:line="320" w:lineRule="auto"/>
        <w:jc w:val="both"/>
      </w:pPr>
      <w:r>
        <w:t xml:space="preserve">Mass balance is enforced at physical assets — refineries, pipelines, terminals, basins, gathering systems, storage hubs, and the boundary nodes that represent foreign supply and foreign export destinations. It is not enforced at abstract assets. Abstract assets (PADD views, basin views, refining-district views, the stock-decomposition aggregates of Section 5.4) are aggregation </w:t>
      </w:r>
      <w:r w:rsidR="00085FE1">
        <w:t xml:space="preserve">or constraints </w:t>
      </w:r>
      <w:r>
        <w:t xml:space="preserve">views over the physical layer rather than entities that move barrels of their own. </w:t>
      </w:r>
      <w:r w:rsidR="0079345F">
        <w:t xml:space="preserve">The aggregation is done using formulas over specific variables. </w:t>
      </w:r>
      <w:r>
        <w:t xml:space="preserve">Their P, C, I, O, B, and S variables are </w:t>
      </w:r>
      <w:r w:rsidR="0079345F">
        <w:t xml:space="preserve">usually </w:t>
      </w:r>
      <w:r>
        <w:t>roll-ups — defined as the sum of the physical constituents' corresponding variables under Axiom 3 — or independently TS-observed at the aggregate level when EIA publishes a series for the aggregate directly</w:t>
      </w:r>
      <w:r w:rsidR="0079345F">
        <w:t xml:space="preserve">, but can be formulas to be interpreted by the resolver. </w:t>
      </w:r>
      <w:r>
        <w:t xml:space="preserve">When both forms are available, the comparison between the </w:t>
      </w:r>
      <w:r>
        <w:lastRenderedPageBreak/>
        <w:t xml:space="preserve">observed aggregate value and the sum over its constituents is a cross-check rather than a new constraint; the dual role of </w:t>
      </w:r>
      <w:r w:rsidR="0079345F">
        <w:t>formula inputs</w:t>
      </w:r>
      <w:r>
        <w:t xml:space="preserve"> that this implies is set out in Section 4.8. Mass balance at observational aggregates is a consequence of mass balance at physical assets plus the aggregation formulas, not a separate axiom.</w:t>
      </w:r>
    </w:p>
    <w:p w14:paraId="570118F8" w14:textId="77777777" w:rsidR="00BD3161" w:rsidRDefault="00BD3161">
      <w:pPr>
        <w:spacing w:after="160" w:line="319" w:lineRule="auto"/>
        <w:jc w:val="both"/>
        <w:rPr>
          <w:kern w:val="2"/>
          <w14:ligatures w14:val="standardContextual"/>
        </w:rPr>
      </w:pPr>
      <w:r>
        <w:t>The obvious alternatives are either to derive B only as a residual at query time or to treat any non-zero residual as a data-quality problem that should be removed before loading the data. In crude oil logistics, both approaches are unsatisfactory. Reporting frictions are present throughout the system, from custody-transfer timing to refinery process losses, vessel measurement differences, and stock-accounting mismatches. If the residual is hidden or discarded, those discrepancies do not disappear; they are simply pushed into other quantities downstream. The IEA's practice of publishing an explicit balancing item reflects exactly this point. The residual is not merely noise. It carries information about where the reporting system is failing to close cleanly.</w:t>
      </w:r>
    </w:p>
    <w:p w14:paraId="4D50BFBC" w14:textId="77777777" w:rsidR="00BD3161" w:rsidRDefault="00BD3161">
      <w:pPr>
        <w:spacing w:after="160" w:line="319" w:lineRule="auto"/>
        <w:jc w:val="both"/>
        <w:rPr>
          <w:kern w:val="2"/>
          <w14:ligatures w14:val="standardContextual"/>
        </w:rPr>
      </w:pPr>
      <w:r>
        <w:t>In this framework, the balancing item does more than absorb a discrepancy. Its size and sign are themselves analytically useful. A persistently positive B at the USA aggregate level suggests that observed stock changes exceed what the reported flows would imply, which may point to under-reported exports, unreported imports, or timing mismatches in publication. A sudden spike in B around a major event—such as a hurricane, a pipeline outage, or a large SPR release—gives a sense of how much disruption the reporting system is failing to capture directly. Chapter 7 uses this idea explicitly by comparing observed B with closure-derived B to identify where the representation and the published data diverge most strongly.</w:t>
      </w:r>
    </w:p>
    <w:p w14:paraId="36BCFB8F" w14:textId="77777777" w:rsidR="008E1B31" w:rsidRPr="00C9286E" w:rsidRDefault="005C5514">
      <w:pPr>
        <w:spacing w:after="160" w:line="320" w:lineRule="auto"/>
        <w:jc w:val="both"/>
        <w:rPr>
          <w:i/>
          <w:iCs/>
          <w:sz w:val="20"/>
          <w:szCs w:val="20"/>
        </w:rPr>
      </w:pPr>
      <w:r w:rsidRPr="00C9286E">
        <w:rPr>
          <w:b/>
          <w:bCs/>
          <w:sz w:val="20"/>
          <w:szCs w:val="20"/>
        </w:rPr>
        <w:t>Example.</w:t>
      </w:r>
      <w:r w:rsidRPr="00C9286E">
        <w:rPr>
          <w:sz w:val="20"/>
          <w:szCs w:val="20"/>
        </w:rPr>
        <w:t xml:space="preserve"> </w:t>
      </w:r>
      <w:r w:rsidRPr="00C9286E">
        <w:rPr>
          <w:i/>
          <w:iCs/>
          <w:sz w:val="20"/>
          <w:szCs w:val="20"/>
        </w:rPr>
        <w:t>Refineries, considered individually, have small but non-zero B values reflecting process losses (the well-known refinery shrinkage of approximately 1 to 2 per cent by volume). Pipelines have small B values reflecting line loss and measurement noise. Production nodes have small B values reflecting reservoir condensate and flaring. At the USA aggregate level, B is typically a few tens of kbd in absolute value, rising to several hundred kbd around named disruption events. Each of these B values is a retained data point, available for inspection and for downstream consumers; none of them is silently absorbed into the surrounding flow variables.</w:t>
      </w:r>
    </w:p>
    <w:p w14:paraId="36BCFB90" w14:textId="77777777" w:rsidR="008E1B31" w:rsidRDefault="005C5514">
      <w:pPr>
        <w:pStyle w:val="Heading2"/>
      </w:pPr>
      <w:r>
        <w:t>4.4 Axiom 3: Formula-implies-relation</w:t>
      </w:r>
    </w:p>
    <w:p w14:paraId="57A948E6" w14:textId="6C7197E2" w:rsidR="00BD3161" w:rsidRDefault="00BD3161">
      <w:pPr>
        <w:spacing w:after="160" w:line="319" w:lineRule="auto"/>
        <w:jc w:val="both"/>
        <w:rPr>
          <w:kern w:val="2"/>
          <w14:ligatures w14:val="standardContextual"/>
        </w:rPr>
      </w:pPr>
      <w:r>
        <w:t>The fourth commitment is that “</w:t>
      </w:r>
      <w:r>
        <w:rPr>
          <w:b/>
          <w:bCs/>
        </w:rPr>
        <w:t>edges, partition links, and node status are all derived from the variables collection</w:t>
      </w:r>
      <w:r>
        <w:t>”. In other words, the variables table is the single source of truth, and every graph view is computed from it. An edge between two nodes exists if, and only if, a variable on one node references a variable on the other. There is no separate primary edges table that must be maintained in parallel.</w:t>
      </w:r>
    </w:p>
    <w:p w14:paraId="2358992C" w14:textId="77777777" w:rsidR="00BD3161" w:rsidRDefault="00BD3161">
      <w:pPr>
        <w:spacing w:after="160" w:line="319" w:lineRule="auto"/>
        <w:jc w:val="both"/>
        <w:rPr>
          <w:kern w:val="2"/>
          <w14:ligatures w14:val="standardContextual"/>
        </w:rPr>
      </w:pPr>
      <w:r>
        <w:t xml:space="preserve">The alternative, and in fact an earlier implementation choice, was to store edges as a separately declared structure. The problem with that design is that it creates two sources of truth that can drift apart. An edge may be declared without a corresponding formula, or a formula may reference another node without any declared edge making that relation visible in </w:t>
      </w:r>
      <w:r>
        <w:lastRenderedPageBreak/>
        <w:t>the graph. Both cases are recoverable, but only by carrying an unnecessary duplication of structure and then reconciling it later. Formula-implies-relation removes that duplication. If the variables collection is internally consistent, the structural views derived from it are consistent as well.</w:t>
      </w:r>
    </w:p>
    <w:p w14:paraId="36BCFB93" w14:textId="77777777" w:rsidR="008E1B31" w:rsidRDefault="005C5514">
      <w:pPr>
        <w:spacing w:after="160" w:line="320" w:lineRule="auto"/>
        <w:jc w:val="both"/>
      </w:pPr>
      <w:r>
        <w:t>The same principle extends to the resolution hierarchy (the same-type aggregation tree, see Section 4.7) and to the per-scenario node status (see Section 4.5). In each case the structural artefact is recoverable from the variable definitions and is therefore not stored a second time.</w:t>
      </w:r>
    </w:p>
    <w:p w14:paraId="24E6384C" w14:textId="246AAC26" w:rsidR="00A45810" w:rsidRDefault="0012700B">
      <w:pPr>
        <w:spacing w:after="160" w:line="320" w:lineRule="auto"/>
        <w:jc w:val="both"/>
      </w:pPr>
      <w:r>
        <w:t xml:space="preserve">This principle has several far-reaching implications. Firstly, for abstract nodes, it gives constraints. A production basin is a collection of wells that might have specific data available about their production. </w:t>
      </w:r>
      <w:r w:rsidR="006D26C8">
        <w:t>Refinery</w:t>
      </w:r>
      <w:r>
        <w:t xml:space="preserve"> district have collections of refineries. The data available per basin or refinery district mean that the sum of a group of nodes has to equal data that is available. In this specific case, the relationship between the variables gives a constraint. </w:t>
      </w:r>
    </w:p>
    <w:p w14:paraId="680F1454" w14:textId="5B4CF2F6" w:rsidR="00DA5208" w:rsidRDefault="00A45810">
      <w:pPr>
        <w:spacing w:after="160" w:line="320" w:lineRule="auto"/>
        <w:jc w:val="both"/>
      </w:pPr>
      <w:r>
        <w:t xml:space="preserve">The variable relationship will as well give us the flow of oil by allocating the inflows and outflow variables. If a basin feeds two pipelines, we know that the total production will move out on those two pipelines, but we do not know the value for each pipeline. Those pipelines might reach storage tanks or refineries, and we will know the sum of the flows or the specific flows, but the variable relationship will tell us how the nodes are related. The variables will give us the edges of the graph. This design </w:t>
      </w:r>
      <w:r w:rsidR="005A319A">
        <w:t>allows</w:t>
      </w:r>
      <w:r>
        <w:t xml:space="preserve"> for flexibility on the definition of the variables and their relationship with other variables.</w:t>
      </w:r>
    </w:p>
    <w:p w14:paraId="4F2DCA0B" w14:textId="0587F869" w:rsidR="0070475E" w:rsidRDefault="0070475E" w:rsidP="0070475E">
      <w:pPr>
        <w:pStyle w:val="Heading2"/>
      </w:pPr>
      <w:r>
        <w:t xml:space="preserve">4.4.1 Note on graph construction </w:t>
      </w:r>
    </w:p>
    <w:p w14:paraId="3D4D1915" w14:textId="7338F7EF" w:rsidR="00AC5D54" w:rsidRDefault="001412BD">
      <w:pPr>
        <w:spacing w:after="160" w:line="320" w:lineRule="auto"/>
        <w:jc w:val="both"/>
      </w:pPr>
      <w:r>
        <w:t xml:space="preserve">During the construction </w:t>
      </w:r>
      <w:r w:rsidR="00176D4D">
        <w:t>of</w:t>
      </w:r>
      <w:r>
        <w:t xml:space="preserve"> the graph </w:t>
      </w:r>
      <w:r w:rsidR="00176D4D">
        <w:t>we used available AI tools (</w:t>
      </w:r>
      <w:r>
        <w:t>C</w:t>
      </w:r>
      <w:r w:rsidR="005A319A">
        <w:t>h</w:t>
      </w:r>
      <w:r>
        <w:t>atGPT and Claude</w:t>
      </w:r>
      <w:r w:rsidR="00176D4D">
        <w:t xml:space="preserve">) to </w:t>
      </w:r>
      <w:r>
        <w:t xml:space="preserve">comb the web to find out the details of the US crude oil network. The natural output was a json file with assets, locations, metadata, etc, and the relationship between the nodes. Using that as a raw material, we organized the metadata and defined the variables to populate the database. Nowadays the use of jsons instead of a relational database would be common, but the tools that relational databases natively give (referential integrity, primary and foreign keys, </w:t>
      </w:r>
      <w:r w:rsidR="00176D4D">
        <w:t>indexing</w:t>
      </w:r>
      <w:r w:rsidR="00B91F2A">
        <w:t xml:space="preserve">, </w:t>
      </w:r>
      <w:r>
        <w:t>etc) are key to keep the framework consistent by design</w:t>
      </w:r>
      <w:r w:rsidR="00B91F2A">
        <w:t xml:space="preserve"> and guarantee quick access to the data when needed</w:t>
      </w:r>
      <w:r>
        <w:t xml:space="preserve">. </w:t>
      </w:r>
    </w:p>
    <w:p w14:paraId="4A38B235" w14:textId="0749D84C" w:rsidR="0012700B" w:rsidRDefault="00AC5D54">
      <w:pPr>
        <w:spacing w:after="160" w:line="320" w:lineRule="auto"/>
        <w:jc w:val="both"/>
      </w:pPr>
      <w:r>
        <w:t xml:space="preserve">Once the variables are built, one can create views or materialized tables that will give all the information needed for the graph. Searches are much easier to perform, but to propagate new </w:t>
      </w:r>
      <w:r w:rsidR="00B91F2A">
        <w:t>commodity</w:t>
      </w:r>
      <w:r>
        <w:t xml:space="preserve"> types or to calculate the mass balance, building the graph in memory and  making use of python libraries is much easier and quicker.</w:t>
      </w:r>
    </w:p>
    <w:p w14:paraId="36BCFB94" w14:textId="77777777" w:rsidR="008E1B31" w:rsidRDefault="005C5514">
      <w:pPr>
        <w:spacing w:after="160" w:line="320" w:lineRule="auto"/>
        <w:jc w:val="both"/>
      </w:pPr>
      <w:r>
        <w:rPr>
          <w:b/>
          <w:bCs/>
        </w:rPr>
        <w:t>Example.</w:t>
      </w:r>
      <w:r>
        <w:t xml:space="preserve"> Four views of the graph are derived from the single variables table: </w:t>
      </w:r>
      <w:r>
        <w:rPr>
          <w:rFonts w:ascii="Consolas" w:eastAsia="Consolas" w:hAnsi="Consolas" w:cs="Consolas"/>
        </w:rPr>
        <w:t>v_flow_edges</w:t>
      </w:r>
      <w:r>
        <w:t xml:space="preserve"> lists every directed flow edge in the network, derived from the relational variables that carry a </w:t>
      </w:r>
      <w:r>
        <w:rPr>
          <w:rFonts w:ascii="Consolas" w:eastAsia="Consolas" w:hAnsi="Consolas" w:cs="Consolas"/>
        </w:rPr>
        <w:t>related_node_id</w:t>
      </w:r>
      <w:r>
        <w:t xml:space="preserve">; </w:t>
      </w:r>
      <w:r>
        <w:rPr>
          <w:rFonts w:ascii="Consolas" w:eastAsia="Consolas" w:hAnsi="Consolas" w:cs="Consolas"/>
        </w:rPr>
        <w:t>v_aggregation_edges</w:t>
      </w:r>
      <w:r>
        <w:t xml:space="preserve"> lists every cross-node formula reference, regardless of variable type; </w:t>
      </w:r>
      <w:r>
        <w:rPr>
          <w:rFonts w:ascii="Consolas" w:eastAsia="Consolas" w:hAnsi="Consolas" w:cs="Consolas"/>
        </w:rPr>
        <w:t>v_partition_tree</w:t>
      </w:r>
      <w:r>
        <w:t xml:space="preserve"> filters the aggregation edges to the same-type, same-commodity subset that defines the resolution hierarchy; and </w:t>
      </w:r>
      <w:r>
        <w:rPr>
          <w:rFonts w:ascii="Consolas" w:eastAsia="Consolas" w:hAnsi="Consolas" w:cs="Consolas"/>
        </w:rPr>
        <w:t>v_node_status</w:t>
      </w:r>
      <w:r>
        <w:t xml:space="preserve"> (see </w:t>
      </w:r>
      <w:r>
        <w:lastRenderedPageBreak/>
        <w:t>Section 4.5) classifies each node under the active scenario based on the assignment rows attached to its variables. None of these views requires its own primary table; all are refreshed whenever the variables collection or the scenario assignments change.</w:t>
      </w:r>
    </w:p>
    <w:p w14:paraId="36BCFB95" w14:textId="77777777" w:rsidR="008E1B31" w:rsidRDefault="005C5514">
      <w:pPr>
        <w:pStyle w:val="Heading2"/>
      </w:pPr>
      <w:r>
        <w:t>4.5 Axiom 4: Persistent asset graph and scenario state</w:t>
      </w:r>
    </w:p>
    <w:p w14:paraId="1795EED5" w14:textId="253DFBF3" w:rsidR="00BD3161" w:rsidRDefault="00BD3161">
      <w:pPr>
        <w:spacing w:after="160" w:line="319" w:lineRule="auto"/>
        <w:jc w:val="both"/>
        <w:rPr>
          <w:kern w:val="2"/>
          <w14:ligatures w14:val="standardContextual"/>
        </w:rPr>
      </w:pPr>
      <w:r>
        <w:t xml:space="preserve">The fifth commitment is to </w:t>
      </w:r>
      <w:r w:rsidR="00C357B2">
        <w:t>“</w:t>
      </w:r>
      <w:r w:rsidRPr="00C357B2">
        <w:rPr>
          <w:b/>
          <w:bCs/>
        </w:rPr>
        <w:t>separate the model into two layers</w:t>
      </w:r>
      <w:r w:rsidR="00C357B2">
        <w:rPr>
          <w:b/>
          <w:bCs/>
        </w:rPr>
        <w:t>”</w:t>
      </w:r>
      <w:r>
        <w:t xml:space="preserve">. The first is the persistent asset graph: the fixed superset topology containing every node and every feasible edge. The second is the scenario state, which is derived at load time from that asset graph together with the per-scenario </w:t>
      </w:r>
      <w:r>
        <w:rPr>
          <w:rFonts w:ascii="Consolas" w:hAnsi="Consolas"/>
        </w:rPr>
        <w:t>variableassignments</w:t>
      </w:r>
      <w:r>
        <w:t xml:space="preserve"> rows that specify whether each variable is bound to a time series or to a formula.</w:t>
      </w:r>
    </w:p>
    <w:p w14:paraId="5D602686" w14:textId="77777777" w:rsidR="00BD3161" w:rsidRDefault="00BD3161">
      <w:pPr>
        <w:spacing w:after="160" w:line="319" w:lineRule="auto"/>
        <w:jc w:val="both"/>
        <w:rPr>
          <w:kern w:val="2"/>
          <w14:ligatures w14:val="standardContextual"/>
        </w:rPr>
      </w:pPr>
      <w:r>
        <w:t>The alternative is a single-layer model in which changes in data resolution immediately rewrite the graph itself. That was also the direction taken in earlier implementation passes, and it proved difficult to sustain. Every improvement in data granularity forced structural edits, those edits in turn affected downstream consumers, and tracing the lineage of derived quantities across versions became unnecessarily hard. Separating the persistent graph from scenario state avoids that problem by placing the volatility where it belongs: in the assignments rather than in the topology.</w:t>
      </w:r>
    </w:p>
    <w:p w14:paraId="6666BA71" w14:textId="5EEA374A" w:rsidR="00BD3161" w:rsidRDefault="00BD3161">
      <w:pPr>
        <w:spacing w:after="160" w:line="319" w:lineRule="auto"/>
        <w:jc w:val="both"/>
        <w:rPr>
          <w:kern w:val="2"/>
          <w14:ligatures w14:val="standardContextual"/>
        </w:rPr>
      </w:pPr>
      <w:r>
        <w:t xml:space="preserve">In the two-layer model, data improvements mainly change the </w:t>
      </w:r>
      <w:r>
        <w:rPr>
          <w:rFonts w:ascii="Consolas" w:hAnsi="Consolas"/>
        </w:rPr>
        <w:t>variableassignments</w:t>
      </w:r>
      <w:r>
        <w:t xml:space="preserve"> table. The persistent asset graph stays in place (including the variables that dictate the relationships between the nodes) while variables are re-pointed from coarser to finer time series as better data becomes available. If the existing node set is no longer sufficient, the graph can still be extended, but that happens through an explicit migration recorded as a structural event. This keeps the distinction clear: the asset graph evolves slowly and deliberately, while the scenario state evolves with the data.</w:t>
      </w:r>
    </w:p>
    <w:p w14:paraId="36BCFB99" w14:textId="77777777" w:rsidR="008E1B31" w:rsidRDefault="005C5514">
      <w:pPr>
        <w:spacing w:after="160" w:line="320" w:lineRule="auto"/>
        <w:jc w:val="both"/>
      </w:pPr>
      <w:r>
        <w:t xml:space="preserve">The status of each node under a given scenario is itself derived from the assignment rows attached to that node. A view </w:t>
      </w:r>
      <w:r>
        <w:rPr>
          <w:rFonts w:ascii="Consolas" w:eastAsia="Consolas" w:hAnsi="Consolas" w:cs="Consolas"/>
        </w:rPr>
        <w:t>v_node_status</w:t>
      </w:r>
      <w:r>
        <w:t xml:space="preserve"> classifies each node as </w:t>
      </w:r>
      <w:r>
        <w:rPr>
          <w:b/>
          <w:bCs/>
        </w:rPr>
        <w:t>authoritative</w:t>
      </w:r>
      <w:r>
        <w:t xml:space="preserve"> if at least one of its variables is time-series-bound, </w:t>
      </w:r>
      <w:r>
        <w:rPr>
          <w:b/>
          <w:bCs/>
        </w:rPr>
        <w:t>derived</w:t>
      </w:r>
      <w:r>
        <w:t xml:space="preserve"> if no variable is time-series-bound but at least one resolves through a non-trivial formula, and </w:t>
      </w:r>
      <w:r>
        <w:rPr>
          <w:b/>
          <w:bCs/>
        </w:rPr>
        <w:t>collapsed</w:t>
      </w:r>
      <w:r>
        <w:t xml:space="preserve"> if every variable on the node is either structurally zero or latent. The three-way classification is computed, not declared; if the variable definitions are consistent, the classification is consistent.</w:t>
      </w:r>
    </w:p>
    <w:p w14:paraId="36BCFB9A" w14:textId="2BCEBEEE" w:rsidR="008E1B31" w:rsidRPr="00ED1644" w:rsidRDefault="005C5514">
      <w:pPr>
        <w:spacing w:after="160" w:line="320" w:lineRule="auto"/>
        <w:jc w:val="both"/>
        <w:rPr>
          <w:i/>
          <w:iCs/>
          <w:sz w:val="20"/>
          <w:szCs w:val="20"/>
        </w:rPr>
      </w:pPr>
      <w:r w:rsidRPr="00ED1644">
        <w:rPr>
          <w:b/>
          <w:bCs/>
          <w:i/>
          <w:iCs/>
          <w:sz w:val="20"/>
          <w:szCs w:val="20"/>
        </w:rPr>
        <w:t>Example.</w:t>
      </w:r>
      <w:r w:rsidR="00ED1644" w:rsidRPr="00ED1644">
        <w:rPr>
          <w:i/>
          <w:iCs/>
          <w:sz w:val="20"/>
          <w:szCs w:val="20"/>
        </w:rPr>
        <w:t xml:space="preserve"> </w:t>
      </w:r>
      <w:r w:rsidRPr="00ED1644">
        <w:rPr>
          <w:i/>
          <w:iCs/>
          <w:sz w:val="20"/>
          <w:szCs w:val="20"/>
        </w:rPr>
        <w:t>When per-refinery operating stocks become available for the first time, the framework does not require an asset graph revision. The relevant refinery nodes already exist; what changes is that their inventory variables are re-pointed from PADD-level aggregate time series to facility-level time series in variable_assignments. The refineries' status under the scenario flips from inactive to authoritative automatically through v_node_status. No code outside the assignment table changes.</w:t>
      </w:r>
    </w:p>
    <w:p w14:paraId="36BCFB9B" w14:textId="77777777" w:rsidR="008E1B31" w:rsidRDefault="005C5514">
      <w:pPr>
        <w:pStyle w:val="Heading2"/>
      </w:pPr>
      <w:r>
        <w:t>4.6 Corollary B: Physical layer and observational aggregation layer</w:t>
      </w:r>
    </w:p>
    <w:p w14:paraId="75F69BC3" w14:textId="0B5A6196" w:rsidR="00BD3161" w:rsidRDefault="00BD3161">
      <w:pPr>
        <w:spacing w:after="160" w:line="319" w:lineRule="auto"/>
        <w:jc w:val="both"/>
        <w:rPr>
          <w:kern w:val="2"/>
          <w14:ligatures w14:val="standardContextual"/>
        </w:rPr>
      </w:pPr>
      <w:r>
        <w:t>The physical layer consists of real named assets such as fields, pipelines, vessels, terminals, and refineries</w:t>
      </w:r>
      <w:r w:rsidR="00514FC7">
        <w:t xml:space="preserve"> and their physical connections</w:t>
      </w:r>
      <w:r>
        <w:t xml:space="preserve">. The observational layer consists of reporting </w:t>
      </w:r>
      <w:r>
        <w:lastRenderedPageBreak/>
        <w:t>aggregates such as PADDs, refining districts, basin roll-ups, and national totals. These aggregates do not carry physical flow edges of their own; they are materialised through same-type aggregation formulas over the physical layer.</w:t>
      </w:r>
    </w:p>
    <w:p w14:paraId="5EAA38EA" w14:textId="7A3592F8" w:rsidR="00BD3161" w:rsidRDefault="00BD3161">
      <w:pPr>
        <w:spacing w:after="160" w:line="319" w:lineRule="auto"/>
        <w:jc w:val="both"/>
        <w:rPr>
          <w:kern w:val="2"/>
          <w14:ligatures w14:val="standardContextual"/>
        </w:rPr>
      </w:pPr>
      <w:r>
        <w:t xml:space="preserve">The alternative would be to place administrative and physical entities in a single undifferentiated layer, so that something like PADD 2 would sit beside Cushing or the Bakken as though all three were the same kind of object. </w:t>
      </w:r>
      <w:r w:rsidR="00514FC7">
        <w:t xml:space="preserve">But </w:t>
      </w:r>
      <w:r>
        <w:t xml:space="preserve">PADD 2 has no operator, no equipment, and no physical custody-transfer mechanics. It is a reporting boundary. Treating it as a physical node invites exactly the ambiguity the framework is trying to avoid: is a flow between PADDs a </w:t>
      </w:r>
      <w:r w:rsidR="00514FC7">
        <w:t>thing, or</w:t>
      </w:r>
      <w:r>
        <w:t xml:space="preserve"> is it an aggregation over underlying pipelines? In this framework, the answer is explicit. PADD-level flows are derived from the physical or aggregate nodes that carry them; PADD-level production and consumption are likewise derived from the relevant assets beneath them.</w:t>
      </w:r>
    </w:p>
    <w:p w14:paraId="36BCFB9E" w14:textId="77777777" w:rsidR="008E1B31" w:rsidRDefault="005C5514">
      <w:pPr>
        <w:spacing w:after="160" w:line="320" w:lineRule="auto"/>
        <w:jc w:val="both"/>
      </w:pPr>
      <w:r>
        <w:t>A subtler benefit of the separation is that observational aggregates can be added, modified, or removed without affecting the physical layer. EIA refining-district roll-ups (PADD 3A, 3B, 3C, …) exist because EIA publishes district-level series; they are aggregation views over refineries, not co-owned operating entities. If EIA changed its reporting structure tomorrow, the framework would add or retire aggregation nodes accordingly, without touching a single physical asset.</w:t>
      </w:r>
    </w:p>
    <w:p w14:paraId="36BCFB9F" w14:textId="77777777" w:rsidR="008E1B31" w:rsidRPr="00645A6F" w:rsidRDefault="005C5514">
      <w:pPr>
        <w:spacing w:after="160" w:line="320" w:lineRule="auto"/>
        <w:jc w:val="both"/>
        <w:rPr>
          <w:i/>
          <w:iCs/>
          <w:sz w:val="20"/>
          <w:szCs w:val="20"/>
        </w:rPr>
      </w:pPr>
      <w:r w:rsidRPr="00645A6F">
        <w:rPr>
          <w:b/>
          <w:bCs/>
          <w:i/>
          <w:iCs/>
          <w:sz w:val="20"/>
          <w:szCs w:val="20"/>
        </w:rPr>
        <w:t>Example.</w:t>
      </w:r>
      <w:r w:rsidRPr="00645A6F">
        <w:rPr>
          <w:i/>
          <w:iCs/>
          <w:sz w:val="20"/>
          <w:szCs w:val="20"/>
        </w:rPr>
        <w:t xml:space="preserve"> The node </w:t>
      </w:r>
      <w:r w:rsidRPr="00645A6F">
        <w:rPr>
          <w:rFonts w:eastAsia="Consolas"/>
          <w:i/>
          <w:iCs/>
          <w:sz w:val="20"/>
          <w:szCs w:val="20"/>
        </w:rPr>
        <w:t>padd2_view</w:t>
      </w:r>
      <w:r w:rsidRPr="00645A6F">
        <w:rPr>
          <w:i/>
          <w:iCs/>
          <w:sz w:val="20"/>
          <w:szCs w:val="20"/>
        </w:rPr>
        <w:t xml:space="preserve"> aggregates the Bakken-ND basin, Oklahoma, the padd2_other residual, the </w:t>
      </w:r>
      <w:r w:rsidRPr="00645A6F">
        <w:rPr>
          <w:rFonts w:eastAsia="Consolas"/>
          <w:i/>
          <w:iCs/>
          <w:sz w:val="20"/>
          <w:szCs w:val="20"/>
        </w:rPr>
        <w:t>padd2_canadian_imports_agg</w:t>
      </w:r>
      <w:r w:rsidRPr="00645A6F">
        <w:rPr>
          <w:i/>
          <w:iCs/>
          <w:sz w:val="20"/>
          <w:szCs w:val="20"/>
        </w:rPr>
        <w:t xml:space="preserve"> import aggregate, the inter-PADD corridor aggregates with PADD-2 endpoints, and twelve named refineries. It has no flow edges of its own. Its outflow to PADD 3 is alias-derived from the time-series-bound outflow on the </w:t>
      </w:r>
      <w:r w:rsidRPr="00645A6F">
        <w:rPr>
          <w:rFonts w:eastAsia="Consolas"/>
          <w:i/>
          <w:iCs/>
          <w:sz w:val="20"/>
          <w:szCs w:val="20"/>
        </w:rPr>
        <w:t>inter_padd_2_to_3_agg</w:t>
      </w:r>
      <w:r w:rsidRPr="00645A6F">
        <w:rPr>
          <w:i/>
          <w:iCs/>
          <w:sz w:val="20"/>
          <w:szCs w:val="20"/>
        </w:rPr>
        <w:t xml:space="preserve"> node, which is itself a physical aggregate over the named inter-PADD pipelines (Capline, Diamond, ExxonMobil Pegasus, and others).</w:t>
      </w:r>
    </w:p>
    <w:p w14:paraId="36BCFBA0" w14:textId="77777777" w:rsidR="008E1B31" w:rsidRDefault="005C5514">
      <w:pPr>
        <w:pStyle w:val="Heading2"/>
      </w:pPr>
      <w:r>
        <w:t>4.7 Corollary C: Geography metadata distinct from resolution hierarchy</w:t>
      </w:r>
    </w:p>
    <w:p w14:paraId="2FBEB962" w14:textId="77777777" w:rsidR="00BD3161" w:rsidRDefault="00BD3161">
      <w:pPr>
        <w:spacing w:after="160" w:line="319" w:lineRule="auto"/>
        <w:jc w:val="both"/>
        <w:rPr>
          <w:kern w:val="2"/>
          <w14:ligatures w14:val="standardContextual"/>
        </w:rPr>
      </w:pPr>
      <w:r>
        <w:t>The next commitment is to distinguish geography metadata from the resolution hierarchy. Geography metadata describes where a node is located—latitude, longitude, county, state, PADD, country. The resolution hierarchy, by contrast, is a structural relation between nodes that represent the same physical system at different levels of granularity. The Permian basin, the Texas portion of the Permian, Midland County, and an individual lease form a hierarchy. Two refineries that happen to share the label PADD 3 do not.</w:t>
      </w:r>
    </w:p>
    <w:p w14:paraId="7557310C" w14:textId="77777777" w:rsidR="003B501C" w:rsidRDefault="00BD3161">
      <w:pPr>
        <w:spacing w:after="160" w:line="320" w:lineRule="auto"/>
        <w:jc w:val="both"/>
      </w:pPr>
      <w:r>
        <w:t>The distinction matters because labels by themselves cannot prevent double counting. If observed data is assigned at more than one level of the same hierarchy for the same variable, the same physical quantity is effectively counted twice. Geography metadata is useful for filtering, grouping, and administrative rollups. It is not a substitute for structural hierarchy. Conflating the two—treating a shared geography label as if it implied a parent-child relation in the data—is precisely the kind of mistake this principle is intended to prevent.</w:t>
      </w:r>
    </w:p>
    <w:p w14:paraId="36BCFBA3" w14:textId="0B026130" w:rsidR="008E1B31" w:rsidRPr="003B501C" w:rsidRDefault="00BD3161">
      <w:pPr>
        <w:spacing w:after="160" w:line="320" w:lineRule="auto"/>
        <w:jc w:val="both"/>
        <w:rPr>
          <w:i/>
          <w:iCs/>
          <w:sz w:val="20"/>
          <w:szCs w:val="20"/>
        </w:rPr>
      </w:pPr>
      <w:r w:rsidRPr="003B501C">
        <w:rPr>
          <w:b/>
          <w:bCs/>
          <w:i/>
          <w:iCs/>
          <w:sz w:val="20"/>
          <w:szCs w:val="20"/>
        </w:rPr>
        <w:lastRenderedPageBreak/>
        <w:t>Example.</w:t>
      </w:r>
      <w:r w:rsidRPr="003B501C">
        <w:rPr>
          <w:i/>
          <w:iCs/>
          <w:sz w:val="20"/>
          <w:szCs w:val="20"/>
        </w:rPr>
        <w:t xml:space="preserve"> Two named refineries can share </w:t>
      </w:r>
      <w:r w:rsidRPr="003B501C">
        <w:rPr>
          <w:rFonts w:eastAsia="Consolas"/>
          <w:i/>
          <w:iCs/>
          <w:sz w:val="20"/>
          <w:szCs w:val="20"/>
        </w:rPr>
        <w:t>padd = 'PADD3'</w:t>
      </w:r>
      <w:r w:rsidRPr="003B501C">
        <w:rPr>
          <w:i/>
          <w:iCs/>
          <w:sz w:val="20"/>
          <w:szCs w:val="20"/>
        </w:rPr>
        <w:t xml:space="preserve"> in the geography metadata without being part of the same physical asset (and they typically are not — Motiva Port Arthur and ExxonMobil Beaumont are independent operating entities that happen to share the PADD label). Conversely, two nodes can sit at </w:t>
      </w:r>
      <w:r w:rsidRPr="003B501C">
        <w:rPr>
          <w:rFonts w:eastAsia="Consolas"/>
          <w:i/>
          <w:iCs/>
          <w:sz w:val="20"/>
          <w:szCs w:val="20"/>
        </w:rPr>
        <w:t>resolution_hierarchy.parent = 'permian'</w:t>
      </w:r>
      <w:r w:rsidRPr="003B501C">
        <w:rPr>
          <w:i/>
          <w:iCs/>
          <w:sz w:val="20"/>
          <w:szCs w:val="20"/>
        </w:rPr>
        <w:t xml:space="preserve"> (the basin) without being co-located in geography (Permian-TX is in Texas, Permian-NM is in New Mexico). The two metadata systems are independent.</w:t>
      </w:r>
    </w:p>
    <w:p w14:paraId="0033BDF9" w14:textId="2CB21817" w:rsidR="006E3777" w:rsidRDefault="006E3777">
      <w:pPr>
        <w:spacing w:after="160" w:line="319" w:lineRule="auto"/>
        <w:jc w:val="both"/>
        <w:rPr>
          <w:kern w:val="2"/>
          <w14:ligatures w14:val="standardContextual"/>
        </w:rPr>
      </w:pPr>
      <w:r>
        <w:t xml:space="preserve">The same physical assets can be aggregated along axes other than geography. Imagine a data source that reports Shell's U.S. crude production: it aggregates over the named physical production assets in which Shell holds an operating interest, regardless of which PADD or state they sit in. The framework absorbs this as a second observational aggregation layer over the same physical nodes, declared through </w:t>
      </w:r>
      <w:r w:rsidR="00DD2220">
        <w:t>formula inputs</w:t>
      </w:r>
      <w:r>
        <w:t xml:space="preserve"> that pick the Shell-operated constituents. Per-grade aggregation works the same way: a WTI-graded view over the producing basins, a sweet/sour split over the refineries. Multiple aggregation axes coexist </w:t>
      </w:r>
      <w:r w:rsidR="006B5BB0">
        <w:t>if</w:t>
      </w:r>
      <w:r>
        <w:t xml:space="preserve"> each axis is internally consistent (no double-counting within one axis); they share the physical layer they reference. The resolution hierarchy of Corollary C is not the only hierarchy — it is the geography-spine version of a general pattern.</w:t>
      </w:r>
    </w:p>
    <w:p w14:paraId="5C0BADC1" w14:textId="253FA4A2" w:rsidR="006E3777" w:rsidRDefault="006E3777">
      <w:pPr>
        <w:spacing w:after="160" w:line="319" w:lineRule="auto"/>
        <w:jc w:val="both"/>
        <w:rPr>
          <w:kern w:val="2"/>
          <w14:ligatures w14:val="standardContextual"/>
        </w:rPr>
      </w:pPr>
      <w:r>
        <w:t xml:space="preserve">It is worth marking explicitly what the resolution hierarchy is and is not. It is an aggregation relationship — parent variables defined as sums of child variables under </w:t>
      </w:r>
      <w:r w:rsidR="006B5BB0">
        <w:t>formula inputs</w:t>
      </w:r>
      <w:r>
        <w:t xml:space="preserve"> — not a routing relationship. The flow path along which crude </w:t>
      </w:r>
      <w:r w:rsidR="006B5BB0">
        <w:t>moves</w:t>
      </w:r>
      <w:r>
        <w:t xml:space="preserve"> (basin → gathering → pipeline → terminal → refinery) is a separate structure carried by the directed flow edges (`v_flow_edges`). The two often share endpoints but they are different graphs over the same node set: the resolution hierarchy is a directed acyclic graph of aggregation; the flow path is a directed multigraph of physical movement. Conflating the two is a common source of confusion when reasoning about which variable's value comes from where.</w:t>
      </w:r>
    </w:p>
    <w:p w14:paraId="36BCFBA4" w14:textId="77777777" w:rsidR="008E1B31" w:rsidRDefault="005C5514">
      <w:pPr>
        <w:pStyle w:val="Heading2"/>
      </w:pPr>
      <w:r>
        <w:t>4.8 Axiom 5: The observed/derived invariant</w:t>
      </w:r>
    </w:p>
    <w:p w14:paraId="311FFB4E" w14:textId="394C5AC5" w:rsidR="00BD3161" w:rsidRDefault="00342D70">
      <w:pPr>
        <w:spacing w:after="160" w:line="319" w:lineRule="auto"/>
        <w:jc w:val="both"/>
        <w:rPr>
          <w:kern w:val="2"/>
          <w14:ligatures w14:val="standardContextual"/>
        </w:rPr>
      </w:pPr>
      <w:r>
        <w:rPr>
          <w:b/>
          <w:bCs/>
        </w:rPr>
        <w:t>“</w:t>
      </w:r>
      <w:r w:rsidR="00937B6B">
        <w:rPr>
          <w:b/>
          <w:bCs/>
        </w:rPr>
        <w:t xml:space="preserve">A variable </w:t>
      </w:r>
      <w:r w:rsidR="005C0D72">
        <w:rPr>
          <w:b/>
          <w:bCs/>
        </w:rPr>
        <w:t xml:space="preserve">can only be </w:t>
      </w:r>
      <w:r w:rsidR="00BD3161" w:rsidRPr="00342D70">
        <w:rPr>
          <w:b/>
          <w:bCs/>
        </w:rPr>
        <w:t>observed</w:t>
      </w:r>
      <w:r w:rsidR="00937B6B">
        <w:rPr>
          <w:b/>
          <w:bCs/>
        </w:rPr>
        <w:t xml:space="preserve"> or </w:t>
      </w:r>
      <w:r w:rsidR="00BD3161" w:rsidRPr="00342D70">
        <w:rPr>
          <w:b/>
          <w:bCs/>
        </w:rPr>
        <w:t>derived</w:t>
      </w:r>
      <w:r w:rsidR="00AB0C04">
        <w:rPr>
          <w:b/>
          <w:bCs/>
        </w:rPr>
        <w:t>.”</w:t>
      </w:r>
      <w:r w:rsidR="00BD3161" w:rsidRPr="00342D70">
        <w:rPr>
          <w:b/>
          <w:bCs/>
        </w:rPr>
        <w:t xml:space="preserve"> </w:t>
      </w:r>
      <w:r w:rsidR="00AB0C04" w:rsidRPr="00AB0C04">
        <w:t>This is the</w:t>
      </w:r>
      <w:r w:rsidR="00BD3161" w:rsidRPr="00AB0C04">
        <w:t xml:space="preserve"> single most important consistency guarantee in the framework. For each com</w:t>
      </w:r>
      <w:r w:rsidR="00BD3161">
        <w:t xml:space="preserve">bination of node, variable type, commodity, and timestamp, exactly one of two states holds: the variable is </w:t>
      </w:r>
      <w:r w:rsidR="00BD3161">
        <w:rPr>
          <w:b/>
          <w:bCs/>
        </w:rPr>
        <w:t>observed</w:t>
      </w:r>
      <w:r w:rsidR="00BD3161">
        <w:t xml:space="preserve">, meaning it is bound to a time series and that value is authoritative at the relevant resolution; or it is </w:t>
      </w:r>
      <w:r w:rsidR="00BD3161">
        <w:rPr>
          <w:b/>
          <w:bCs/>
        </w:rPr>
        <w:t>derived</w:t>
      </w:r>
      <w:r w:rsidR="00BD3161">
        <w:t>, meaning it is computed from a formula over other variables. It cannot be both, and it cannot be neither.</w:t>
      </w:r>
    </w:p>
    <w:p w14:paraId="417A467C" w14:textId="0E6AF469" w:rsidR="00BD3161" w:rsidRDefault="00BD3161">
      <w:pPr>
        <w:spacing w:after="160" w:line="319" w:lineRule="auto"/>
        <w:jc w:val="both"/>
        <w:rPr>
          <w:kern w:val="2"/>
          <w14:ligatures w14:val="standardContextual"/>
        </w:rPr>
      </w:pPr>
      <w:r>
        <w:t>The alternative is to allow any combination of bindings and then try to detect double counting afterward through validation checks. That approach has the usual weaknesses of post-hoc control. It discovers the inconsistency only after data has already propagated downstream, it requires a potentially expensive scan across the assignment set, and it produces warnings rather than structural impossibility. In practice, warnings are easy to ignore. Schema-level enforcement is stronger because it makes the inconsistent state unrepresentable. The relevant constraint</w:t>
      </w:r>
      <w:r w:rsidR="00FF5F01">
        <w:t xml:space="preserve"> (simple function native on relational databases)</w:t>
      </w:r>
      <w:r>
        <w:t xml:space="preserve"> is:</w:t>
      </w:r>
    </w:p>
    <w:p w14:paraId="36BCFBA7" w14:textId="62B8A0BC" w:rsidR="008E1B31" w:rsidRDefault="005C5514">
      <w:pPr>
        <w:shd w:val="clear" w:color="auto" w:fill="F4F4F4"/>
      </w:pPr>
      <w:r>
        <w:rPr>
          <w:rFonts w:ascii="Consolas" w:eastAsia="Consolas" w:hAnsi="Consolas" w:cs="Consolas"/>
          <w:sz w:val="20"/>
          <w:szCs w:val="20"/>
        </w:rPr>
        <w:t xml:space="preserve">CHECK (num_nonnulls(timeseries_id, formula) = 1) </w:t>
      </w:r>
    </w:p>
    <w:p w14:paraId="36BCFBA8" w14:textId="77777777" w:rsidR="008E1B31" w:rsidRDefault="005C5514">
      <w:pPr>
        <w:spacing w:after="120"/>
      </w:pPr>
      <w:r>
        <w:rPr>
          <w:sz w:val="12"/>
          <w:szCs w:val="12"/>
        </w:rPr>
        <w:t xml:space="preserve"> </w:t>
      </w:r>
    </w:p>
    <w:p w14:paraId="36BCFBA9" w14:textId="320240BC" w:rsidR="008E1B31" w:rsidRDefault="004322D9">
      <w:pPr>
        <w:spacing w:after="160" w:line="320" w:lineRule="auto"/>
        <w:jc w:val="both"/>
      </w:pPr>
      <w:r>
        <w:lastRenderedPageBreak/>
        <w:t xml:space="preserve">Data will not be able to be inserted in the database if it violates this rule. </w:t>
      </w:r>
      <w:r w:rsidR="005C5514">
        <w:t>Any attempt to write an assignment row that is both time-series-bound and formula-bound, or neither, is rejected by the database before the data can propagate anywhere.</w:t>
      </w:r>
    </w:p>
    <w:p w14:paraId="36BCFBAA" w14:textId="77777777" w:rsidR="008E1B31" w:rsidRDefault="005C5514">
      <w:pPr>
        <w:spacing w:after="160" w:line="320" w:lineRule="auto"/>
        <w:jc w:val="both"/>
      </w:pPr>
      <w:r>
        <w:t>A complementary audit at the time-series attribution level enforces single-attribution on the other side: each EIA time series is bound to exactly one variable under a given scenario. Together, the two invariants give the framework its central consistency property: every value in the resolved table is traceable to exactly one source, and no source contributes to more than one variable.</w:t>
      </w:r>
    </w:p>
    <w:p w14:paraId="4715BD13" w14:textId="2387AD55" w:rsidR="008E1B31" w:rsidRDefault="005C5514">
      <w:pPr>
        <w:spacing w:after="160" w:line="320" w:lineRule="auto"/>
        <w:jc w:val="both"/>
      </w:pPr>
      <w:r>
        <w:t xml:space="preserve">What the CHECK constraint does not forbid is declaring an aggregation relationship on the same variable. The schema carries a separate </w:t>
      </w:r>
      <w:r w:rsidR="00953E62">
        <w:t>formula inputs</w:t>
      </w:r>
      <w:r>
        <w:t xml:space="preserve"> column listing the constituents whose roll-up the variable's value can be compared against. When the variable is observed (TS-bound), </w:t>
      </w:r>
      <w:r w:rsidR="00953E62">
        <w:t>formula inputs</w:t>
      </w:r>
      <w:r>
        <w:t xml:space="preserve"> is a constraint set: the view v_aggregation_consistency computes |TS value − Σ constituents| at every (variable, date) and flags the row as ok or </w:t>
      </w:r>
      <w:r w:rsidR="00953E62">
        <w:t>partial coverage</w:t>
      </w:r>
      <w:r>
        <w:t xml:space="preserve">. When the variable is derived (formula-bound), the same column is the operand set that the formula resolves over. The CHECK constraint guarantees one source of value; </w:t>
      </w:r>
      <w:r w:rsidR="00953E62">
        <w:t>formula inputs</w:t>
      </w:r>
      <w:r>
        <w:t xml:space="preserve"> declares a cross-check relationship that is independent of that source. PADD-level production is the canonical case: each padd_view.production is bound to its EIA MCRFP series </w:t>
      </w:r>
      <w:r w:rsidR="00953E62">
        <w:t>and</w:t>
      </w:r>
      <w:r>
        <w:t xml:space="preserve"> lists the contributing basins and state-conventional variables in formula_inputs. </w:t>
      </w:r>
      <w:r>
        <w:rPr>
          <w:b/>
          <w:bCs/>
        </w:rPr>
        <w:t>The time series gives the value; the constituents drive the cross-check; the two typically agree to within rounding tolerance.</w:t>
      </w:r>
    </w:p>
    <w:p w14:paraId="280362B6" w14:textId="0E818A38" w:rsidR="006E3777" w:rsidRPr="00445BB2" w:rsidRDefault="00445BB2">
      <w:pPr>
        <w:spacing w:after="160" w:line="319" w:lineRule="auto"/>
        <w:jc w:val="both"/>
        <w:rPr>
          <w:i/>
          <w:iCs/>
          <w:kern w:val="2"/>
          <w:sz w:val="20"/>
          <w:szCs w:val="20"/>
          <w14:ligatures w14:val="standardContextual"/>
        </w:rPr>
      </w:pPr>
      <w:r w:rsidRPr="00445BB2">
        <w:rPr>
          <w:b/>
          <w:bCs/>
          <w:i/>
          <w:iCs/>
          <w:sz w:val="20"/>
          <w:szCs w:val="20"/>
        </w:rPr>
        <w:t>Example</w:t>
      </w:r>
      <w:r w:rsidR="006E3777" w:rsidRPr="00445BB2">
        <w:rPr>
          <w:b/>
          <w:bCs/>
          <w:i/>
          <w:iCs/>
          <w:sz w:val="20"/>
          <w:szCs w:val="20"/>
        </w:rPr>
        <w:t xml:space="preserve">. </w:t>
      </w:r>
      <w:r w:rsidR="006E3777" w:rsidRPr="00445BB2">
        <w:rPr>
          <w:i/>
          <w:iCs/>
          <w:sz w:val="20"/>
          <w:szCs w:val="20"/>
        </w:rPr>
        <w:t>EIA publishes the Eagle Ford basin through two related series: MCRFPTX2 (the Texas state total, which aggregates production from Eagle Ford, the Texas portion of the Permian, and other Texas conventional wells) and STEO's COPREF (an Eagle-Ford-specific forecast at basin level). The framework binds the data at the level where it is published. The physical node eagle_ford_tx (single-state sub-basin) is TS-bound to COPREF and carries the basin's value directly. The abstract basin aggregate eagle_ford is formula-bound: formula = 'sum', formula_inputs = [eagle_ford_tx.production]; because the basin sits entirely within Texas, the sum collapses to a single constituent and the abstract aggregate inherits the physical value. The state-level abstract texas_state_view is itself TS-bound to MCRFPTX2 and lists eagle_ford_tx, permian_tx, and the Texas residual node in its own formula_inputs. The CHECK constraint is satisfied on every assignment row, and the v_aggregation_consistency view reports the cross-check |MCRFPTX2 − Σ children| at the Texas level and |eagle_ford − eagle_ford_tx| at the basin level. Both close to within rounding tolerance at every observation date.</w:t>
      </w:r>
    </w:p>
    <w:p w14:paraId="24EEADAC" w14:textId="146DADB9" w:rsidR="006E3777" w:rsidRDefault="00C72685">
      <w:pPr>
        <w:spacing w:after="160" w:line="319" w:lineRule="auto"/>
        <w:jc w:val="center"/>
        <w:rPr>
          <w:kern w:val="2"/>
          <w14:ligatures w14:val="standardContextual"/>
        </w:rPr>
      </w:pPr>
      <w:r>
        <w:rPr>
          <w:noProof/>
          <w:kern w:val="2"/>
        </w:rPr>
        <w:lastRenderedPageBreak/>
        <w:drawing>
          <wp:inline distT="0" distB="0" distL="0" distR="0" wp14:anchorId="2FD94526" wp14:editId="4EAE4469">
            <wp:extent cx="5727065" cy="3918585"/>
            <wp:effectExtent l="0" t="0" r="6985" b="0"/>
            <wp:docPr id="156959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065" cy="3918585"/>
                    </a:xfrm>
                    <a:prstGeom prst="rect">
                      <a:avLst/>
                    </a:prstGeom>
                    <a:noFill/>
                    <a:ln>
                      <a:noFill/>
                    </a:ln>
                  </pic:spPr>
                </pic:pic>
              </a:graphicData>
            </a:graphic>
          </wp:inline>
        </w:drawing>
      </w:r>
    </w:p>
    <w:p w14:paraId="738952E2" w14:textId="77777777" w:rsidR="006E3777" w:rsidRDefault="006E3777">
      <w:pPr>
        <w:spacing w:after="160" w:line="319" w:lineRule="auto"/>
        <w:jc w:val="center"/>
        <w:rPr>
          <w:kern w:val="2"/>
          <w14:ligatures w14:val="standardContextual"/>
        </w:rPr>
      </w:pPr>
      <w:r>
        <w:rPr>
          <w:i/>
          <w:sz w:val="18"/>
        </w:rPr>
        <w:t>Figure 3 — Eagle Ford crude production. Left: EIA publishes the basin both through the Texas state series MCRFPTX2 and through the STEO basin-level COPREF. Right: the framework TS-binds the physical node eagle_ford_tx to COPREF; the abstract basin aggregate eagle_ford is formula-derived as a sum over its single physical constituent; the abstract state aggregate texas_state_view is TS-bound to MCRFPTX2 and references eagle_ford_tx, permian_tx, and the Texas residual node in its formula_inputs. The v_aggregation_consistency view cross-checks both reconciliations.</w:t>
      </w:r>
    </w:p>
    <w:p w14:paraId="763D992A" w14:textId="65E1DD57" w:rsidR="006E3777" w:rsidRDefault="006E3777">
      <w:pPr>
        <w:spacing w:after="160" w:line="319" w:lineRule="auto"/>
        <w:jc w:val="both"/>
        <w:rPr>
          <w:kern w:val="2"/>
          <w14:ligatures w14:val="standardContextual"/>
        </w:rPr>
      </w:pPr>
      <w:r>
        <w:t xml:space="preserve">A note on what 'one assignment per variable' </w:t>
      </w:r>
      <w:r w:rsidR="00000360">
        <w:t>means</w:t>
      </w:r>
      <w:r>
        <w:t xml:space="preserve">. A node typically carries several variables at once: a production variable, a consumption variable, inflow and outflow variables (one per neighbouring node), an inventory variable, and a balancing item. The CHECK constraint num_nonnulls(timeseries_id, formula) = 1 applies to each (variable, scenario) row individually, not to the </w:t>
      </w:r>
      <w:r w:rsidR="00420B59">
        <w:t>node</w:t>
      </w:r>
      <w:r>
        <w:t xml:space="preserve">. A single refinery node therefore has as many independent (time series or formula) decisions as it has variables — and </w:t>
      </w:r>
      <w:r w:rsidR="00420B59">
        <w:t>in each</w:t>
      </w:r>
      <w:r>
        <w:t xml:space="preserve"> scenario, each of those decisions is recorded in its own </w:t>
      </w:r>
      <w:r w:rsidR="00420B59">
        <w:t>variable assignments</w:t>
      </w:r>
      <w:r>
        <w:t xml:space="preserve"> row. The framework treats this as the natural mode of operation: a node is a collection of variables tied to a common physical asset, and each variable carries its own data attribution independently of the others.</w:t>
      </w:r>
    </w:p>
    <w:p w14:paraId="36BCFBAB" w14:textId="77777777" w:rsidR="008E1B31" w:rsidRDefault="005C5514">
      <w:pPr>
        <w:spacing w:after="160" w:line="320" w:lineRule="auto"/>
        <w:jc w:val="both"/>
      </w:pPr>
      <w:r>
        <w:t xml:space="preserve">The framework does allow auxiliary observed series on the same node — for example, EIA publishes both </w:t>
      </w:r>
      <w:r>
        <w:rPr>
          <w:rFonts w:ascii="Consolas" w:eastAsia="Consolas" w:hAnsi="Consolas" w:cs="Consolas"/>
        </w:rPr>
        <w:t>MCRSFP</w:t>
      </w:r>
      <w:r>
        <w:t xml:space="preserve"> (PADD-level stocks excluding SPR) and </w:t>
      </w:r>
      <w:r>
        <w:rPr>
          <w:rFonts w:ascii="Consolas" w:eastAsia="Consolas" w:hAnsi="Consolas" w:cs="Consolas"/>
        </w:rPr>
        <w:t>MCRSSP</w:t>
      </w:r>
      <w:r>
        <w:t xml:space="preserve"> (SPR-level stocks) — but these are marked as </w:t>
      </w:r>
      <w:r>
        <w:rPr>
          <w:b/>
          <w:bCs/>
        </w:rPr>
        <w:t>observed auxiliary</w:t>
      </w:r>
      <w:r>
        <w:t xml:space="preserve"> rather than </w:t>
      </w:r>
      <w:r>
        <w:rPr>
          <w:b/>
          <w:bCs/>
        </w:rPr>
        <w:t>observed authoritative</w:t>
      </w:r>
      <w:r>
        <w:t>, and they do not participate in mass balance at their own level. They serve as cross-checks against the authoritative value.</w:t>
      </w:r>
    </w:p>
    <w:p w14:paraId="36BCFBAC" w14:textId="77777777" w:rsidR="008E1B31" w:rsidRPr="00C955D6" w:rsidRDefault="005C5514">
      <w:pPr>
        <w:spacing w:after="160" w:line="320" w:lineRule="auto"/>
        <w:jc w:val="both"/>
        <w:rPr>
          <w:i/>
          <w:iCs/>
          <w:sz w:val="20"/>
          <w:szCs w:val="20"/>
        </w:rPr>
      </w:pPr>
      <w:r w:rsidRPr="00C955D6">
        <w:rPr>
          <w:b/>
          <w:bCs/>
          <w:i/>
          <w:iCs/>
          <w:sz w:val="20"/>
          <w:szCs w:val="20"/>
        </w:rPr>
        <w:t>Example.</w:t>
      </w:r>
      <w:r w:rsidRPr="00C955D6">
        <w:rPr>
          <w:i/>
          <w:iCs/>
          <w:sz w:val="20"/>
          <w:szCs w:val="20"/>
        </w:rPr>
        <w:t xml:space="preserve"> When EIA began publishing the decomposition of PADD-level stocks into Strategic Petroleum Reserve and commercial portions (MCRSFP plus MCRSSP), the natural temptation was to </w:t>
      </w:r>
      <w:r w:rsidRPr="00C955D6">
        <w:rPr>
          <w:i/>
          <w:iCs/>
          <w:sz w:val="20"/>
          <w:szCs w:val="20"/>
        </w:rPr>
        <w:lastRenderedPageBreak/>
        <w:t>bind each component at a separate sub-node level. But the SPR is already a structural node in the asset graph, with its own four physical sites and its own inventory variable, and MCRSFP at PADD level would have double-counted against the existing per-site SPR values. The framework forced the choice: MCRSFP is registered as an observed auxiliary series on the PADD view, not as an authoritative binding on a separate sub-node. The pre-existing SPR sub-nodes remain the authoritative source for their own inventory.</w:t>
      </w:r>
    </w:p>
    <w:p w14:paraId="36BCFBAD" w14:textId="77777777" w:rsidR="008E1B31" w:rsidRDefault="005C5514">
      <w:pPr>
        <w:pStyle w:val="Heading2"/>
      </w:pPr>
      <w:r>
        <w:t>4.9 Corollary D: Latent allocation at junctions</w:t>
      </w:r>
    </w:p>
    <w:p w14:paraId="234A7B24" w14:textId="635AA9A9" w:rsidR="00BD3161" w:rsidRDefault="00BD3161">
      <w:pPr>
        <w:spacing w:after="160" w:line="319" w:lineRule="auto"/>
        <w:jc w:val="both"/>
        <w:rPr>
          <w:kern w:val="2"/>
          <w14:ligatures w14:val="standardContextual"/>
        </w:rPr>
      </w:pPr>
      <w:r>
        <w:t>The next commitment concerns flows that are physically real but not directly observed. In many junctions, crude splits or merges across routes in ways that data does not measure at the per-edge level. The Permian is a clear example: total production is observed, receipts at major downstream destinations are observed, but the exact split across the pipelines connecting them is not.</w:t>
      </w:r>
    </w:p>
    <w:p w14:paraId="6C9D2269" w14:textId="77777777" w:rsidR="00BD3161" w:rsidRDefault="00BD3161">
      <w:pPr>
        <w:spacing w:after="160" w:line="319" w:lineRule="auto"/>
        <w:jc w:val="both"/>
        <w:rPr>
          <w:kern w:val="2"/>
          <w14:ligatures w14:val="standardContextual"/>
        </w:rPr>
      </w:pPr>
      <w:r>
        <w:t xml:space="preserve">The framework treats those unobserved per-edge flows as </w:t>
      </w:r>
      <w:r>
        <w:rPr>
          <w:b/>
          <w:bCs/>
        </w:rPr>
        <w:t>latent</w:t>
      </w:r>
      <w:r>
        <w:t>. They are declared variables with a clear structural role, but without an assigned value. The mass-balance equation at the junction still applies, so the latent variables are not unconstrained; they must collectively satisfy the aggregate totals implied by the rest of the system. The obvious alternative would be to fill in those missing values with heuristics, such as allocating flows in proportion to capacity. That would make the data look complete, but it would also blur the distinction between measured information and modelling guesswork. This thesis rejects that shortcut because downstream consumers need to know when a number is observed, when it is derived algebraically, and when it is genuinely unknown.</w:t>
      </w:r>
    </w:p>
    <w:p w14:paraId="5AED6731" w14:textId="77777777" w:rsidR="00BD3161" w:rsidRDefault="00BD3161">
      <w:pPr>
        <w:spacing w:after="160" w:line="319" w:lineRule="auto"/>
        <w:jc w:val="both"/>
        <w:rPr>
          <w:kern w:val="2"/>
          <w14:ligatures w14:val="standardContextual"/>
        </w:rPr>
      </w:pPr>
      <w:r>
        <w:t xml:space="preserve">Latent variables are preserved explicitly in the resolved table. They appear with </w:t>
      </w:r>
      <w:r>
        <w:rPr>
          <w:rFonts w:ascii="Consolas" w:hAnsi="Consolas"/>
        </w:rPr>
        <w:t>value = NULL</w:t>
      </w:r>
      <w:r>
        <w:t xml:space="preserve"> and </w:t>
      </w:r>
      <w:r>
        <w:rPr>
          <w:rFonts w:ascii="Consolas" w:hAnsi="Consolas"/>
        </w:rPr>
        <w:t>source = 'latent'</w:t>
      </w:r>
      <w:r>
        <w:t xml:space="preserve">, which distinguishes them from </w:t>
      </w:r>
      <w:r>
        <w:rPr>
          <w:rFonts w:ascii="Consolas" w:hAnsi="Consolas"/>
        </w:rPr>
        <w:t>unresolved</w:t>
      </w:r>
      <w:r>
        <w:t xml:space="preserve"> rows that would indicate a resolver failure. That difference matters downstream. A latent variable is unknown by design and can become a decision variable in an optimisation model. An unresolved value signals that something has gone wrong and should not be silently treated as part of the modelled uncertainty.</w:t>
      </w:r>
    </w:p>
    <w:p w14:paraId="36BCFBB1" w14:textId="6E254FDD" w:rsidR="008E1B31" w:rsidRDefault="005C5514">
      <w:pPr>
        <w:spacing w:after="160" w:line="320" w:lineRule="auto"/>
        <w:jc w:val="both"/>
      </w:pPr>
      <w:r>
        <w:t xml:space="preserve">Pass-through node types (gathering networks, pipelines, import and export terminals, foreign aggregates) have P = C = ΔS = B = 0 by physical construction, encoded in </w:t>
      </w:r>
      <w:r>
        <w:rPr>
          <w:rFonts w:ascii="Consolas" w:eastAsia="Consolas" w:hAnsi="Consolas" w:cs="Consolas"/>
        </w:rPr>
        <w:t>node_type_default_formulas</w:t>
      </w:r>
      <w:r>
        <w:t>. This makes the mass balance at every junction reduce to ΣF</w:t>
      </w:r>
      <w:r w:rsidRPr="00EC622B">
        <w:rPr>
          <w:vertAlign w:val="subscript"/>
        </w:rPr>
        <w:t>in</w:t>
      </w:r>
      <w:r>
        <w:t xml:space="preserve"> = ΣF</w:t>
      </w:r>
      <w:r w:rsidRPr="00EC622B">
        <w:rPr>
          <w:vertAlign w:val="subscript"/>
        </w:rPr>
        <w:t>out</w:t>
      </w:r>
      <w:r>
        <w:t>, which is the natural form for the LP to consume.</w:t>
      </w:r>
    </w:p>
    <w:p w14:paraId="36BCFBB2" w14:textId="77777777" w:rsidR="008E1B31" w:rsidRPr="00EC622B" w:rsidRDefault="005C5514">
      <w:pPr>
        <w:spacing w:after="160" w:line="320" w:lineRule="auto"/>
        <w:jc w:val="both"/>
        <w:rPr>
          <w:i/>
          <w:iCs/>
          <w:sz w:val="20"/>
          <w:szCs w:val="20"/>
        </w:rPr>
      </w:pPr>
      <w:r w:rsidRPr="00EC622B">
        <w:rPr>
          <w:b/>
          <w:bCs/>
          <w:i/>
          <w:iCs/>
          <w:sz w:val="20"/>
          <w:szCs w:val="20"/>
        </w:rPr>
        <w:t>Example.</w:t>
      </w:r>
      <w:r w:rsidRPr="00EC622B">
        <w:rPr>
          <w:i/>
          <w:iCs/>
          <w:sz w:val="20"/>
          <w:szCs w:val="20"/>
        </w:rPr>
        <w:t xml:space="preserve"> The node </w:t>
      </w:r>
      <w:r w:rsidRPr="00EC622B">
        <w:rPr>
          <w:rFonts w:eastAsia="Consolas"/>
          <w:i/>
          <w:iCs/>
          <w:sz w:val="20"/>
          <w:szCs w:val="20"/>
        </w:rPr>
        <w:t>permian_tx</w:t>
      </w:r>
      <w:r w:rsidRPr="00EC622B">
        <w:rPr>
          <w:i/>
          <w:iCs/>
          <w:sz w:val="20"/>
          <w:szCs w:val="20"/>
        </w:rPr>
        <w:t xml:space="preserve"> has an observed production of approximately 4,300 kbd in a recent month. It connects to three origin terminals (</w:t>
      </w:r>
      <w:r w:rsidRPr="00EC622B">
        <w:rPr>
          <w:rFonts w:eastAsia="Consolas"/>
          <w:i/>
          <w:iCs/>
          <w:sz w:val="20"/>
          <w:szCs w:val="20"/>
        </w:rPr>
        <w:t>midland_terminal</w:t>
      </w:r>
      <w:r w:rsidRPr="00EC622B">
        <w:rPr>
          <w:i/>
          <w:iCs/>
          <w:sz w:val="20"/>
          <w:szCs w:val="20"/>
        </w:rPr>
        <w:t xml:space="preserve">, </w:t>
      </w:r>
      <w:r w:rsidRPr="00EC622B">
        <w:rPr>
          <w:rFonts w:eastAsia="Consolas"/>
          <w:i/>
          <w:iCs/>
          <w:sz w:val="20"/>
          <w:szCs w:val="20"/>
        </w:rPr>
        <w:t>wink_terminal</w:t>
      </w:r>
      <w:r w:rsidRPr="00EC622B">
        <w:rPr>
          <w:i/>
          <w:iCs/>
          <w:sz w:val="20"/>
          <w:szCs w:val="20"/>
        </w:rPr>
        <w:t xml:space="preserve">, </w:t>
      </w:r>
      <w:r w:rsidRPr="00EC622B">
        <w:rPr>
          <w:rFonts w:eastAsia="Consolas"/>
          <w:i/>
          <w:iCs/>
          <w:sz w:val="20"/>
          <w:szCs w:val="20"/>
        </w:rPr>
        <w:t>crane_terminal</w:t>
      </w:r>
      <w:r w:rsidRPr="00EC622B">
        <w:rPr>
          <w:i/>
          <w:iCs/>
          <w:sz w:val="20"/>
          <w:szCs w:val="20"/>
        </w:rPr>
        <w:t xml:space="preserve">) whose individual receipts from Permian are not publicly reported. The three outflow variables from </w:t>
      </w:r>
      <w:r w:rsidRPr="00EC622B">
        <w:rPr>
          <w:rFonts w:eastAsia="Consolas"/>
          <w:i/>
          <w:iCs/>
          <w:sz w:val="20"/>
          <w:szCs w:val="20"/>
        </w:rPr>
        <w:t>permian_tx</w:t>
      </w:r>
      <w:r w:rsidRPr="00EC622B">
        <w:rPr>
          <w:i/>
          <w:iCs/>
          <w:sz w:val="20"/>
          <w:szCs w:val="20"/>
        </w:rPr>
        <w:t xml:space="preserve"> are declared latent. The constraint that they sum to the observed production is enforced by the mass balance at </w:t>
      </w:r>
      <w:r w:rsidRPr="00EC622B">
        <w:rPr>
          <w:rFonts w:eastAsia="Consolas"/>
          <w:i/>
          <w:iCs/>
          <w:sz w:val="20"/>
          <w:szCs w:val="20"/>
        </w:rPr>
        <w:t>permian_tx</w:t>
      </w:r>
      <w:r w:rsidRPr="00EC622B">
        <w:rPr>
          <w:i/>
          <w:iCs/>
          <w:sz w:val="20"/>
          <w:szCs w:val="20"/>
        </w:rPr>
        <w:t>. The gathering nodes for the Bakken (one node, seven downstream PADD-2 destinations, individual splits unobserved) and the Cushing hub (three operator sub-terminals, sub-decomposition observed by EIA but not at all desired granularities) follow the same pattern at different scales.</w:t>
      </w:r>
    </w:p>
    <w:p w14:paraId="55C92CC9" w14:textId="1A0E447C" w:rsidR="00407512" w:rsidRDefault="00407512">
      <w:pPr>
        <w:spacing w:after="160" w:line="320" w:lineRule="auto"/>
        <w:jc w:val="both"/>
      </w:pPr>
      <w:r>
        <w:rPr>
          <w:noProof/>
        </w:rPr>
        <w:lastRenderedPageBreak/>
        <w:drawing>
          <wp:inline distT="0" distB="0" distL="0" distR="0" wp14:anchorId="3065F960" wp14:editId="225FC149">
            <wp:extent cx="5731510" cy="3630930"/>
            <wp:effectExtent l="0" t="0" r="0" b="0"/>
            <wp:docPr id="1179545230" name="Picture 1" descr="The diagram illustrates a data representation framework that splits the observed total mass at Permian-Texas into three latent terminal outflows, maintaining the total mass balanc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45230" name="Picture 1" descr="The diagram illustrates a data representation framework that splits the observed total mass at Permian-Texas into three latent terminal outflows, maintaining the total mass balance.  AI-generated content may be incorrect."/>
                    <pic:cNvPicPr/>
                  </pic:nvPicPr>
                  <pic:blipFill>
                    <a:blip r:embed="rId14"/>
                    <a:stretch>
                      <a:fillRect/>
                    </a:stretch>
                  </pic:blipFill>
                  <pic:spPr>
                    <a:xfrm>
                      <a:off x="0" y="0"/>
                      <a:ext cx="5731510" cy="3630930"/>
                    </a:xfrm>
                    <a:prstGeom prst="rect">
                      <a:avLst/>
                    </a:prstGeom>
                  </pic:spPr>
                </pic:pic>
              </a:graphicData>
            </a:graphic>
          </wp:inline>
        </w:drawing>
      </w:r>
    </w:p>
    <w:p w14:paraId="734820DF" w14:textId="0B2499DC" w:rsidR="008E1B31" w:rsidRPr="00EC622B" w:rsidRDefault="00EC622B">
      <w:pPr>
        <w:spacing w:after="160" w:line="320" w:lineRule="auto"/>
        <w:jc w:val="both"/>
        <w:rPr>
          <w:i/>
          <w:iCs/>
          <w:sz w:val="20"/>
          <w:szCs w:val="20"/>
        </w:rPr>
      </w:pPr>
      <w:r w:rsidRPr="00EC622B">
        <w:rPr>
          <w:b/>
          <w:bCs/>
          <w:i/>
          <w:iCs/>
          <w:sz w:val="20"/>
          <w:szCs w:val="20"/>
        </w:rPr>
        <w:t>Example.</w:t>
      </w:r>
      <w:r w:rsidR="005C5514" w:rsidRPr="00EC622B">
        <w:rPr>
          <w:i/>
          <w:iCs/>
          <w:sz w:val="20"/>
          <w:szCs w:val="20"/>
        </w:rPr>
        <w:t xml:space="preserve"> </w:t>
      </w:r>
      <w:r w:rsidRPr="00EC622B">
        <w:rPr>
          <w:i/>
          <w:iCs/>
          <w:sz w:val="20"/>
          <w:szCs w:val="20"/>
        </w:rPr>
        <w:t>T</w:t>
      </w:r>
      <w:r w:rsidR="005C5514" w:rsidRPr="00EC622B">
        <w:rPr>
          <w:i/>
          <w:iCs/>
          <w:sz w:val="20"/>
          <w:szCs w:val="20"/>
        </w:rPr>
        <w:t>he Bakken cross-state midstream. Hess, Crestwood and Energy Transfer operate the North Dakota and Montana gathering systems as a single commercial pool. Crude moves between the two states in either direction depending on takeaway capacity, and public data does not break the flow down by direction. The framework models the connection as a bidirectional pipeline node, pipe_bakken_xstate. The node carries four latent flow variables: two inflows and two outflows, one per direction at each gathering. Pipeline-type defaults give the connector P = C = ΔS = B = 0, so the mass-balance constraint reduces to ΣI = ΣO. The node is declared as a constituent of the inter-PADD aggregate outflows on both sides, so future per-operator gathering telemetry will land on these variables without any structural change.</w:t>
      </w:r>
    </w:p>
    <w:p w14:paraId="7820D8F7" w14:textId="1B04081F" w:rsidR="00785796" w:rsidRDefault="00517E64">
      <w:pPr>
        <w:spacing w:after="160" w:line="320" w:lineRule="auto"/>
        <w:jc w:val="both"/>
      </w:pPr>
      <w:r>
        <w:rPr>
          <w:noProof/>
        </w:rPr>
        <w:lastRenderedPageBreak/>
        <w:drawing>
          <wp:inline distT="0" distB="0" distL="0" distR="0" wp14:anchorId="04B85D84" wp14:editId="1F9645C4">
            <wp:extent cx="5731510" cy="3994150"/>
            <wp:effectExtent l="0" t="0" r="0" b="0"/>
            <wp:docPr id="1943850981" name="Picture 1" descr="The diagram illustrates the data representation and flow dynamics between North Dakota and Montana, detailing the treatment of commercial gathering pipelines and the associated latent flow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50981" name="Picture 1" descr="The diagram illustrates the data representation and flow dynamics between North Dakota and Montana, detailing the treatment of commercial gathering pipelines and the associated latent flows.  AI-generated content may be incorrect."/>
                    <pic:cNvPicPr/>
                  </pic:nvPicPr>
                  <pic:blipFill>
                    <a:blip r:embed="rId15"/>
                    <a:stretch>
                      <a:fillRect/>
                    </a:stretch>
                  </pic:blipFill>
                  <pic:spPr>
                    <a:xfrm>
                      <a:off x="0" y="0"/>
                      <a:ext cx="5731510" cy="3994150"/>
                    </a:xfrm>
                    <a:prstGeom prst="rect">
                      <a:avLst/>
                    </a:prstGeom>
                  </pic:spPr>
                </pic:pic>
              </a:graphicData>
            </a:graphic>
          </wp:inline>
        </w:drawing>
      </w:r>
    </w:p>
    <w:p w14:paraId="3429E435" w14:textId="2539D10F" w:rsidR="006E3777" w:rsidRDefault="006E3777">
      <w:pPr>
        <w:spacing w:after="160" w:line="319" w:lineRule="auto"/>
        <w:jc w:val="both"/>
        <w:rPr>
          <w:kern w:val="2"/>
          <w14:ligatures w14:val="standardContextual"/>
        </w:rPr>
      </w:pPr>
      <w:r>
        <w:t xml:space="preserve">The same mechanism extends naturally to per-grade tracking. Once the commodity dimension on variables is populated, the unobserved per-grade splits at each junction are latent in </w:t>
      </w:r>
      <w:r w:rsidR="00182029">
        <w:t>the same</w:t>
      </w:r>
      <w:r>
        <w:t xml:space="preserve"> sense as the unobserved per-route splits today. Mass balance per grade at each tank or terminal then constrains the unknowns; if a Cushing tank receives observed inflows of WTI from Permian and Bakken-light from Bakken, and ships observed outflows to PADD-3 refiners, the residual grade mix in the tank evolves as a consequence of the same latent-allocation pattern rather than as a separate model. Inferring 'what grade sits in this tank today' becomes a downstream computation, not a new schema.</w:t>
      </w:r>
    </w:p>
    <w:p w14:paraId="36BCFBB3" w14:textId="77777777" w:rsidR="008E1B31" w:rsidRDefault="005C5514">
      <w:pPr>
        <w:pStyle w:val="Heading2"/>
      </w:pPr>
      <w:r>
        <w:t>4.10 Axiom 6: Bidirectional flows as separate directed edges</w:t>
      </w:r>
    </w:p>
    <w:p w14:paraId="4BC29F48" w14:textId="272E319C" w:rsidR="00BD3161" w:rsidRDefault="00BD3161">
      <w:pPr>
        <w:spacing w:after="160" w:line="319" w:lineRule="auto"/>
        <w:jc w:val="both"/>
        <w:rPr>
          <w:kern w:val="2"/>
          <w14:ligatures w14:val="standardContextual"/>
        </w:rPr>
      </w:pPr>
      <w:r>
        <w:t xml:space="preserve">The final axiom is that </w:t>
      </w:r>
      <w:r w:rsidR="00182029">
        <w:t>“</w:t>
      </w:r>
      <w:r w:rsidRPr="00182029">
        <w:rPr>
          <w:b/>
          <w:bCs/>
        </w:rPr>
        <w:t>each direction of a reversible or bidirectional connection is represented as its own directed edge</w:t>
      </w:r>
      <w:r w:rsidR="00182029">
        <w:rPr>
          <w:b/>
          <w:bCs/>
        </w:rPr>
        <w:t>”</w:t>
      </w:r>
      <w:r>
        <w:t>, with its own flow variable. The zero-flow convention from Axiom 2 then handles whichever direction is inactive at a given moment.</w:t>
      </w:r>
    </w:p>
    <w:p w14:paraId="31034BCE" w14:textId="77777777" w:rsidR="00BD3161" w:rsidRDefault="00BD3161">
      <w:pPr>
        <w:spacing w:after="160" w:line="319" w:lineRule="auto"/>
        <w:jc w:val="both"/>
        <w:rPr>
          <w:kern w:val="2"/>
          <w14:ligatures w14:val="standardContextual"/>
        </w:rPr>
      </w:pPr>
      <w:r>
        <w:t>The obvious alternative is a single undirected edge with a signed flow, positive in one direction and negative in the other. That is more compact, and some optimisation models use it. The reason it is rejected here is operational rather than mathematical. A south-bound movement on Capline and a north-bound movement on the same line are not just opposite signs of one quantity. They correspond to different commercial uses of the asset, different congestion patterns, different tariff structures, and often different downstream consequences. Treating them as separate directed edges keeps those distinctions visible.</w:t>
      </w:r>
    </w:p>
    <w:p w14:paraId="36BCFBB6" w14:textId="77777777" w:rsidR="008E1B31" w:rsidRDefault="005C5514">
      <w:pPr>
        <w:spacing w:after="160" w:line="320" w:lineRule="auto"/>
        <w:jc w:val="both"/>
      </w:pPr>
      <w:r>
        <w:lastRenderedPageBreak/>
        <w:t>The directed-edge convention also interacts cleanly with the zero-flow convention. At any moment, at most one direction on a reversible pipeline is active. Both directed edges remain in the topology; the active one carries the current flow; the inactive one carries zero. When the pipeline reverses, the values swap. The structure is unchanged.</w:t>
      </w:r>
    </w:p>
    <w:p w14:paraId="46249A26" w14:textId="77777777" w:rsidR="006E3777" w:rsidRDefault="006E3777">
      <w:pPr>
        <w:spacing w:after="160" w:line="319" w:lineRule="auto"/>
        <w:jc w:val="both"/>
        <w:rPr>
          <w:kern w:val="2"/>
          <w14:ligatures w14:val="standardContextual"/>
        </w:rPr>
      </w:pPr>
      <w:r>
        <w:t>A physical question sometimes asked here is whether a pipeline can carry flow in both directions at the same time. For a single-grade, single-product pipeline the answer is operationally no — a pipeline is in service one way or the other at any given moment. The framework's two-directed-edge convention allows for the data to report flow on both edges even so, because batching pipelines (or operationally bidirectional terminals like SPR sites during a release-and-refill cycle) can show net flow that nets to a single direction over a month while having movement in both directions within that month. The convention is permissive: the LP and the resolver both treat each direction's flow as an independent non-negative variable, and observed nets in either direction land where they land.</w:t>
      </w:r>
    </w:p>
    <w:p w14:paraId="053A75EE" w14:textId="1D278D65" w:rsidR="006E3777" w:rsidRDefault="006E3777">
      <w:pPr>
        <w:spacing w:after="160" w:line="319" w:lineRule="auto"/>
        <w:jc w:val="both"/>
        <w:rPr>
          <w:kern w:val="2"/>
          <w14:ligatures w14:val="standardContextual"/>
        </w:rPr>
      </w:pPr>
      <w:r>
        <w:t xml:space="preserve">A practical clarification: a variable's name in the database is a stable identifier (for example, outflow__crude__pipe_seaway__houston_hub), not a description. The description of what the variable measures lives in the asset metadata, the variable type, the related node, and the commodity — every field that is </w:t>
      </w:r>
      <w:r w:rsidR="004F43F0">
        <w:t>queried</w:t>
      </w:r>
      <w:r>
        <w:t>. The name is an audit anchor that stays the same across renames of human-readable labels; it should be read as an identifier rather than as documentation.</w:t>
      </w:r>
    </w:p>
    <w:p w14:paraId="36BCFBB7" w14:textId="0BE1A80A" w:rsidR="008E1B31" w:rsidRPr="00372225" w:rsidRDefault="005C5514">
      <w:pPr>
        <w:spacing w:after="160" w:line="320" w:lineRule="auto"/>
        <w:jc w:val="both"/>
        <w:rPr>
          <w:i/>
          <w:iCs/>
          <w:sz w:val="20"/>
          <w:szCs w:val="20"/>
        </w:rPr>
      </w:pPr>
      <w:r w:rsidRPr="00372225">
        <w:rPr>
          <w:b/>
          <w:bCs/>
          <w:i/>
          <w:iCs/>
          <w:sz w:val="20"/>
          <w:szCs w:val="20"/>
        </w:rPr>
        <w:t>Example.</w:t>
      </w:r>
      <w:r w:rsidRPr="00372225">
        <w:rPr>
          <w:i/>
          <w:iCs/>
          <w:sz w:val="20"/>
          <w:szCs w:val="20"/>
        </w:rPr>
        <w:t xml:space="preserve"> The Seaway pipeline</w:t>
      </w:r>
      <w:r w:rsidR="00556E30">
        <w:rPr>
          <w:i/>
          <w:iCs/>
          <w:sz w:val="20"/>
          <w:szCs w:val="20"/>
        </w:rPr>
        <w:t xml:space="preserve"> has two destinations, hence </w:t>
      </w:r>
      <w:r w:rsidR="00952E9E">
        <w:rPr>
          <w:i/>
          <w:iCs/>
          <w:sz w:val="20"/>
          <w:szCs w:val="20"/>
        </w:rPr>
        <w:t xml:space="preserve">the framework allows it to carry </w:t>
      </w:r>
      <w:r w:rsidRPr="00372225">
        <w:rPr>
          <w:i/>
          <w:iCs/>
          <w:sz w:val="20"/>
          <w:szCs w:val="20"/>
        </w:rPr>
        <w:t xml:space="preserve">two flow variables: </w:t>
      </w:r>
      <w:r w:rsidRPr="00372225">
        <w:rPr>
          <w:rFonts w:eastAsia="Consolas"/>
          <w:i/>
          <w:iCs/>
          <w:sz w:val="20"/>
          <w:szCs w:val="20"/>
        </w:rPr>
        <w:t>outflow__crude__pipe_seaway__houston_hub</w:t>
      </w:r>
      <w:r w:rsidRPr="00372225">
        <w:rPr>
          <w:i/>
          <w:iCs/>
          <w:sz w:val="20"/>
          <w:szCs w:val="20"/>
        </w:rPr>
        <w:t xml:space="preserve"> (south-bound, the dominant direction) and </w:t>
      </w:r>
      <w:r w:rsidRPr="00372225">
        <w:rPr>
          <w:rFonts w:eastAsia="Consolas"/>
          <w:i/>
          <w:iCs/>
          <w:sz w:val="20"/>
          <w:szCs w:val="20"/>
        </w:rPr>
        <w:t>outflow__crude__pipe_seaway__cushing_hub</w:t>
      </w:r>
      <w:r w:rsidRPr="00372225">
        <w:rPr>
          <w:i/>
          <w:iCs/>
          <w:sz w:val="20"/>
          <w:szCs w:val="20"/>
        </w:rPr>
        <w:t xml:space="preserve"> (north-bound, briefly active under specific market conditions). The same applies to Capline (reversed in 2022, both directions now in the topology), the LOOP offshore terminal, and the SPR sites (which can receive crude for storage or deliver crude in response to a release). The </w:t>
      </w:r>
      <w:r w:rsidR="002E0C50" w:rsidRPr="00372225">
        <w:rPr>
          <w:i/>
          <w:iCs/>
          <w:sz w:val="20"/>
          <w:szCs w:val="20"/>
        </w:rPr>
        <w:t>recently added</w:t>
      </w:r>
      <w:r w:rsidRPr="00372225">
        <w:rPr>
          <w:i/>
          <w:iCs/>
          <w:sz w:val="20"/>
          <w:szCs w:val="20"/>
        </w:rPr>
        <w:t xml:space="preserve"> cross-state Bakken connector (</w:t>
      </w:r>
      <w:r w:rsidRPr="00372225">
        <w:rPr>
          <w:rFonts w:eastAsia="Consolas"/>
          <w:i/>
          <w:iCs/>
          <w:sz w:val="20"/>
          <w:szCs w:val="20"/>
        </w:rPr>
        <w:t>pipe_bakken_xstate</w:t>
      </w:r>
      <w:r w:rsidRPr="00372225">
        <w:rPr>
          <w:i/>
          <w:iCs/>
          <w:sz w:val="20"/>
          <w:szCs w:val="20"/>
        </w:rPr>
        <w:t>) follows the same pattern with four flow variables (two inflows, two outflows, all currently latent).</w:t>
      </w:r>
    </w:p>
    <w:p w14:paraId="312212A2" w14:textId="77777777" w:rsidR="008E1B31" w:rsidRDefault="005C5514">
      <w:pPr>
        <w:pStyle w:val="Heading2"/>
      </w:pPr>
      <w:r>
        <w:t>4.11 Corollary D-bis: Last-observation-carried-forward</w:t>
      </w:r>
    </w:p>
    <w:p w14:paraId="36BCFBC4" w14:textId="77777777" w:rsidR="008E1B31" w:rsidRDefault="005C5514">
      <w:pPr>
        <w:spacing w:after="160" w:line="320" w:lineRule="auto"/>
        <w:jc w:val="both"/>
      </w:pPr>
      <w:r>
        <w:t>Axiom 5 says that each variable is either observed or derived, but it does not say what an observed value means between publication dates. Since EIA publishes monthly, the framework needs a temporal convention. An EIA monthly value is either the average daily rate over the calendar month (for flow quantities) or the end-of-period stock (for inventory quantities), and between publications the value applies to every subsequent date until a new observation arrives. There is no interpolation; the value is a step function.</w:t>
      </w:r>
    </w:p>
    <w:p w14:paraId="0331A201" w14:textId="3500C59B" w:rsidR="008E1B31" w:rsidRDefault="005C5514">
      <w:pPr>
        <w:spacing w:after="160" w:line="320" w:lineRule="auto"/>
        <w:jc w:val="both"/>
      </w:pPr>
      <w:r>
        <w:t xml:space="preserve">The framework adopts last-observation-carried-forward, abbreviated LOCF. At each evaluation date the resolver looks up the most recent time-series value at or before that date and uses it as the resolved value. Dates earlier than the first observation receive no row. Section 6.10 covers the implementation mechanics. The audit trail records LOCF in the </w:t>
      </w:r>
      <w:r w:rsidR="00F655C4">
        <w:lastRenderedPageBreak/>
        <w:t>formula used</w:t>
      </w:r>
      <w:r>
        <w:t xml:space="preserve"> column on scenario</w:t>
      </w:r>
      <w:r w:rsidR="00F655C4">
        <w:t xml:space="preserve"> </w:t>
      </w:r>
      <w:r>
        <w:t>resolved</w:t>
      </w:r>
      <w:r w:rsidR="00F655C4">
        <w:t xml:space="preserve"> </w:t>
      </w:r>
      <w:r>
        <w:t>values, so a downstream consumer can tell freshly published values from carried-over ones.</w:t>
      </w:r>
    </w:p>
    <w:p w14:paraId="2220A8FA" w14:textId="77777777" w:rsidR="008E1B31" w:rsidRDefault="005C5514">
      <w:pPr>
        <w:spacing w:after="160" w:line="320" w:lineRule="auto"/>
        <w:jc w:val="both"/>
      </w:pPr>
      <w:r>
        <w:t>LOCF can surface honest inconsistencies. Two series with different temporal horizons sometimes feed the same residual: a state-level series that ends earlier than the basin-level forecast that subtracts from it. The residual goes negative for the months where one feed is moving and the other is flat. The framework does not silently smooth this away. The v_resolution_anomalies view flags long LOCF runs and negative derived values as low-severity anomalies for review, leaving the analyst to decide whether the underlying source publications need to be reconciled.</w:t>
      </w:r>
    </w:p>
    <w:p w14:paraId="160C5C37" w14:textId="77777777" w:rsidR="00347169" w:rsidRPr="00347169" w:rsidRDefault="00347169" w:rsidP="00347169">
      <w:pPr>
        <w:pStyle w:val="Heading2"/>
      </w:pPr>
      <w:r>
        <w:t>4.12 Corollary E: Node status as a rendering projection</w:t>
      </w:r>
    </w:p>
    <w:p w14:paraId="733A7A4D" w14:textId="484739EC" w:rsidR="00347169" w:rsidRPr="00A74670" w:rsidRDefault="00347169" w:rsidP="00347169">
      <w:pPr>
        <w:spacing w:after="160" w:line="320" w:lineRule="auto"/>
        <w:jc w:val="both"/>
      </w:pPr>
      <w:r>
        <w:t xml:space="preserve">Binding state is a property of a variable, not of a node. Each variable in the active scenario is in exactly one of four states: time-series-bound, formula-derived to a non-zero value, structurally zero, or latent(). This is the primitive the framework reasons about, and it is genuinely heterogeneous within a single node — a refinery may have its production variable time-series-bound while its storage variable is latent() and its balancing item formula-derived. Every consumer that performs work reads variables at this granularity. The LP consumer decides junction-by-junction which flows are fixed and which carry latents from the per-variable assignments, not from any node-level summary; the audit computes partition gaps from </w:t>
      </w:r>
      <w:r w:rsidR="00616A0D">
        <w:t>variable assignments</w:t>
      </w:r>
      <w:r>
        <w:t xml:space="preserve"> directly; mass balance closes per node but over its variables. None of these needs the node itself classified.</w:t>
      </w:r>
    </w:p>
    <w:p w14:paraId="2572D163" w14:textId="6E0AC9C8" w:rsidR="00347169" w:rsidRPr="00A74670" w:rsidRDefault="00347169" w:rsidP="00347169">
      <w:pPr>
        <w:spacing w:after="160" w:line="320" w:lineRule="auto"/>
        <w:jc w:val="both"/>
      </w:pPr>
      <w:r>
        <w:t xml:space="preserve">Rendering is the exception, and the only reason a node-level notion of status exists at all. </w:t>
      </w:r>
      <w:r w:rsidR="00B33B39">
        <w:t>An UI paints</w:t>
      </w:r>
      <w:r>
        <w:t xml:space="preserve"> a node as a single glyph, so it needs one label per node where the underlying data offers several per-variable states. The framework therefore defines a reduction over a node's variables: a node is authoritative if at least one of its variables is time-series-bound; derived if none is time-series-bound but at least one resolves to a non-zero value through a formula; and inactive if every variable is structurally zero or latent(). The schema column carries the name collapsed for historical reasons, but inactive more accurately describes the state — a node structurally present that contributes no value in this scenario. The authoritative/derived/inactive triple is not a domain concept; it is a colour-picking convenience whose sole consumer is the explorer.</w:t>
      </w:r>
    </w:p>
    <w:p w14:paraId="40D78EB8" w14:textId="66B761BE" w:rsidR="00347169" w:rsidRPr="00A74670" w:rsidRDefault="00347169" w:rsidP="00347169">
      <w:pPr>
        <w:spacing w:after="160" w:line="320" w:lineRule="auto"/>
        <w:jc w:val="both"/>
      </w:pPr>
      <w:r>
        <w:t xml:space="preserve">The view v_node_status materialises this reduction by reading variable_assignments and emitting one row per (scenario, node). An earlier design populated a nodes.starter_status column by hand at load time. The column survives in the schema for backward compatibility, but it is vestigial: nothing reads it, and the view is the single authority on status. Under Axiom 3 a node's status is derivable rather than primary data, and a hand-populated column is a second source of truth waiting to drift out of step with the assignments that should determine it; retaining it unread, rather than relying on it, is the deliberate resolution of that tension. The same reasoning routes every other derivable node attribute through a view: inflows and </w:t>
      </w:r>
      <w:r>
        <w:lastRenderedPageBreak/>
        <w:t>outflows from the relational variables (v_flow_edges), partition role from formula_inputs (v_partition_tree), per-variable-type aggregates at a date from resolved values (v_node_pcisob). The architectural commitment is that any derivable property is computed once, in one place, over the variables that are its source of truth, and consumed identically wherever it is needed — with the understanding that for status, "wherever" means the renderers and nothing downstream of them.</w:t>
      </w:r>
      <w:r w:rsidR="00650104">
        <w:t xml:space="preserve"> A reasonable next step on the data structure is to remove the column and use only a view that will </w:t>
      </w:r>
      <w:r w:rsidR="002F1EDC">
        <w:t>give us the node status needed for rendering.</w:t>
      </w:r>
    </w:p>
    <w:p w14:paraId="36BCFBC3" w14:textId="77777777" w:rsidR="008E1B31" w:rsidRDefault="005C5514">
      <w:pPr>
        <w:pStyle w:val="Heading2"/>
      </w:pPr>
      <w:r>
        <w:t>4.13 Summary</w:t>
      </w:r>
    </w:p>
    <w:p w14:paraId="5727D6EA" w14:textId="77777777" w:rsidR="00BD3161" w:rsidRDefault="00BD3161">
      <w:pPr>
        <w:spacing w:after="160" w:line="319" w:lineRule="auto"/>
        <w:jc w:val="both"/>
        <w:rPr>
          <w:kern w:val="2"/>
          <w14:ligatures w14:val="standardContextual"/>
        </w:rPr>
      </w:pPr>
      <w:r>
        <w:t>Taken together, the axioms and corollaries define both the scope and the limits of the framework. It is asset-centric, explicit about provenance, designed for multi-resolution data, and careful not to hide uncertainty behind apparently complete numbers. At the same time, it is not a forecasting model, not a heuristic flow allocator, and not an attempt to produce a single cleaned estimate of the system. The six axioms are the irreducible design commitments. The corollaries follow from those commitments once the variables collection is populated correctly. Two earlier ideas—a canonical sum rule and a formal latent-versus-unresolved distinction—proved more natural in the resolver chapter and the dispatch-rule reference, so they are discussed there rather than treated as architectural principles here.</w:t>
      </w:r>
    </w:p>
    <w:p w14:paraId="2ECAE1EF" w14:textId="77777777" w:rsidR="006E3777" w:rsidRDefault="006E3777">
      <w:pPr>
        <w:spacing w:after="160" w:line="319" w:lineRule="auto"/>
        <w:jc w:val="both"/>
        <w:rPr>
          <w:kern w:val="2"/>
          <w14:ligatures w14:val="standardContextual"/>
        </w:rPr>
      </w:pPr>
      <w:r>
        <w:t>Each axiom and corollary corresponds in implementation to one or more layered views: v_flow_edges and v_aggregation_edges for Axioms 2 and 3, v_partition_tree for Corollaries A and B, v_node_status for Corollary E, v_aggregation_consistency and v_node_balance_check for the cross-checks introduced in Sections 4.3 and 4.8, and v_resolution_anomalies for the temporal-convention anomalies of Corollary D-bis. The complete list, with the SQL definitions and the assertions each view supports, is in Annex C alongside the resolver's dispatch rules.</w:t>
      </w:r>
    </w:p>
    <w:p w14:paraId="384A69B0" w14:textId="49D31865" w:rsidR="006E3777" w:rsidRDefault="00AC08DD">
      <w:pPr>
        <w:spacing w:after="160" w:line="319" w:lineRule="auto"/>
        <w:jc w:val="center"/>
        <w:rPr>
          <w:kern w:val="2"/>
          <w14:ligatures w14:val="standardContextual"/>
        </w:rPr>
      </w:pPr>
      <w:r>
        <w:rPr>
          <w:noProof/>
          <w:kern w:val="2"/>
        </w:rPr>
        <w:lastRenderedPageBreak/>
        <w:drawing>
          <wp:inline distT="0" distB="0" distL="0" distR="0" wp14:anchorId="425BC29E" wp14:editId="4D586475">
            <wp:extent cx="5731510" cy="4697095"/>
            <wp:effectExtent l="0" t="0" r="2540" b="8255"/>
            <wp:docPr id="602996949" name="Picture 1" descr="The diagram illustrates a data model with various entities like assets, nodes, and variables, depicting their relationships and constraints, including unique identifiers and foreign keys for hierarchical data representatio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96949" name="Picture 1" descr="The diagram illustrates a data model with various entities like assets, nodes, and variables, depicting their relationships and constraints, including unique identifiers and foreign keys for hierarchical data representation.  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4697095"/>
                    </a:xfrm>
                    <a:prstGeom prst="rect">
                      <a:avLst/>
                    </a:prstGeom>
                  </pic:spPr>
                </pic:pic>
              </a:graphicData>
            </a:graphic>
          </wp:inline>
        </w:drawing>
      </w:r>
    </w:p>
    <w:p w14:paraId="19C552F1" w14:textId="77777777" w:rsidR="006E3777" w:rsidRDefault="006E3777">
      <w:pPr>
        <w:spacing w:after="160" w:line="319" w:lineRule="auto"/>
        <w:jc w:val="center"/>
        <w:rPr>
          <w:kern w:val="2"/>
          <w14:ligatures w14:val="standardContextual"/>
        </w:rPr>
      </w:pPr>
      <w:r>
        <w:rPr>
          <w:i/>
          <w:sz w:val="18"/>
        </w:rPr>
        <w:t>Figure 4. The oil_network data model as enforced by the schema. The structural layer (Graph, Asset, Node, Variable) is persistent and scenario-independent; the scenario layer (Scenario, Variable assignment) is volatile. A node is one asset on one graph (UNIQUE graph_id, asset_id); a variable may carry a second node reference (related_node_id) to form an inflow or outflow edge; an assignment binds a variable for a scenario under the CHECK that exactly one of timeseries_id or formula is set. The same-graph triggers enforce that an assignment’s scenario and its variable’s node resolve to the same graph.</w:t>
      </w:r>
    </w:p>
    <w:p w14:paraId="36BCFBC5" w14:textId="77777777" w:rsidR="008E1B31" w:rsidRDefault="005C5514">
      <w:pPr>
        <w:pStyle w:val="Heading1"/>
        <w:pageBreakBefore/>
      </w:pPr>
      <w:r>
        <w:lastRenderedPageBreak/>
        <w:t>5. Schema and Graph Construction</w:t>
      </w:r>
    </w:p>
    <w:p w14:paraId="36BCFBC6" w14:textId="77777777" w:rsidR="008E1B31" w:rsidRDefault="005C5514">
      <w:pPr>
        <w:spacing w:after="160" w:line="320" w:lineRule="auto"/>
        <w:jc w:val="both"/>
      </w:pPr>
      <w:r>
        <w:t>The axioms and corollaries set out in Chapter 4 are commitments at the architectural level. This chapter describes the schema and construction process that give effect to those commitments: the two-layer model, the taxonomy of nodes, the structure of variables and edges, the partition tree that drives consistency validation, and the starter graph that instantiates all of this for the U.S. crude oil network from 2015 onwards.</w:t>
      </w:r>
    </w:p>
    <w:p w14:paraId="36BCFBC7" w14:textId="77777777" w:rsidR="008E1B31" w:rsidRDefault="005C5514">
      <w:pPr>
        <w:pStyle w:val="Heading2"/>
      </w:pPr>
      <w:r>
        <w:t>5.1 The two-layer model</w:t>
      </w:r>
    </w:p>
    <w:p w14:paraId="36BCFBC8" w14:textId="77777777" w:rsidR="008E1B31" w:rsidRDefault="005C5514">
      <w:pPr>
        <w:spacing w:after="160" w:line="320" w:lineRule="auto"/>
        <w:jc w:val="both"/>
      </w:pPr>
      <w:r>
        <w:t xml:space="preserve">The framework separates a persistent layer from a scenario layer. The persistent asset graph is the fixed, superset physical topology — every node, every potential edge, defined once and not altered for data reasons. The scenario state is derived at load time from the persistent asset graph plus the per-scenario rows in </w:t>
      </w:r>
      <w:r>
        <w:rPr>
          <w:rFonts w:ascii="Consolas" w:eastAsia="Consolas" w:hAnsi="Consolas" w:cs="Consolas"/>
        </w:rPr>
        <w:t>variable_assignments</w:t>
      </w:r>
      <w:r>
        <w:t>. Downstream consumers query the scenario state, not the persistent graph directly.</w:t>
      </w:r>
    </w:p>
    <w:p w14:paraId="420B9E66" w14:textId="77777777" w:rsidR="006E3777" w:rsidRDefault="006E3777">
      <w:pPr>
        <w:spacing w:after="160" w:line="319" w:lineRule="auto"/>
        <w:jc w:val="both"/>
        <w:rPr>
          <w:kern w:val="2"/>
          <w14:ligatures w14:val="standardContextual"/>
        </w:rPr>
      </w:pPr>
      <w:r>
        <w:t>The two-layer model also admits multiple persistent layers in principle. The current implementation uses one graph_id (starter_us_crude) tagging all 251 nodes, so the assets-to-nodes correspondence is one-to-one. The schema (assets, nodes, graph_id on nodes) is designed so that a second graph — for example, a per-grade view, a per-operator view, or a North American extension that adds Canadian and Mexican assets — can be loaded as a parallel set of node rows over the same assets, without re-declaring the asset registry. Each graph carries its own variables, assignments, and scenarios. The framework's consistency claims (Chapter 7) apply per (graph, scenario) pair.</w:t>
      </w:r>
    </w:p>
    <w:p w14:paraId="36BCFBC9" w14:textId="77777777" w:rsidR="008E1B31" w:rsidRDefault="005C5514">
      <w:pPr>
        <w:spacing w:after="160" w:line="320" w:lineRule="auto"/>
        <w:jc w:val="both"/>
      </w:pPr>
      <w:r>
        <w:t>The separation is the practical expression of Axiom 4. Data volatility lives in the assignment table; structural volatility, when it occurs, is captured by an explicit migration to the persistent graph. The two kinds of change are reviewed differently, deployed differently, and rolled back differently. A new EIA series at finer granularity is an assignment change. The construction of a new export terminal is a migration. The framework refuses to conflate them.</w:t>
      </w:r>
    </w:p>
    <w:p w14:paraId="36BCFBCA" w14:textId="77777777" w:rsidR="008E1B31" w:rsidRDefault="005C5514">
      <w:pPr>
        <w:spacing w:after="160" w:line="320" w:lineRule="auto"/>
        <w:jc w:val="both"/>
      </w:pPr>
      <w:r>
        <w:t>The two-layer split is also a substantive rejection of a single-layer alternative in which the asset graph and the data are interleaved. A single-layer graph is, in effect, itself a data source: every new ingest at a different granularity (commercial tank-level imagery, per-vessel cargo data, finer state breakdowns) forces a topological change to keep the data where it lands. The two-layer split treats the asset graph as a fixed superset and lets every new data source bind into it through the assignment table without disturbing the topology. The set of assignments under a scenario is what an earlier framing of this work called a coverage contract; in the current implementation no separate object is needed, the principle was preserved, the structure was simplified.</w:t>
      </w:r>
    </w:p>
    <w:p w14:paraId="36BCFBCB" w14:textId="77777777" w:rsidR="008E1B31" w:rsidRDefault="005C5514">
      <w:pPr>
        <w:pStyle w:val="Heading2"/>
      </w:pPr>
      <w:r>
        <w:t>5.2 The starter asset graph</w:t>
      </w:r>
    </w:p>
    <w:p w14:paraId="36BCFBCC" w14:textId="77777777" w:rsidR="008E1B31" w:rsidRDefault="005C5514">
      <w:pPr>
        <w:spacing w:after="160" w:line="320" w:lineRule="auto"/>
        <w:jc w:val="both"/>
      </w:pPr>
      <w:r>
        <w:lastRenderedPageBreak/>
        <w:t xml:space="preserve">The starter graph targets U.S. crude oil from January 2015 onwards, the period over which the relevant EIA monthly series are consistently available. It contains 251 assets in total: 217 physical and 34 abstract aggregates, of which 3 are boundary nodes. The assets connect via 433 directed flow edges, and they carry 1,870 variables under the active scenario </w:t>
      </w:r>
      <w:r>
        <w:rPr>
          <w:rFonts w:ascii="Consolas" w:eastAsia="Consolas" w:hAnsi="Consolas" w:cs="Consolas"/>
        </w:rPr>
        <w:t>starter_us_crude_2015_2025</w:t>
      </w:r>
      <w:r>
        <w:t>.</w:t>
      </w:r>
    </w:p>
    <w:p w14:paraId="52C88765" w14:textId="77777777" w:rsidR="006E3777" w:rsidRDefault="006E3777">
      <w:pPr>
        <w:spacing w:after="160" w:line="319" w:lineRule="auto"/>
        <w:jc w:val="both"/>
        <w:rPr>
          <w:kern w:val="2"/>
          <w14:ligatures w14:val="standardContextual"/>
        </w:rPr>
      </w:pPr>
      <w:r>
        <w:t>It is worth flagging that the asset graph was constructed independently of the EIA time-series catalogue. Named physical assets — refineries, pipelines, terminals, gathering systems, storage hubs — were enumerated from public domain knowledge (corporate filings, FERC and PHMSA registers, trade-press infrastructure surveys, OGJ refinery surveys, Global Energy Monitor's pipeline trackers, Wood Mackenzie's IIR for refinery operating data) rather than from what EIA happened to publish. The result is an asset graph that covers approximately 100% of U.S. modelled refining capacity (17,484 kbd against the real system's ~17,500 kbd) and 113% of production capacity at peak —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36BCFBCD" w14:textId="77777777" w:rsidR="008E1B31" w:rsidRDefault="005C5514">
      <w:pPr>
        <w:spacing w:after="160" w:line="320" w:lineRule="auto"/>
        <w:jc w:val="both"/>
      </w:pPr>
      <w:r>
        <w:t>Every node is tagged with a kind (physical or abstract), a node_class (production, infrastructure, observational), and a node_subtype that refines the class (refinery, gathering, pipeline, region_view, and so on). Geographic metadata — latitude, longitude, state, county, PADD — is stored in a separate oil_network.locations table to keep labelling distinct from structure, in line with Corollary C.</w:t>
      </w:r>
    </w:p>
    <w:p w14:paraId="36BCFBCE" w14:textId="70BC3585" w:rsidR="008E1B31" w:rsidRDefault="005C5514">
      <w:pPr>
        <w:spacing w:after="160" w:line="320" w:lineRule="auto"/>
        <w:jc w:val="both"/>
      </w:pPr>
      <w:r>
        <w:t>The graph is built from a seed JSON file (</w:t>
      </w:r>
      <w:r>
        <w:rPr>
          <w:rFonts w:ascii="Consolas" w:eastAsia="Consolas" w:hAnsi="Consolas" w:cs="Consolas"/>
        </w:rPr>
        <w:t>asset_graph.json</w:t>
      </w:r>
      <w:r>
        <w:t xml:space="preserve">) loaded once and then evolved by incremental migration scripts. Each migration corresponds to a deliberate structural change (a new aggregate node, a node split, a route correction) and is recorded as a versioned event. The final state of the starter graph reflects </w:t>
      </w:r>
      <w:r w:rsidR="00533ABA">
        <w:t>over twenty</w:t>
      </w:r>
      <w:r>
        <w:t xml:space="preserve"> such migration passes.</w:t>
      </w:r>
    </w:p>
    <w:p w14:paraId="36BCFBCF" w14:textId="77777777" w:rsidR="008E1B31" w:rsidRDefault="005C5514">
      <w:pPr>
        <w:pStyle w:val="Heading2"/>
      </w:pPr>
      <w:r>
        <w:t>5.3 Physical nodes</w:t>
      </w:r>
    </w:p>
    <w:p w14:paraId="36BCFBD0" w14:textId="77777777" w:rsidR="008E1B31" w:rsidRDefault="005C5514">
      <w:pPr>
        <w:spacing w:after="160" w:line="320" w:lineRule="auto"/>
        <w:jc w:val="both"/>
      </w:pPr>
      <w:r>
        <w:t>Physical nodes represent real, named assets on the ground. They carry geographic coordinates, capacity, configuration, and flow edges. Adding a physical node usually corresponds to a real operational change: a new refinery coming online, a new pipeline being commissioned, a new export terminal opening.</w:t>
      </w:r>
    </w:p>
    <w:p w14:paraId="36BCFBD1" w14:textId="77777777" w:rsidR="008E1B31" w:rsidRDefault="005C5514">
      <w:pPr>
        <w:spacing w:after="160" w:line="320" w:lineRule="auto"/>
        <w:jc w:val="both"/>
      </w:pPr>
      <w:r>
        <w:t>The starter graph contains the following physical inventory, grouped by subtype:</w:t>
      </w:r>
    </w:p>
    <w:tbl>
      <w:tblPr>
        <w:tblStyle w:val="TableGrid"/>
        <w:tblW w:w="8926" w:type="dxa"/>
        <w:tblLook w:val="04A0" w:firstRow="1" w:lastRow="0" w:firstColumn="1" w:lastColumn="0" w:noHBand="0" w:noVBand="1"/>
      </w:tblPr>
      <w:tblGrid>
        <w:gridCol w:w="3152"/>
        <w:gridCol w:w="2405"/>
        <w:gridCol w:w="3369"/>
      </w:tblGrid>
      <w:tr w:rsidR="00537923" w14:paraId="7D7B2FAA" w14:textId="77777777" w:rsidTr="00791C51">
        <w:trPr>
          <w:tblHeader/>
        </w:trPr>
        <w:tc>
          <w:tcPr>
            <w:tcW w:w="3152" w:type="dxa"/>
            <w:shd w:val="clear" w:color="auto" w:fill="D9E2F3"/>
            <w:vAlign w:val="center"/>
          </w:tcPr>
          <w:p w14:paraId="14DC9198" w14:textId="77777777" w:rsidR="00537923" w:rsidRDefault="005C5514">
            <w:pPr>
              <w:rPr>
                <w:b/>
              </w:rPr>
            </w:pPr>
            <w:r>
              <w:rPr>
                <w:b/>
              </w:rPr>
              <w:t>Subtype</w:t>
            </w:r>
          </w:p>
        </w:tc>
        <w:tc>
          <w:tcPr>
            <w:tcW w:w="2405" w:type="dxa"/>
            <w:shd w:val="clear" w:color="auto" w:fill="D9E2F3"/>
            <w:vAlign w:val="center"/>
          </w:tcPr>
          <w:p w14:paraId="6CCA3F12" w14:textId="77777777" w:rsidR="00537923" w:rsidRDefault="005C5514">
            <w:pPr>
              <w:rPr>
                <w:b/>
              </w:rPr>
            </w:pPr>
            <w:r>
              <w:rPr>
                <w:b/>
              </w:rPr>
              <w:t>Count</w:t>
            </w:r>
          </w:p>
        </w:tc>
        <w:tc>
          <w:tcPr>
            <w:tcW w:w="3369" w:type="dxa"/>
            <w:shd w:val="clear" w:color="auto" w:fill="D9E2F3"/>
            <w:vAlign w:val="center"/>
          </w:tcPr>
          <w:p w14:paraId="25E280FD" w14:textId="77777777" w:rsidR="00537923" w:rsidRDefault="005C5514">
            <w:pPr>
              <w:rPr>
                <w:b/>
              </w:rPr>
            </w:pPr>
            <w:r>
              <w:rPr>
                <w:b/>
              </w:rPr>
              <w:t>Role and representative examples</w:t>
            </w:r>
          </w:p>
        </w:tc>
      </w:tr>
      <w:tr w:rsidR="00791C51" w14:paraId="2A3F0001" w14:textId="77777777" w:rsidTr="00791C51">
        <w:tc>
          <w:tcPr>
            <w:tcW w:w="3152" w:type="dxa"/>
            <w:vAlign w:val="center"/>
          </w:tcPr>
          <w:p w14:paraId="7E53F31C" w14:textId="77777777" w:rsidR="00791C51" w:rsidRDefault="00791C51">
            <w:r>
              <w:t>L3c</w:t>
            </w:r>
          </w:p>
        </w:tc>
        <w:tc>
          <w:tcPr>
            <w:tcW w:w="2405" w:type="dxa"/>
            <w:vAlign w:val="center"/>
          </w:tcPr>
          <w:p w14:paraId="75A2679D" w14:textId="77777777" w:rsidR="00791C51" w:rsidRDefault="00791C51">
            <w:r>
              <w:t>v_partition_sums</w:t>
            </w:r>
          </w:p>
        </w:tc>
        <w:tc>
          <w:tcPr>
            <w:tcW w:w="3369" w:type="dxa"/>
            <w:vAlign w:val="center"/>
          </w:tcPr>
          <w:p w14:paraId="726DE858" w14:textId="77777777" w:rsidR="00791C51" w:rsidRDefault="00791C51">
            <w:r>
              <w:t>L2c + scenario_resolved_values</w:t>
            </w:r>
          </w:p>
        </w:tc>
      </w:tr>
      <w:tr w:rsidR="00791C51" w14:paraId="2A3F0002" w14:textId="77777777" w:rsidTr="00791C51">
        <w:tc>
          <w:tcPr>
            <w:tcW w:w="3152" w:type="dxa"/>
            <w:vAlign w:val="center"/>
          </w:tcPr>
          <w:p w14:paraId="6A360E25" w14:textId="77777777" w:rsidR="00791C51" w:rsidRDefault="00791C51">
            <w:r>
              <w:t>L3d</w:t>
            </w:r>
          </w:p>
        </w:tc>
        <w:tc>
          <w:tcPr>
            <w:tcW w:w="2405" w:type="dxa"/>
            <w:vAlign w:val="center"/>
          </w:tcPr>
          <w:p w14:paraId="36C98DDD" w14:textId="77777777" w:rsidR="00791C51" w:rsidRDefault="00791C51">
            <w:r>
              <w:t>v_partition_intra_flows</w:t>
            </w:r>
          </w:p>
        </w:tc>
        <w:tc>
          <w:tcPr>
            <w:tcW w:w="3369" w:type="dxa"/>
            <w:vAlign w:val="center"/>
          </w:tcPr>
          <w:p w14:paraId="6D542AC1" w14:textId="77777777" w:rsidR="00791C51" w:rsidRDefault="00791C51">
            <w:r>
              <w:t>L2b + scenario_resolved_values</w:t>
            </w:r>
          </w:p>
        </w:tc>
      </w:tr>
      <w:tr w:rsidR="00537923" w14:paraId="6E671B35" w14:textId="77777777" w:rsidTr="00791C51">
        <w:tc>
          <w:tcPr>
            <w:tcW w:w="3152" w:type="dxa"/>
            <w:vAlign w:val="center"/>
          </w:tcPr>
          <w:p w14:paraId="79E09114" w14:textId="77777777" w:rsidR="00537923" w:rsidRDefault="005C5514">
            <w:r>
              <w:t>state_sub_basin</w:t>
            </w:r>
          </w:p>
        </w:tc>
        <w:tc>
          <w:tcPr>
            <w:tcW w:w="2405" w:type="dxa"/>
            <w:vAlign w:val="center"/>
          </w:tcPr>
          <w:p w14:paraId="372AA414" w14:textId="77777777" w:rsidR="00537923" w:rsidRDefault="005C5514">
            <w:r>
              <w:t>5</w:t>
            </w:r>
          </w:p>
        </w:tc>
        <w:tc>
          <w:tcPr>
            <w:tcW w:w="3369" w:type="dxa"/>
            <w:vAlign w:val="center"/>
          </w:tcPr>
          <w:p w14:paraId="79E557D2" w14:textId="77777777" w:rsidR="00537923" w:rsidRDefault="005C5514">
            <w:r>
              <w:t xml:space="preserve">Named production regions: bakken_nd, bakken_mt, </w:t>
            </w:r>
            <w:r>
              <w:lastRenderedPageBreak/>
              <w:t>permian_tx, permian_nm, eagle_ford_tx</w:t>
            </w:r>
          </w:p>
        </w:tc>
      </w:tr>
      <w:tr w:rsidR="00537923" w14:paraId="59A89C04" w14:textId="77777777" w:rsidTr="00791C51">
        <w:tc>
          <w:tcPr>
            <w:tcW w:w="3152" w:type="dxa"/>
            <w:vAlign w:val="center"/>
          </w:tcPr>
          <w:p w14:paraId="048BAD47" w14:textId="77777777" w:rsidR="00537923" w:rsidRDefault="005C5514">
            <w:r>
              <w:lastRenderedPageBreak/>
              <w:t>state_conventional</w:t>
            </w:r>
          </w:p>
        </w:tc>
        <w:tc>
          <w:tcPr>
            <w:tcW w:w="2405" w:type="dxa"/>
            <w:vAlign w:val="center"/>
          </w:tcPr>
          <w:p w14:paraId="7D833B5B" w14:textId="77777777" w:rsidR="00537923" w:rsidRDefault="005C5514">
            <w:r>
              <w:t>7</w:t>
            </w:r>
          </w:p>
        </w:tc>
        <w:tc>
          <w:tcPr>
            <w:tcW w:w="3369" w:type="dxa"/>
            <w:vAlign w:val="center"/>
          </w:tcPr>
          <w:p w14:paraId="2E890599" w14:textId="77777777" w:rsidR="00537923" w:rsidRDefault="005C5514">
            <w:r>
              <w:t>Mature state-level production: oklahoma_conventional, california_conventional, wyoming</w:t>
            </w:r>
          </w:p>
        </w:tc>
      </w:tr>
      <w:tr w:rsidR="00537923" w14:paraId="49F49495" w14:textId="77777777" w:rsidTr="00791C51">
        <w:tc>
          <w:tcPr>
            <w:tcW w:w="3152" w:type="dxa"/>
            <w:vAlign w:val="center"/>
          </w:tcPr>
          <w:p w14:paraId="347632B3" w14:textId="77777777" w:rsidR="00537923" w:rsidRDefault="005C5514">
            <w:r>
              <w:t>state_residual</w:t>
            </w:r>
          </w:p>
        </w:tc>
        <w:tc>
          <w:tcPr>
            <w:tcW w:w="2405" w:type="dxa"/>
            <w:vAlign w:val="center"/>
          </w:tcPr>
          <w:p w14:paraId="3583D06C" w14:textId="77777777" w:rsidR="00537923" w:rsidRDefault="005C5514">
            <w:r>
              <w:t>5</w:t>
            </w:r>
          </w:p>
        </w:tc>
        <w:tc>
          <w:tcPr>
            <w:tcW w:w="3369" w:type="dxa"/>
            <w:vAlign w:val="center"/>
          </w:tcPr>
          <w:p w14:paraId="1CDF9F72" w14:textId="77777777" w:rsidR="00537923" w:rsidRDefault="005C5514">
            <w:r>
              <w:t>One per PADD: padd1_other through padd5_other, covering un-named tail production</w:t>
            </w:r>
          </w:p>
        </w:tc>
      </w:tr>
      <w:tr w:rsidR="00537923" w14:paraId="34A4D6A5" w14:textId="77777777" w:rsidTr="00791C51">
        <w:tc>
          <w:tcPr>
            <w:tcW w:w="3152" w:type="dxa"/>
            <w:vAlign w:val="center"/>
          </w:tcPr>
          <w:p w14:paraId="46F4EC80" w14:textId="77777777" w:rsidR="00537923" w:rsidRDefault="005C5514">
            <w:r>
              <w:t>offshore_region</w:t>
            </w:r>
          </w:p>
        </w:tc>
        <w:tc>
          <w:tcPr>
            <w:tcW w:w="2405" w:type="dxa"/>
            <w:vAlign w:val="center"/>
          </w:tcPr>
          <w:p w14:paraId="3D21B235" w14:textId="77777777" w:rsidR="00537923" w:rsidRDefault="005C5514">
            <w:r>
              <w:t>1</w:t>
            </w:r>
          </w:p>
        </w:tc>
        <w:tc>
          <w:tcPr>
            <w:tcW w:w="3369" w:type="dxa"/>
            <w:vAlign w:val="center"/>
          </w:tcPr>
          <w:p w14:paraId="50BE6E93" w14:textId="77777777" w:rsidR="00537923" w:rsidRDefault="005C5514">
            <w:r>
              <w:t>gulf_of_america (encompassing all federal offshore production in the Gulf)</w:t>
            </w:r>
          </w:p>
        </w:tc>
      </w:tr>
      <w:tr w:rsidR="00537923" w14:paraId="0F3B3F5E" w14:textId="77777777" w:rsidTr="00791C51">
        <w:tc>
          <w:tcPr>
            <w:tcW w:w="3152" w:type="dxa"/>
            <w:vAlign w:val="center"/>
          </w:tcPr>
          <w:p w14:paraId="32CB383B" w14:textId="77777777" w:rsidR="00537923" w:rsidRDefault="005C5514">
            <w:r>
              <w:t>gathering</w:t>
            </w:r>
          </w:p>
        </w:tc>
        <w:tc>
          <w:tcPr>
            <w:tcW w:w="2405" w:type="dxa"/>
            <w:vAlign w:val="center"/>
          </w:tcPr>
          <w:p w14:paraId="3939036E" w14:textId="77777777" w:rsidR="00537923" w:rsidRDefault="005C5514">
            <w:r>
              <w:t>6</w:t>
            </w:r>
          </w:p>
        </w:tc>
        <w:tc>
          <w:tcPr>
            <w:tcW w:w="3369" w:type="dxa"/>
            <w:vAlign w:val="center"/>
          </w:tcPr>
          <w:p w14:paraId="5B455E30" w14:textId="77777777" w:rsidR="00537923" w:rsidRDefault="005C5514">
            <w:r>
              <w:t>Basin-level midstream pooling: ans, bakken_nd, bakken_mt, eagle_ford, permian_nm, permian_tx</w:t>
            </w:r>
          </w:p>
        </w:tc>
      </w:tr>
      <w:tr w:rsidR="00537923" w14:paraId="32FC23E8" w14:textId="77777777" w:rsidTr="00791C51">
        <w:tc>
          <w:tcPr>
            <w:tcW w:w="3152" w:type="dxa"/>
            <w:vAlign w:val="center"/>
          </w:tcPr>
          <w:p w14:paraId="6EFAAA26" w14:textId="77777777" w:rsidR="00537923" w:rsidRDefault="005C5514">
            <w:r>
              <w:t>origin_terminal</w:t>
            </w:r>
          </w:p>
        </w:tc>
        <w:tc>
          <w:tcPr>
            <w:tcW w:w="2405" w:type="dxa"/>
            <w:vAlign w:val="center"/>
          </w:tcPr>
          <w:p w14:paraId="215E6C11" w14:textId="77777777" w:rsidR="00537923" w:rsidRDefault="005C5514">
            <w:r>
              <w:t>6</w:t>
            </w:r>
          </w:p>
        </w:tc>
        <w:tc>
          <w:tcPr>
            <w:tcW w:w="3369" w:type="dxa"/>
            <w:vAlign w:val="center"/>
          </w:tcPr>
          <w:p w14:paraId="3E64902F" w14:textId="77777777" w:rsidR="00537923" w:rsidRDefault="005C5514">
            <w:r>
              <w:t>First-stage receipt points: midland, wink, crane, johnsons_corner, three_rivers, valdez</w:t>
            </w:r>
          </w:p>
        </w:tc>
      </w:tr>
      <w:tr w:rsidR="00537923" w14:paraId="5B26AEF9" w14:textId="77777777" w:rsidTr="00791C51">
        <w:tc>
          <w:tcPr>
            <w:tcW w:w="3152" w:type="dxa"/>
            <w:vAlign w:val="center"/>
          </w:tcPr>
          <w:p w14:paraId="0DFA440A" w14:textId="77777777" w:rsidR="00537923" w:rsidRDefault="005C5514">
            <w:r>
              <w:t>storage_terminal</w:t>
            </w:r>
          </w:p>
        </w:tc>
        <w:tc>
          <w:tcPr>
            <w:tcW w:w="2405" w:type="dxa"/>
            <w:vAlign w:val="center"/>
          </w:tcPr>
          <w:p w14:paraId="5510F56B" w14:textId="77777777" w:rsidR="00537923" w:rsidRDefault="005C5514">
            <w:r>
              <w:t>10</w:t>
            </w:r>
          </w:p>
        </w:tc>
        <w:tc>
          <w:tcPr>
            <w:tcW w:w="3369" w:type="dxa"/>
            <w:vAlign w:val="center"/>
          </w:tcPr>
          <w:p w14:paraId="06A3F625" w14:textId="77777777" w:rsidR="00537923" w:rsidRDefault="005C5514">
            <w:r>
              <w:t>Cushing hub (with three operator sub-terminals), Patoka hub, Houston, and others</w:t>
            </w:r>
          </w:p>
        </w:tc>
      </w:tr>
      <w:tr w:rsidR="00537923" w14:paraId="6C4D7738" w14:textId="77777777" w:rsidTr="00791C51">
        <w:tc>
          <w:tcPr>
            <w:tcW w:w="3152" w:type="dxa"/>
            <w:vAlign w:val="center"/>
          </w:tcPr>
          <w:p w14:paraId="761375DF" w14:textId="77777777" w:rsidR="00537923" w:rsidRDefault="005C5514">
            <w:r>
              <w:t>spr_site</w:t>
            </w:r>
          </w:p>
        </w:tc>
        <w:tc>
          <w:tcPr>
            <w:tcW w:w="2405" w:type="dxa"/>
            <w:vAlign w:val="center"/>
          </w:tcPr>
          <w:p w14:paraId="639DF009" w14:textId="77777777" w:rsidR="00537923" w:rsidRDefault="005C5514">
            <w:r>
              <w:t>4</w:t>
            </w:r>
          </w:p>
        </w:tc>
        <w:tc>
          <w:tcPr>
            <w:tcW w:w="3369" w:type="dxa"/>
            <w:vAlign w:val="center"/>
          </w:tcPr>
          <w:p w14:paraId="3D0E6535" w14:textId="77777777" w:rsidR="00537923" w:rsidRDefault="005C5514">
            <w:r>
              <w:t>The four Strategic Petroleum Reserve sites: bayou_choctaw, big_hill, bryan_mound, west_hackberry</w:t>
            </w:r>
          </w:p>
        </w:tc>
      </w:tr>
      <w:tr w:rsidR="00537923" w14:paraId="46F6E111" w14:textId="77777777" w:rsidTr="00791C51">
        <w:tc>
          <w:tcPr>
            <w:tcW w:w="3152" w:type="dxa"/>
            <w:vAlign w:val="center"/>
          </w:tcPr>
          <w:p w14:paraId="72E39ECB" w14:textId="77777777" w:rsidR="00537923" w:rsidRDefault="005C5514">
            <w:r>
              <w:t>refinery</w:t>
            </w:r>
          </w:p>
        </w:tc>
        <w:tc>
          <w:tcPr>
            <w:tcW w:w="2405" w:type="dxa"/>
            <w:vAlign w:val="center"/>
          </w:tcPr>
          <w:p w14:paraId="214FD0E7" w14:textId="77777777" w:rsidR="00537923" w:rsidRDefault="005C5514">
            <w:r>
              <w:t>115</w:t>
            </w:r>
          </w:p>
        </w:tc>
        <w:tc>
          <w:tcPr>
            <w:tcW w:w="3369" w:type="dxa"/>
            <w:vAlign w:val="center"/>
          </w:tcPr>
          <w:p w14:paraId="0E0DEAD7" w14:textId="77777777" w:rsidR="00537923" w:rsidRDefault="005C5514">
            <w:r>
              <w:t>19 named refineries, 5 PADD residuals, and sub-aggregates totalling 24 active facilities</w:t>
            </w:r>
          </w:p>
        </w:tc>
      </w:tr>
      <w:tr w:rsidR="00537923" w14:paraId="0BB6B9B9" w14:textId="77777777" w:rsidTr="00791C51">
        <w:tc>
          <w:tcPr>
            <w:tcW w:w="3152" w:type="dxa"/>
            <w:vAlign w:val="center"/>
          </w:tcPr>
          <w:p w14:paraId="08253467" w14:textId="77777777" w:rsidR="00537923" w:rsidRDefault="005C5514">
            <w:r>
              <w:t>import_terminal</w:t>
            </w:r>
          </w:p>
        </w:tc>
        <w:tc>
          <w:tcPr>
            <w:tcW w:w="2405" w:type="dxa"/>
            <w:vAlign w:val="center"/>
          </w:tcPr>
          <w:p w14:paraId="16580420" w14:textId="77777777" w:rsidR="00537923" w:rsidRDefault="005C5514">
            <w:r>
              <w:t>8</w:t>
            </w:r>
          </w:p>
        </w:tc>
        <w:tc>
          <w:tcPr>
            <w:tcW w:w="3369" w:type="dxa"/>
            <w:vAlign w:val="center"/>
          </w:tcPr>
          <w:p w14:paraId="49A2F5A6" w14:textId="77777777" w:rsidR="00537923" w:rsidRDefault="005C5514">
            <w:r>
              <w:t>clearbrook plus four PADD-level import aggregates, two Canadian import aggregates, padd2_xstate</w:t>
            </w:r>
          </w:p>
        </w:tc>
      </w:tr>
      <w:tr w:rsidR="00537923" w14:paraId="2704BEA3" w14:textId="77777777" w:rsidTr="00791C51">
        <w:tc>
          <w:tcPr>
            <w:tcW w:w="3152" w:type="dxa"/>
            <w:vAlign w:val="center"/>
          </w:tcPr>
          <w:p w14:paraId="7BFFAE91" w14:textId="77777777" w:rsidR="00537923" w:rsidRDefault="005C5514">
            <w:r>
              <w:t>export_terminal</w:t>
            </w:r>
          </w:p>
        </w:tc>
        <w:tc>
          <w:tcPr>
            <w:tcW w:w="2405" w:type="dxa"/>
            <w:vAlign w:val="center"/>
          </w:tcPr>
          <w:p w14:paraId="1AD8F201" w14:textId="77777777" w:rsidR="00537923" w:rsidRDefault="005C5514">
            <w:r>
              <w:t>12</w:t>
            </w:r>
          </w:p>
        </w:tc>
        <w:tc>
          <w:tcPr>
            <w:tcW w:w="3369" w:type="dxa"/>
            <w:vAlign w:val="center"/>
          </w:tcPr>
          <w:p w14:paraId="0FC8D7A0" w14:textId="77777777" w:rsidR="00537923" w:rsidRDefault="005C5514">
            <w:r>
              <w:t>Ingleside, Houston-aggregate plus three sub-terminals, Nederland, LOOP, and five PADD-level export aggregates</w:t>
            </w:r>
          </w:p>
        </w:tc>
      </w:tr>
      <w:tr w:rsidR="00537923" w14:paraId="46A22659" w14:textId="77777777" w:rsidTr="00791C51">
        <w:tc>
          <w:tcPr>
            <w:tcW w:w="3152" w:type="dxa"/>
            <w:vAlign w:val="center"/>
          </w:tcPr>
          <w:p w14:paraId="7C123ED0" w14:textId="77777777" w:rsidR="00537923" w:rsidRDefault="005C5514">
            <w:r>
              <w:t>pipeline</w:t>
            </w:r>
          </w:p>
        </w:tc>
        <w:tc>
          <w:tcPr>
            <w:tcW w:w="2405" w:type="dxa"/>
            <w:vAlign w:val="center"/>
          </w:tcPr>
          <w:p w14:paraId="6300BC54" w14:textId="77777777" w:rsidR="00537923" w:rsidRDefault="005C5514">
            <w:r>
              <w:t>37</w:t>
            </w:r>
          </w:p>
        </w:tc>
        <w:tc>
          <w:tcPr>
            <w:tcW w:w="3369" w:type="dxa"/>
            <w:vAlign w:val="center"/>
          </w:tcPr>
          <w:p w14:paraId="2E45CBA4" w14:textId="77777777" w:rsidR="00537923" w:rsidRDefault="005C5514">
            <w:r>
              <w:t>20 named U.S.-internal lines, 4 cross-border lines, 12 inter-PADD aggregates, the new Bakken cross-state connector</w:t>
            </w:r>
          </w:p>
        </w:tc>
      </w:tr>
      <w:tr w:rsidR="00537923" w14:paraId="3C957A2A" w14:textId="77777777" w:rsidTr="00791C51">
        <w:tc>
          <w:tcPr>
            <w:tcW w:w="3152" w:type="dxa"/>
            <w:vAlign w:val="center"/>
          </w:tcPr>
          <w:p w14:paraId="55A60104" w14:textId="77777777" w:rsidR="00537923" w:rsidRDefault="005C5514">
            <w:r>
              <w:t>foreign_export_destination</w:t>
            </w:r>
          </w:p>
        </w:tc>
        <w:tc>
          <w:tcPr>
            <w:tcW w:w="2405" w:type="dxa"/>
            <w:vAlign w:val="center"/>
          </w:tcPr>
          <w:p w14:paraId="5C81EABE" w14:textId="77777777" w:rsidR="00537923" w:rsidRDefault="005C5514">
            <w:r>
              <w:t>1</w:t>
            </w:r>
          </w:p>
        </w:tc>
        <w:tc>
          <w:tcPr>
            <w:tcW w:w="3369" w:type="dxa"/>
            <w:vAlign w:val="center"/>
          </w:tcPr>
          <w:p w14:paraId="7F175143" w14:textId="77777777" w:rsidR="00537923" w:rsidRDefault="005C5514">
            <w:r>
              <w:t>Boundary sink: where U.S. exports physically leave the modelled system</w:t>
            </w:r>
          </w:p>
        </w:tc>
      </w:tr>
      <w:tr w:rsidR="00537923" w14:paraId="66E9E67F" w14:textId="77777777" w:rsidTr="00791C51">
        <w:tc>
          <w:tcPr>
            <w:tcW w:w="3152" w:type="dxa"/>
            <w:vAlign w:val="center"/>
          </w:tcPr>
          <w:p w14:paraId="4D7C7CCA" w14:textId="77777777" w:rsidR="00537923" w:rsidRDefault="005C5514">
            <w:r>
              <w:t>foreign_production_aggregate</w:t>
            </w:r>
          </w:p>
        </w:tc>
        <w:tc>
          <w:tcPr>
            <w:tcW w:w="2405" w:type="dxa"/>
            <w:vAlign w:val="center"/>
          </w:tcPr>
          <w:p w14:paraId="3BCC41ED" w14:textId="77777777" w:rsidR="00537923" w:rsidRDefault="005C5514">
            <w:r>
              <w:t>2</w:t>
            </w:r>
          </w:p>
        </w:tc>
        <w:tc>
          <w:tcPr>
            <w:tcW w:w="3369" w:type="dxa"/>
            <w:vAlign w:val="center"/>
          </w:tcPr>
          <w:p w14:paraId="2609F432" w14:textId="77777777" w:rsidR="00537923" w:rsidRDefault="005C5514">
            <w:r>
              <w:t>Boundary source: canadian_oil_sands and foreign_supply (non-Canadian)</w:t>
            </w:r>
          </w:p>
        </w:tc>
      </w:tr>
    </w:tbl>
    <w:p w14:paraId="136927FD" w14:textId="77777777" w:rsidR="004014F5" w:rsidRDefault="004014F5">
      <w:pPr>
        <w:spacing w:after="160" w:line="319" w:lineRule="auto"/>
        <w:jc w:val="both"/>
      </w:pPr>
    </w:p>
    <w:p w14:paraId="71FF0D72" w14:textId="38B5040D" w:rsidR="006E3777" w:rsidRDefault="006E3777">
      <w:pPr>
        <w:spacing w:after="160" w:line="319" w:lineRule="auto"/>
        <w:jc w:val="both"/>
        <w:rPr>
          <w:kern w:val="2"/>
          <w14:ligatures w14:val="standardContextual"/>
        </w:rPr>
      </w:pPr>
      <w:r>
        <w:t xml:space="preserve">The foreign supply boundary is visible per PADD indirectly. The framework does not model non-U.S. production at country resolution beyond foreign_supply and canadian_oil_sands as </w:t>
      </w:r>
      <w:r>
        <w:lastRenderedPageBreak/>
        <w:t>boundary aggregates, but EIA's import series report imports per PADD by origin country; these series bind to the corresponding PADD's import aggregate node (e.g. padd1_imports_agg, padd3_imports_agg), so the per-PADD foreign-supply contribution is recoverable through the partition tree even though the boundary node itself is non-partitioned.</w:t>
      </w:r>
    </w:p>
    <w:p w14:paraId="36BCFBE2" w14:textId="77777777" w:rsidR="008E1B31" w:rsidRDefault="005C5514">
      <w:pPr>
        <w:spacing w:after="160" w:line="320" w:lineRule="auto"/>
        <w:jc w:val="both"/>
      </w:pPr>
      <w:r>
        <w:t xml:space="preserve">A few of these categories warrant comment. The </w:t>
      </w:r>
      <w:r>
        <w:rPr>
          <w:b/>
          <w:bCs/>
        </w:rPr>
        <w:t>state residuals</w:t>
      </w:r>
      <w:r>
        <w:t xml:space="preserve"> (padd1_other through padd5_other) exist because EIA publishes PADD-level production totals that exceed the sum of the named basins and conventional fields within each PADD. The difference must be attributed to some node; the residual is that node. Its production is not enumerated but computed by closure — the PADD-level published total minus the sum of the named basins and conventional fields within that PADD — so that when a new physical sub-basin becomes individually named, it is split off as its own node and the residual shrinks by exactly that amount. The construction keeps the substitution traceable: at every step the residual is whatever the published total does not yet attribute to a named source.</w:t>
      </w:r>
    </w:p>
    <w:p w14:paraId="36BCFBE3" w14:textId="77777777" w:rsidR="008E1B31" w:rsidRDefault="005C5514">
      <w:pPr>
        <w:spacing w:after="160" w:line="320" w:lineRule="auto"/>
        <w:jc w:val="both"/>
      </w:pPr>
      <w:r>
        <w:t xml:space="preserve">The </w:t>
      </w:r>
      <w:r>
        <w:rPr>
          <w:b/>
          <w:bCs/>
        </w:rPr>
        <w:t>inter-PADD and import/export aggregates</w:t>
      </w:r>
      <w:r>
        <w:t xml:space="preserve"> are technically physical nodes — they have </w:t>
      </w:r>
      <w:r>
        <w:rPr>
          <w:rFonts w:ascii="Consolas" w:eastAsia="Consolas" w:hAnsi="Consolas" w:cs="Consolas"/>
        </w:rPr>
        <w:t>kind = 'physical'</w:t>
      </w:r>
      <w:r>
        <w:t>, an asset row, and concrete flow edges — but they aggregate over groups of named pipelines and terminals rather than denoting a single facility. They exist to give the partition tree (Section 5.6) a same-type child to point at, and they are the natural home for future per-grade or per-operator decomposition when that data becomes available.</w:t>
      </w:r>
    </w:p>
    <w:p w14:paraId="36BCFBE4" w14:textId="77777777" w:rsidR="008E1B31" w:rsidRDefault="005C5514">
      <w:pPr>
        <w:spacing w:after="160" w:line="320" w:lineRule="auto"/>
        <w:jc w:val="both"/>
      </w:pPr>
      <w:r>
        <w:t xml:space="preserve">The </w:t>
      </w:r>
      <w:r>
        <w:rPr>
          <w:b/>
          <w:bCs/>
        </w:rPr>
        <w:t>Bakken cross-state connector</w:t>
      </w:r>
      <w:r>
        <w:t xml:space="preserve"> (</w:t>
      </w:r>
      <w:r>
        <w:rPr>
          <w:rFonts w:ascii="Consolas" w:eastAsia="Consolas" w:hAnsi="Consolas" w:cs="Consolas"/>
        </w:rPr>
        <w:t>pipe_bakken_xstate</w:t>
      </w:r>
      <w:r>
        <w:t xml:space="preserve">, added in the eleventh migration pass) is a bidirectional pipeline-type node connecting </w:t>
      </w:r>
      <w:r>
        <w:rPr>
          <w:rFonts w:ascii="Consolas" w:eastAsia="Consolas" w:hAnsi="Consolas" w:cs="Consolas"/>
        </w:rPr>
        <w:t>bakken_nd_gathering</w:t>
      </w:r>
      <w:r>
        <w:t xml:space="preserve"> and </w:t>
      </w:r>
      <w:r>
        <w:rPr>
          <w:rFonts w:ascii="Consolas" w:eastAsia="Consolas" w:hAnsi="Consolas" w:cs="Consolas"/>
        </w:rPr>
        <w:t>bakken_mt_gathering</w:t>
      </w:r>
      <w:r>
        <w:t>. It models the real midstream pooling between the North Dakota and Montana halves of the Bakken basin, operated by a consortium of midstream companies. None of its four flow variables (two inflows, two outflows) is observed in public data; all four are latent in the starter scenario, with the constraint ΣF_in = ΣF_out at the connector following from the pipeline node-type defaults.</w:t>
      </w:r>
    </w:p>
    <w:p w14:paraId="36BCFBE5" w14:textId="77777777" w:rsidR="008E1B31" w:rsidRDefault="005C5514">
      <w:pPr>
        <w:pStyle w:val="Heading2"/>
      </w:pPr>
      <w:r>
        <w:t>5.4 Abstract nodes</w:t>
      </w:r>
    </w:p>
    <w:p w14:paraId="36BCFBE6" w14:textId="77777777" w:rsidR="008E1B31" w:rsidRDefault="005C5514">
      <w:pPr>
        <w:spacing w:after="160" w:line="320" w:lineRule="auto"/>
        <w:jc w:val="both"/>
      </w:pPr>
      <w:r>
        <w:t xml:space="preserve">Abstract nodes do not represent physical assets. They are aggregation views over physical nodes, providing the substrate for partition rollups, data attribution at coarser resolutions than the physical layer, and the consistency claims developed in Chapter 7. They have </w:t>
      </w:r>
      <w:r>
        <w:rPr>
          <w:rFonts w:ascii="Consolas" w:eastAsia="Consolas" w:hAnsi="Consolas" w:cs="Consolas"/>
        </w:rPr>
        <w:t>kind = 'abstract'</w:t>
      </w:r>
      <w:r>
        <w:t xml:space="preserve"> and no flow edges of their own; their relationships to physical nodes are through </w:t>
      </w:r>
      <w:r>
        <w:rPr>
          <w:rFonts w:ascii="Consolas" w:eastAsia="Consolas" w:hAnsi="Consolas" w:cs="Consolas"/>
        </w:rPr>
        <w:t>formula_inputs</w:t>
      </w:r>
      <w:r>
        <w:t xml:space="preserve"> references on their variables.</w:t>
      </w:r>
    </w:p>
    <w:p w14:paraId="60B3D3DC" w14:textId="0CF06229" w:rsidR="006E3777" w:rsidRDefault="006E3777">
      <w:pPr>
        <w:spacing w:after="160" w:line="319" w:lineRule="auto"/>
        <w:jc w:val="both"/>
        <w:rPr>
          <w:kern w:val="2"/>
          <w14:ligatures w14:val="standardContextual"/>
        </w:rPr>
      </w:pPr>
      <w:r>
        <w:t xml:space="preserve">The state_residual nodes (padd1_other through padd5_other) </w:t>
      </w:r>
      <w:r w:rsidR="00130B7F">
        <w:t>deserves</w:t>
      </w:r>
      <w:r>
        <w:t xml:space="preserve"> a separate note. They represent the production volume that EIA reports at PADD level but cannot allocate to any named basin or state in the current model — the tail of small, unmodelled producers that EIA aggregates implicitly into the PADD total. They are physical assets rather than abstract aggregates because they carry their own production variable and they participate in the partition (the PADD-view production sums the named contributors plus the residual). When a new named source becomes available — a new shale basin, a previously unmodelled state, </w:t>
      </w:r>
      <w:r>
        <w:lastRenderedPageBreak/>
        <w:t>an additional EIA disaggregation series — that source is split off from the residual as a new physical node and the residual shrinks accordingly. The pattern is the same one used at the boundary nodes: a structural placeholder for an aggregate the framework cannot currently decompose, with a clear path to refinement when the data does decompose it.</w:t>
      </w:r>
    </w:p>
    <w:tbl>
      <w:tblPr>
        <w:tblStyle w:val="TableGrid"/>
        <w:tblW w:w="9067" w:type="dxa"/>
        <w:tblLook w:val="04A0" w:firstRow="1" w:lastRow="0" w:firstColumn="1" w:lastColumn="0" w:noHBand="0" w:noVBand="1"/>
      </w:tblPr>
      <w:tblGrid>
        <w:gridCol w:w="3003"/>
        <w:gridCol w:w="2913"/>
        <w:gridCol w:w="3151"/>
      </w:tblGrid>
      <w:tr w:rsidR="00537923" w14:paraId="740DFF9C" w14:textId="77777777">
        <w:trPr>
          <w:tblHeader/>
        </w:trPr>
        <w:tc>
          <w:tcPr>
            <w:tcW w:w="3022" w:type="dxa"/>
            <w:shd w:val="clear" w:color="auto" w:fill="D9E2F3"/>
            <w:vAlign w:val="center"/>
          </w:tcPr>
          <w:p w14:paraId="363C8927" w14:textId="77777777" w:rsidR="00537923" w:rsidRDefault="005C5514">
            <w:pPr>
              <w:rPr>
                <w:b/>
              </w:rPr>
            </w:pPr>
            <w:r>
              <w:rPr>
                <w:b/>
              </w:rPr>
              <w:t>Subtype</w:t>
            </w:r>
          </w:p>
        </w:tc>
        <w:tc>
          <w:tcPr>
            <w:tcW w:w="3022" w:type="dxa"/>
            <w:shd w:val="clear" w:color="auto" w:fill="D9E2F3"/>
            <w:vAlign w:val="center"/>
          </w:tcPr>
          <w:p w14:paraId="4B66700A" w14:textId="77777777" w:rsidR="00537923" w:rsidRDefault="005C5514">
            <w:pPr>
              <w:rPr>
                <w:b/>
              </w:rPr>
            </w:pPr>
            <w:r>
              <w:rPr>
                <w:b/>
              </w:rPr>
              <w:t>Count</w:t>
            </w:r>
          </w:p>
        </w:tc>
        <w:tc>
          <w:tcPr>
            <w:tcW w:w="3023" w:type="dxa"/>
            <w:shd w:val="clear" w:color="auto" w:fill="D9E2F3"/>
            <w:vAlign w:val="center"/>
          </w:tcPr>
          <w:p w14:paraId="33E5056D" w14:textId="77777777" w:rsidR="00537923" w:rsidRDefault="005C5514">
            <w:pPr>
              <w:rPr>
                <w:b/>
              </w:rPr>
            </w:pPr>
            <w:r>
              <w:rPr>
                <w:b/>
              </w:rPr>
              <w:t>Role</w:t>
            </w:r>
          </w:p>
        </w:tc>
      </w:tr>
      <w:tr w:rsidR="00537923" w14:paraId="6D4CE2F7" w14:textId="77777777">
        <w:tc>
          <w:tcPr>
            <w:tcW w:w="3022" w:type="dxa"/>
            <w:vAlign w:val="center"/>
          </w:tcPr>
          <w:p w14:paraId="5813FBC8" w14:textId="77777777" w:rsidR="00537923" w:rsidRDefault="005C5514">
            <w:r>
              <w:t>region_view</w:t>
            </w:r>
          </w:p>
        </w:tc>
        <w:tc>
          <w:tcPr>
            <w:tcW w:w="3022" w:type="dxa"/>
            <w:vAlign w:val="center"/>
          </w:tcPr>
          <w:p w14:paraId="11AF0818" w14:textId="77777777" w:rsidR="00537923" w:rsidRDefault="005C5514">
            <w:r>
              <w:t>6</w:t>
            </w:r>
          </w:p>
        </w:tc>
        <w:tc>
          <w:tcPr>
            <w:tcW w:w="3023" w:type="dxa"/>
            <w:vAlign w:val="center"/>
          </w:tcPr>
          <w:p w14:paraId="02D62B6F" w14:textId="77777777" w:rsidR="00537923" w:rsidRDefault="005C5514">
            <w:r>
              <w:t>usa_view, padd1_view through padd5_view: the geographic partition spine</w:t>
            </w:r>
          </w:p>
        </w:tc>
      </w:tr>
      <w:tr w:rsidR="00537923" w14:paraId="0DF5D191" w14:textId="77777777">
        <w:tc>
          <w:tcPr>
            <w:tcW w:w="3022" w:type="dxa"/>
            <w:vAlign w:val="center"/>
          </w:tcPr>
          <w:p w14:paraId="39AC0CED" w14:textId="77777777" w:rsidR="00537923" w:rsidRDefault="005C5514">
            <w:r>
              <w:t>refining_district_view</w:t>
            </w:r>
          </w:p>
        </w:tc>
        <w:tc>
          <w:tcPr>
            <w:tcW w:w="3022" w:type="dxa"/>
            <w:vAlign w:val="center"/>
          </w:tcPr>
          <w:p w14:paraId="1878BFEF" w14:textId="77777777" w:rsidR="00537923" w:rsidRDefault="005C5514">
            <w:r>
              <w:t>10</w:t>
            </w:r>
          </w:p>
        </w:tc>
        <w:tc>
          <w:tcPr>
            <w:tcW w:w="3023" w:type="dxa"/>
            <w:vAlign w:val="center"/>
          </w:tcPr>
          <w:p w14:paraId="6B67F383" w14:textId="77777777" w:rsidR="00537923" w:rsidRDefault="005C5514">
            <w:r>
              <w:t>EIA refining-district roll-ups (3A, 3B, 3C, and so on across the PADDs)</w:t>
            </w:r>
          </w:p>
        </w:tc>
      </w:tr>
      <w:tr w:rsidR="00537923" w14:paraId="7A288D50" w14:textId="77777777">
        <w:tc>
          <w:tcPr>
            <w:tcW w:w="3022" w:type="dxa"/>
            <w:vAlign w:val="center"/>
          </w:tcPr>
          <w:p w14:paraId="2A756D96" w14:textId="77777777" w:rsidR="00537923" w:rsidRDefault="005C5514">
            <w:r>
              <w:t>state_view</w:t>
            </w:r>
          </w:p>
        </w:tc>
        <w:tc>
          <w:tcPr>
            <w:tcW w:w="3022" w:type="dxa"/>
            <w:vAlign w:val="center"/>
          </w:tcPr>
          <w:p w14:paraId="75F9D906" w14:textId="77777777" w:rsidR="00537923" w:rsidRDefault="005C5514">
            <w:r>
              <w:t>2</w:t>
            </w:r>
          </w:p>
        </w:tc>
        <w:tc>
          <w:tcPr>
            <w:tcW w:w="3023" w:type="dxa"/>
            <w:vAlign w:val="center"/>
          </w:tcPr>
          <w:p w14:paraId="0D07AA9A" w14:textId="77777777" w:rsidR="00537923" w:rsidRDefault="005C5514">
            <w:r>
              <w:t>texas_state_view, montana_state_view: roll-ups for sub-PADD cross-checks</w:t>
            </w:r>
          </w:p>
        </w:tc>
      </w:tr>
      <w:tr w:rsidR="00537923" w14:paraId="636F924D" w14:textId="77777777">
        <w:tc>
          <w:tcPr>
            <w:tcW w:w="3022" w:type="dxa"/>
            <w:vAlign w:val="center"/>
          </w:tcPr>
          <w:p w14:paraId="00C23F2F" w14:textId="77777777" w:rsidR="00537923" w:rsidRDefault="005C5514">
            <w:r>
              <w:t>observational_aggregate</w:t>
            </w:r>
          </w:p>
        </w:tc>
        <w:tc>
          <w:tcPr>
            <w:tcW w:w="3022" w:type="dxa"/>
            <w:vAlign w:val="center"/>
          </w:tcPr>
          <w:p w14:paraId="36FEB123" w14:textId="77777777" w:rsidR="00537923" w:rsidRDefault="005C5514">
            <w:r>
              <w:t>4</w:t>
            </w:r>
          </w:p>
        </w:tc>
        <w:tc>
          <w:tcPr>
            <w:tcW w:w="3023" w:type="dxa"/>
            <w:vAlign w:val="center"/>
          </w:tcPr>
          <w:p w14:paraId="63DE54FE" w14:textId="77777777" w:rsidR="00537923" w:rsidRDefault="005C5514">
            <w:r>
              <w:t>spr_total and basin aggregates (permian, bakken, eagle_ford) when used as constraint roll-ups</w:t>
            </w:r>
          </w:p>
        </w:tc>
      </w:tr>
      <w:tr w:rsidR="00537923" w14:paraId="2F3136AD" w14:textId="77777777">
        <w:tc>
          <w:tcPr>
            <w:tcW w:w="3022" w:type="dxa"/>
            <w:vAlign w:val="center"/>
          </w:tcPr>
          <w:p w14:paraId="4A4C81BE" w14:textId="77777777" w:rsidR="00537923" w:rsidRDefault="005C5514">
            <w:r>
              <w:t>usa_subtotal_view</w:t>
            </w:r>
          </w:p>
        </w:tc>
        <w:tc>
          <w:tcPr>
            <w:tcW w:w="3022" w:type="dxa"/>
            <w:vAlign w:val="center"/>
          </w:tcPr>
          <w:p w14:paraId="741A33D5" w14:textId="77777777" w:rsidR="00537923" w:rsidRDefault="005C5514">
            <w:r>
              <w:t>1</w:t>
            </w:r>
          </w:p>
        </w:tc>
        <w:tc>
          <w:tcPr>
            <w:tcW w:w="3023" w:type="dxa"/>
            <w:vAlign w:val="center"/>
          </w:tcPr>
          <w:p w14:paraId="2C435C1B" w14:textId="77777777" w:rsidR="00537923" w:rsidRDefault="005C5514">
            <w:r>
              <w:t>usa_lower48_excl_gom_view: STEO-style subtotal excluding the Gulf of America</w:t>
            </w:r>
          </w:p>
        </w:tc>
      </w:tr>
    </w:tbl>
    <w:p w14:paraId="6AF8F2C7" w14:textId="77777777" w:rsidR="00680636" w:rsidRDefault="00680636">
      <w:pPr>
        <w:spacing w:after="160" w:line="320" w:lineRule="auto"/>
        <w:jc w:val="both"/>
      </w:pPr>
    </w:p>
    <w:p w14:paraId="36BCFBEE" w14:textId="6B7E6516" w:rsidR="008E1B31" w:rsidRDefault="005C5514">
      <w:pPr>
        <w:spacing w:after="160" w:line="320" w:lineRule="auto"/>
        <w:jc w:val="both"/>
      </w:pPr>
      <w:r>
        <w:t>The reason region_view nodes are abstract rather than physical is that a PADD is an administrative grouping, not an operating asset. No piece of equipment can be pointed at and called "PADD 2". EIA reports aggregated data at this scale, and the framework needs a node that can carry that aggregated data, but it is structurally distinct from a refinery or a pipeline. Treating PADDs as physical would invite the confusion that Corollary B is designed to prevent: it would be unclear whether the PADD's outflow to its neighbour is a thing in its own right or merely the sum of the underlying pipelines.</w:t>
      </w:r>
    </w:p>
    <w:p w14:paraId="36BCFBEF" w14:textId="77777777" w:rsidR="008E1B31" w:rsidRDefault="005C5514">
      <w:pPr>
        <w:spacing w:after="160" w:line="320" w:lineRule="auto"/>
        <w:jc w:val="both"/>
      </w:pPr>
      <w:r>
        <w:t>The refining-district nodes are abstract for the same reason: refining districts group refineries for reporting purposes; they are not co-owned, do not share custody transfer mechanics, and do not have a single physical address. They exist to host the district-level consumption series that EIA publishes and to enable the partition identity that PADD-level consumption equals the sum of its constituent district consumptions.</w:t>
      </w:r>
    </w:p>
    <w:p w14:paraId="11F7C3A2" w14:textId="77777777" w:rsidR="008E1B31" w:rsidRDefault="005C5514">
      <w:pPr>
        <w:spacing w:after="160" w:line="320" w:lineRule="auto"/>
        <w:jc w:val="both"/>
      </w:pPr>
      <w:r>
        <w:t xml:space="preserve">A further family of abstract aggregates is the per-PADD stock decomposition. EIA publishes each PADD's commercial stocks in two buckets: tank farms and pipelines (series MCRSFP{N}1) and refinery stocks (series MCRRSP{N}1). PADD 3 also carries the Strategic Petroleum Reserve. The framework materialises the split as two observational aggregate nodes per PADD, padd{N}_tank_farms_pipelines and padd{N}_refinery_stocks, each TS-bound to the corresponding EIA series. Their formula_inputs declare the physical constituents: named storage hubs and gathering nodes feed the tank-farm side; refineries feed the refinery-stocks side. The inventory variable on padd{N}_view then lists the two decomposition </w:t>
      </w:r>
      <w:r>
        <w:lastRenderedPageBreak/>
        <w:t>aggregates as its own formula_inputs (plus spr_total for PADD 3), so the EIA stock identity MCRSTP{N} = MCRSFP{N} + MCRRSP{N} (+SPR) is materialised directly in the partition tree.</w:t>
      </w:r>
    </w:p>
    <w:p w14:paraId="36BCFBF0" w14:textId="77777777" w:rsidR="008E1B31" w:rsidRDefault="005C5514">
      <w:pPr>
        <w:pStyle w:val="Heading2"/>
      </w:pPr>
      <w:r>
        <w:t>5.5 Boundary nodes</w:t>
      </w:r>
    </w:p>
    <w:p w14:paraId="36BCFBF1" w14:textId="77777777" w:rsidR="008E1B31" w:rsidRDefault="005C5514">
      <w:pPr>
        <w:spacing w:after="160" w:line="320" w:lineRule="auto"/>
        <w:jc w:val="both"/>
      </w:pPr>
      <w:r>
        <w:t>Four nodes sit on the boundary of the modelled system. They represent the points at which crude oil enters or leaves the U.S. system, and they are kept structurally distinct from the partition spine.</w:t>
      </w:r>
    </w:p>
    <w:tbl>
      <w:tblPr>
        <w:tblStyle w:val="TableGrid"/>
        <w:tblW w:w="9067" w:type="dxa"/>
        <w:tblLook w:val="04A0" w:firstRow="1" w:lastRow="0" w:firstColumn="1" w:lastColumn="0" w:noHBand="0" w:noVBand="1"/>
      </w:tblPr>
      <w:tblGrid>
        <w:gridCol w:w="3003"/>
        <w:gridCol w:w="3152"/>
        <w:gridCol w:w="2912"/>
      </w:tblGrid>
      <w:tr w:rsidR="00537923" w14:paraId="4502E462" w14:textId="77777777">
        <w:trPr>
          <w:tblHeader/>
        </w:trPr>
        <w:tc>
          <w:tcPr>
            <w:tcW w:w="3022" w:type="dxa"/>
            <w:shd w:val="clear" w:color="auto" w:fill="D9E2F3"/>
            <w:vAlign w:val="center"/>
          </w:tcPr>
          <w:p w14:paraId="0E0B4D8A" w14:textId="77777777" w:rsidR="00537923" w:rsidRDefault="005C5514">
            <w:pPr>
              <w:rPr>
                <w:b/>
              </w:rPr>
            </w:pPr>
            <w:r>
              <w:rPr>
                <w:b/>
              </w:rPr>
              <w:t>Node</w:t>
            </w:r>
          </w:p>
        </w:tc>
        <w:tc>
          <w:tcPr>
            <w:tcW w:w="3022" w:type="dxa"/>
            <w:shd w:val="clear" w:color="auto" w:fill="D9E2F3"/>
            <w:vAlign w:val="center"/>
          </w:tcPr>
          <w:p w14:paraId="62AA4D92" w14:textId="77777777" w:rsidR="00537923" w:rsidRDefault="005C5514">
            <w:pPr>
              <w:rPr>
                <w:b/>
              </w:rPr>
            </w:pPr>
            <w:r>
              <w:rPr>
                <w:b/>
              </w:rPr>
              <w:t>Subtype</w:t>
            </w:r>
          </w:p>
        </w:tc>
        <w:tc>
          <w:tcPr>
            <w:tcW w:w="3023" w:type="dxa"/>
            <w:shd w:val="clear" w:color="auto" w:fill="D9E2F3"/>
            <w:vAlign w:val="center"/>
          </w:tcPr>
          <w:p w14:paraId="3A6EBAD9" w14:textId="77777777" w:rsidR="00537923" w:rsidRDefault="005C5514">
            <w:pPr>
              <w:rPr>
                <w:b/>
              </w:rPr>
            </w:pPr>
            <w:r>
              <w:rPr>
                <w:b/>
              </w:rPr>
              <w:t>Role</w:t>
            </w:r>
          </w:p>
        </w:tc>
      </w:tr>
      <w:tr w:rsidR="00537923" w14:paraId="7306069A" w14:textId="77777777">
        <w:tc>
          <w:tcPr>
            <w:tcW w:w="3022" w:type="dxa"/>
            <w:vAlign w:val="center"/>
          </w:tcPr>
          <w:p w14:paraId="1B005D5E" w14:textId="77777777" w:rsidR="00537923" w:rsidRDefault="005C5514">
            <w:r>
              <w:t>foreign_supply</w:t>
            </w:r>
          </w:p>
        </w:tc>
        <w:tc>
          <w:tcPr>
            <w:tcW w:w="3022" w:type="dxa"/>
            <w:vAlign w:val="center"/>
          </w:tcPr>
          <w:p w14:paraId="780AA9D9" w14:textId="77777777" w:rsidR="00537923" w:rsidRDefault="005C5514">
            <w:r>
              <w:t>foreign_production_aggregate</w:t>
            </w:r>
          </w:p>
        </w:tc>
        <w:tc>
          <w:tcPr>
            <w:tcW w:w="3023" w:type="dxa"/>
            <w:vAlign w:val="center"/>
          </w:tcPr>
          <w:p w14:paraId="4C22EDB5" w14:textId="77777777" w:rsidR="00537923" w:rsidRDefault="005C5514">
            <w:r>
              <w:t>All non-Canadian foreign crude flowing into U.S. import terminals. Boundary source; foreign-side mass balance is not modelled</w:t>
            </w:r>
          </w:p>
        </w:tc>
      </w:tr>
      <w:tr w:rsidR="00537923" w14:paraId="10CADD89" w14:textId="77777777">
        <w:tc>
          <w:tcPr>
            <w:tcW w:w="3022" w:type="dxa"/>
            <w:vAlign w:val="center"/>
          </w:tcPr>
          <w:p w14:paraId="49383795" w14:textId="77777777" w:rsidR="00537923" w:rsidRDefault="005C5514">
            <w:r>
              <w:t>canadian_oil_sands</w:t>
            </w:r>
          </w:p>
        </w:tc>
        <w:tc>
          <w:tcPr>
            <w:tcW w:w="3022" w:type="dxa"/>
            <w:vAlign w:val="center"/>
          </w:tcPr>
          <w:p w14:paraId="0CB92FDD" w14:textId="77777777" w:rsidR="00537923" w:rsidRDefault="005C5514">
            <w:r>
              <w:t>foreign_production_aggregate</w:t>
            </w:r>
          </w:p>
        </w:tc>
        <w:tc>
          <w:tcPr>
            <w:tcW w:w="3023" w:type="dxa"/>
            <w:vAlign w:val="center"/>
          </w:tcPr>
          <w:p w14:paraId="376DF7DE" w14:textId="77777777" w:rsidR="00537923" w:rsidRDefault="005C5514">
            <w:r>
              <w:t>All Canadian crude entering the U.S. via Mainline, Keystone, Express+Platte, and TMX (when active). Boundary source</w:t>
            </w:r>
          </w:p>
        </w:tc>
      </w:tr>
      <w:tr w:rsidR="00537923" w14:paraId="7F7E96AC" w14:textId="77777777">
        <w:tc>
          <w:tcPr>
            <w:tcW w:w="3022" w:type="dxa"/>
            <w:vAlign w:val="center"/>
          </w:tcPr>
          <w:p w14:paraId="51A19B19" w14:textId="77777777" w:rsidR="00537923" w:rsidRDefault="005C5514">
            <w:r>
              <w:t>foreign_export_destination</w:t>
            </w:r>
          </w:p>
        </w:tc>
        <w:tc>
          <w:tcPr>
            <w:tcW w:w="3022" w:type="dxa"/>
            <w:vAlign w:val="center"/>
          </w:tcPr>
          <w:p w14:paraId="3FC7EF1D" w14:textId="77777777" w:rsidR="00537923" w:rsidRDefault="005C5514">
            <w:r>
              <w:t>foreign_export_destination</w:t>
            </w:r>
          </w:p>
        </w:tc>
        <w:tc>
          <w:tcPr>
            <w:tcW w:w="3023" w:type="dxa"/>
            <w:vAlign w:val="center"/>
          </w:tcPr>
          <w:p w14:paraId="742D0DFD" w14:textId="77777777" w:rsidR="00537923" w:rsidRDefault="005C5514">
            <w:r>
              <w:t>Boundary sink. All U.S. crude exports flow into this node; the framework does not model where they go from there</w:t>
            </w:r>
          </w:p>
        </w:tc>
      </w:tr>
      <w:tr w:rsidR="00537923" w14:paraId="79BF3736" w14:textId="77777777">
        <w:tc>
          <w:tcPr>
            <w:tcW w:w="3022" w:type="dxa"/>
            <w:vAlign w:val="center"/>
          </w:tcPr>
          <w:p w14:paraId="366736C0" w14:textId="77777777" w:rsidR="00537923" w:rsidRDefault="005C5514">
            <w:r>
              <w:t>spr_total</w:t>
            </w:r>
          </w:p>
        </w:tc>
        <w:tc>
          <w:tcPr>
            <w:tcW w:w="3022" w:type="dxa"/>
            <w:vAlign w:val="center"/>
          </w:tcPr>
          <w:p w14:paraId="30AC3DBD" w14:textId="77777777" w:rsidR="00537923" w:rsidRDefault="005C5514">
            <w:r>
              <w:t>observational_aggregate</w:t>
            </w:r>
          </w:p>
        </w:tc>
        <w:tc>
          <w:tcPr>
            <w:tcW w:w="3023" w:type="dxa"/>
            <w:vAlign w:val="center"/>
          </w:tcPr>
          <w:p w14:paraId="5AC95B44" w14:textId="77777777" w:rsidR="00537923" w:rsidRDefault="005C5514">
            <w:r>
              <w:t>Sum of the four SPR sites. Used for constraint cross-checks, not as a partition member</w:t>
            </w:r>
          </w:p>
        </w:tc>
      </w:tr>
    </w:tbl>
    <w:p w14:paraId="4F066FEE" w14:textId="77777777" w:rsidR="00501A09" w:rsidRDefault="00501A09">
      <w:pPr>
        <w:spacing w:after="160" w:line="320" w:lineRule="auto"/>
        <w:jc w:val="both"/>
      </w:pPr>
    </w:p>
    <w:p w14:paraId="36BCFBF8" w14:textId="7FD95107" w:rsidR="008E1B31" w:rsidRDefault="005C5514">
      <w:pPr>
        <w:spacing w:after="160" w:line="320" w:lineRule="auto"/>
        <w:jc w:val="both"/>
      </w:pPr>
      <w:r>
        <w:t>The boundary nodes carry inflow or outflow edges to the corresponding U.S. nodes (foreign_supply has outflow edges to PADD-level import aggregates; foreign_export_destination has inflow edges from each named export terminal), but they do not themselves participate in the partition closure tests. They are sources and sinks rather than partition members.</w:t>
      </w:r>
    </w:p>
    <w:p w14:paraId="36BCFBF9" w14:textId="77777777" w:rsidR="008E1B31" w:rsidRDefault="005C5514">
      <w:pPr>
        <w:pStyle w:val="Heading2"/>
      </w:pPr>
      <w:r>
        <w:t>5.6 Variables</w:t>
      </w:r>
    </w:p>
    <w:p w14:paraId="36BCFBFA" w14:textId="77777777" w:rsidR="008E1B31" w:rsidRDefault="005C5514">
      <w:pPr>
        <w:spacing w:after="160" w:line="320" w:lineRule="auto"/>
        <w:jc w:val="both"/>
      </w:pPr>
      <w:r>
        <w:t>Variables are the unit of data attribution in the framework. Every node carries one variable per (variable type, commodity, related node) tuple. The seven variable types are:</w:t>
      </w:r>
    </w:p>
    <w:tbl>
      <w:tblPr>
        <w:tblStyle w:val="TableGrid"/>
        <w:tblW w:w="9067" w:type="dxa"/>
        <w:tblLook w:val="04A0" w:firstRow="1" w:lastRow="0" w:firstColumn="1" w:lastColumn="0" w:noHBand="0" w:noVBand="1"/>
      </w:tblPr>
      <w:tblGrid>
        <w:gridCol w:w="2266"/>
        <w:gridCol w:w="2266"/>
        <w:gridCol w:w="2266"/>
        <w:gridCol w:w="2269"/>
      </w:tblGrid>
      <w:tr w:rsidR="00537923" w14:paraId="164ACE0C" w14:textId="77777777">
        <w:trPr>
          <w:tblHeader/>
        </w:trPr>
        <w:tc>
          <w:tcPr>
            <w:tcW w:w="2266" w:type="dxa"/>
            <w:shd w:val="clear" w:color="auto" w:fill="D9E2F3"/>
            <w:vAlign w:val="center"/>
          </w:tcPr>
          <w:p w14:paraId="37B607F5" w14:textId="77777777" w:rsidR="00537923" w:rsidRDefault="005C5514">
            <w:pPr>
              <w:rPr>
                <w:b/>
              </w:rPr>
            </w:pPr>
            <w:r>
              <w:rPr>
                <w:b/>
              </w:rPr>
              <w:t>Type</w:t>
            </w:r>
          </w:p>
        </w:tc>
        <w:tc>
          <w:tcPr>
            <w:tcW w:w="2266" w:type="dxa"/>
            <w:shd w:val="clear" w:color="auto" w:fill="D9E2F3"/>
            <w:vAlign w:val="center"/>
          </w:tcPr>
          <w:p w14:paraId="5D5C06DD" w14:textId="77777777" w:rsidR="00537923" w:rsidRDefault="005C5514">
            <w:pPr>
              <w:rPr>
                <w:b/>
              </w:rPr>
            </w:pPr>
            <w:r>
              <w:rPr>
                <w:b/>
              </w:rPr>
              <w:t>Symbol</w:t>
            </w:r>
          </w:p>
        </w:tc>
        <w:tc>
          <w:tcPr>
            <w:tcW w:w="2266" w:type="dxa"/>
            <w:shd w:val="clear" w:color="auto" w:fill="D9E2F3"/>
            <w:vAlign w:val="center"/>
          </w:tcPr>
          <w:p w14:paraId="2E80235A" w14:textId="77777777" w:rsidR="00537923" w:rsidRDefault="005C5514">
            <w:pPr>
              <w:rPr>
                <w:b/>
              </w:rPr>
            </w:pPr>
            <w:r>
              <w:rPr>
                <w:b/>
              </w:rPr>
              <w:t>Description</w:t>
            </w:r>
          </w:p>
        </w:tc>
        <w:tc>
          <w:tcPr>
            <w:tcW w:w="2269" w:type="dxa"/>
            <w:shd w:val="clear" w:color="auto" w:fill="D9E2F3"/>
            <w:vAlign w:val="center"/>
          </w:tcPr>
          <w:p w14:paraId="04D91016" w14:textId="77777777" w:rsidR="00537923" w:rsidRDefault="005C5514">
            <w:pPr>
              <w:rPr>
                <w:b/>
              </w:rPr>
            </w:pPr>
            <w:r>
              <w:rPr>
                <w:b/>
              </w:rPr>
              <w:t>Relational</w:t>
            </w:r>
          </w:p>
        </w:tc>
      </w:tr>
      <w:tr w:rsidR="00537923" w14:paraId="0CF32FE1" w14:textId="77777777">
        <w:tc>
          <w:tcPr>
            <w:tcW w:w="2266" w:type="dxa"/>
            <w:vAlign w:val="center"/>
          </w:tcPr>
          <w:p w14:paraId="4ECF62B9" w14:textId="77777777" w:rsidR="00537923" w:rsidRDefault="005C5514">
            <w:r>
              <w:t>production</w:t>
            </w:r>
          </w:p>
        </w:tc>
        <w:tc>
          <w:tcPr>
            <w:tcW w:w="2266" w:type="dxa"/>
            <w:vAlign w:val="center"/>
          </w:tcPr>
          <w:p w14:paraId="050B2E2D" w14:textId="77777777" w:rsidR="00537923" w:rsidRDefault="005C5514">
            <w:r>
              <w:t>P</w:t>
            </w:r>
          </w:p>
        </w:tc>
        <w:tc>
          <w:tcPr>
            <w:tcW w:w="2266" w:type="dxa"/>
            <w:vAlign w:val="center"/>
          </w:tcPr>
          <w:p w14:paraId="18F71518" w14:textId="77777777" w:rsidR="00537923" w:rsidRDefault="005C5514">
            <w:r>
              <w:t>Crude produced at this node</w:t>
            </w:r>
          </w:p>
        </w:tc>
        <w:tc>
          <w:tcPr>
            <w:tcW w:w="2269" w:type="dxa"/>
            <w:vAlign w:val="center"/>
          </w:tcPr>
          <w:p w14:paraId="59F0FBA8" w14:textId="77777777" w:rsidR="00537923" w:rsidRDefault="005C5514">
            <w:r>
              <w:t>no</w:t>
            </w:r>
          </w:p>
        </w:tc>
      </w:tr>
      <w:tr w:rsidR="00537923" w14:paraId="12B1B004" w14:textId="77777777">
        <w:tc>
          <w:tcPr>
            <w:tcW w:w="2266" w:type="dxa"/>
            <w:vAlign w:val="center"/>
          </w:tcPr>
          <w:p w14:paraId="68808807" w14:textId="77777777" w:rsidR="00537923" w:rsidRDefault="005C5514">
            <w:r>
              <w:t>consumption</w:t>
            </w:r>
          </w:p>
        </w:tc>
        <w:tc>
          <w:tcPr>
            <w:tcW w:w="2266" w:type="dxa"/>
            <w:vAlign w:val="center"/>
          </w:tcPr>
          <w:p w14:paraId="25EF64B6" w14:textId="77777777" w:rsidR="00537923" w:rsidRDefault="005C5514">
            <w:r>
              <w:t>C</w:t>
            </w:r>
          </w:p>
        </w:tc>
        <w:tc>
          <w:tcPr>
            <w:tcW w:w="2266" w:type="dxa"/>
            <w:vAlign w:val="center"/>
          </w:tcPr>
          <w:p w14:paraId="6BF770BB" w14:textId="77777777" w:rsidR="00537923" w:rsidRDefault="005C5514">
            <w:r>
              <w:t>Crude consumed at this node (refinery throughput)</w:t>
            </w:r>
          </w:p>
        </w:tc>
        <w:tc>
          <w:tcPr>
            <w:tcW w:w="2269" w:type="dxa"/>
            <w:vAlign w:val="center"/>
          </w:tcPr>
          <w:p w14:paraId="0EACB53D" w14:textId="77777777" w:rsidR="00537923" w:rsidRDefault="005C5514">
            <w:r>
              <w:t>no</w:t>
            </w:r>
          </w:p>
        </w:tc>
      </w:tr>
      <w:tr w:rsidR="00537923" w14:paraId="764982B7" w14:textId="77777777">
        <w:tc>
          <w:tcPr>
            <w:tcW w:w="2266" w:type="dxa"/>
            <w:vAlign w:val="center"/>
          </w:tcPr>
          <w:p w14:paraId="45BA4E89" w14:textId="77777777" w:rsidR="00537923" w:rsidRDefault="005C5514">
            <w:r>
              <w:lastRenderedPageBreak/>
              <w:t>inventory</w:t>
            </w:r>
          </w:p>
        </w:tc>
        <w:tc>
          <w:tcPr>
            <w:tcW w:w="2266" w:type="dxa"/>
            <w:vAlign w:val="center"/>
          </w:tcPr>
          <w:p w14:paraId="1763C9BE" w14:textId="77777777" w:rsidR="00537923" w:rsidRDefault="005C5514">
            <w:r>
              <w:t>S</w:t>
            </w:r>
          </w:p>
        </w:tc>
        <w:tc>
          <w:tcPr>
            <w:tcW w:w="2266" w:type="dxa"/>
            <w:vAlign w:val="center"/>
          </w:tcPr>
          <w:p w14:paraId="6A3F4E0B" w14:textId="77777777" w:rsidR="00537923" w:rsidRDefault="005C5514">
            <w:r>
              <w:t>Crude stocks held at this node</w:t>
            </w:r>
          </w:p>
        </w:tc>
        <w:tc>
          <w:tcPr>
            <w:tcW w:w="2269" w:type="dxa"/>
            <w:vAlign w:val="center"/>
          </w:tcPr>
          <w:p w14:paraId="19A1FBE7" w14:textId="77777777" w:rsidR="00537923" w:rsidRDefault="005C5514">
            <w:r>
              <w:t>no</w:t>
            </w:r>
          </w:p>
        </w:tc>
      </w:tr>
      <w:tr w:rsidR="00537923" w14:paraId="794CD2B3" w14:textId="77777777">
        <w:tc>
          <w:tcPr>
            <w:tcW w:w="2266" w:type="dxa"/>
            <w:vAlign w:val="center"/>
          </w:tcPr>
          <w:p w14:paraId="7D28905A" w14:textId="77777777" w:rsidR="00537923" w:rsidRDefault="005C5514">
            <w:r>
              <w:t>balancing_item</w:t>
            </w:r>
          </w:p>
        </w:tc>
        <w:tc>
          <w:tcPr>
            <w:tcW w:w="2266" w:type="dxa"/>
            <w:vAlign w:val="center"/>
          </w:tcPr>
          <w:p w14:paraId="1836BFDD" w14:textId="77777777" w:rsidR="00537923" w:rsidRDefault="005C5514">
            <w:r>
              <w:t>B</w:t>
            </w:r>
          </w:p>
        </w:tc>
        <w:tc>
          <w:tcPr>
            <w:tcW w:w="2266" w:type="dxa"/>
            <w:vAlign w:val="center"/>
          </w:tcPr>
          <w:p w14:paraId="076B3BCF" w14:textId="77777777" w:rsidR="00537923" w:rsidRDefault="005C5514">
            <w:r>
              <w:t>Reporting residual (Corollary A)</w:t>
            </w:r>
          </w:p>
        </w:tc>
        <w:tc>
          <w:tcPr>
            <w:tcW w:w="2269" w:type="dxa"/>
            <w:vAlign w:val="center"/>
          </w:tcPr>
          <w:p w14:paraId="37E2225B" w14:textId="77777777" w:rsidR="00537923" w:rsidRDefault="005C5514">
            <w:r>
              <w:t>no</w:t>
            </w:r>
          </w:p>
        </w:tc>
      </w:tr>
      <w:tr w:rsidR="00537923" w14:paraId="3DDDE495" w14:textId="77777777">
        <w:tc>
          <w:tcPr>
            <w:tcW w:w="2266" w:type="dxa"/>
            <w:vAlign w:val="center"/>
          </w:tcPr>
          <w:p w14:paraId="133C0E79" w14:textId="77777777" w:rsidR="00537923" w:rsidRDefault="005C5514">
            <w:r>
              <w:t>inflow</w:t>
            </w:r>
          </w:p>
        </w:tc>
        <w:tc>
          <w:tcPr>
            <w:tcW w:w="2266" w:type="dxa"/>
            <w:vAlign w:val="center"/>
          </w:tcPr>
          <w:p w14:paraId="0203EBBD" w14:textId="4500D700" w:rsidR="00537923" w:rsidRDefault="005C5514">
            <w:r>
              <w:t>F</w:t>
            </w:r>
            <w:r w:rsidRPr="00501A09">
              <w:rPr>
                <w:vertAlign w:val="subscript"/>
              </w:rPr>
              <w:t>in</w:t>
            </w:r>
          </w:p>
        </w:tc>
        <w:tc>
          <w:tcPr>
            <w:tcW w:w="2266" w:type="dxa"/>
            <w:vAlign w:val="center"/>
          </w:tcPr>
          <w:p w14:paraId="6B77527A" w14:textId="77777777" w:rsidR="00537923" w:rsidRDefault="005C5514">
            <w:r>
              <w:t>Crude flowing in from a specific related node</w:t>
            </w:r>
          </w:p>
        </w:tc>
        <w:tc>
          <w:tcPr>
            <w:tcW w:w="2269" w:type="dxa"/>
            <w:vAlign w:val="center"/>
          </w:tcPr>
          <w:p w14:paraId="5BA40197" w14:textId="77777777" w:rsidR="00537923" w:rsidRDefault="005C5514">
            <w:r>
              <w:t>yes</w:t>
            </w:r>
          </w:p>
        </w:tc>
      </w:tr>
      <w:tr w:rsidR="00537923" w14:paraId="7FD450B3" w14:textId="77777777">
        <w:tc>
          <w:tcPr>
            <w:tcW w:w="2266" w:type="dxa"/>
            <w:vAlign w:val="center"/>
          </w:tcPr>
          <w:p w14:paraId="04970319" w14:textId="77777777" w:rsidR="00537923" w:rsidRDefault="005C5514">
            <w:r>
              <w:t>outflow</w:t>
            </w:r>
          </w:p>
        </w:tc>
        <w:tc>
          <w:tcPr>
            <w:tcW w:w="2266" w:type="dxa"/>
            <w:vAlign w:val="center"/>
          </w:tcPr>
          <w:p w14:paraId="305E76D4" w14:textId="4C44F729" w:rsidR="00537923" w:rsidRDefault="005C5514">
            <w:r>
              <w:t>F</w:t>
            </w:r>
            <w:r w:rsidRPr="00501A09">
              <w:rPr>
                <w:vertAlign w:val="subscript"/>
              </w:rPr>
              <w:t>out</w:t>
            </w:r>
          </w:p>
        </w:tc>
        <w:tc>
          <w:tcPr>
            <w:tcW w:w="2266" w:type="dxa"/>
            <w:vAlign w:val="center"/>
          </w:tcPr>
          <w:p w14:paraId="330164F4" w14:textId="77777777" w:rsidR="00537923" w:rsidRDefault="005C5514">
            <w:r>
              <w:t>Crude flowing out to a specific related node</w:t>
            </w:r>
          </w:p>
        </w:tc>
        <w:tc>
          <w:tcPr>
            <w:tcW w:w="2269" w:type="dxa"/>
            <w:vAlign w:val="center"/>
          </w:tcPr>
          <w:p w14:paraId="578AB87C" w14:textId="77777777" w:rsidR="00537923" w:rsidRDefault="005C5514">
            <w:r>
              <w:t>yes</w:t>
            </w:r>
          </w:p>
        </w:tc>
      </w:tr>
      <w:tr w:rsidR="00537923" w14:paraId="79DAD62D" w14:textId="77777777">
        <w:tc>
          <w:tcPr>
            <w:tcW w:w="2266" w:type="dxa"/>
            <w:vAlign w:val="center"/>
          </w:tcPr>
          <w:p w14:paraId="0F28D333" w14:textId="77777777" w:rsidR="00537923" w:rsidRDefault="005C5514">
            <w:r>
              <w:t>phi</w:t>
            </w:r>
          </w:p>
        </w:tc>
        <w:tc>
          <w:tcPr>
            <w:tcW w:w="2266" w:type="dxa"/>
            <w:vAlign w:val="center"/>
          </w:tcPr>
          <w:p w14:paraId="2C3AFBDC" w14:textId="77777777" w:rsidR="00537923" w:rsidRDefault="005C5514">
            <w:r>
              <w:t>φ</w:t>
            </w:r>
          </w:p>
        </w:tc>
        <w:tc>
          <w:tcPr>
            <w:tcW w:w="2266" w:type="dxa"/>
            <w:vAlign w:val="center"/>
          </w:tcPr>
          <w:p w14:paraId="6DDCE077" w14:textId="77777777" w:rsidR="00537923" w:rsidRDefault="005C5514">
            <w:r>
              <w:t>Reference variable, used for cross-node alias chains</w:t>
            </w:r>
          </w:p>
        </w:tc>
        <w:tc>
          <w:tcPr>
            <w:tcW w:w="2269" w:type="dxa"/>
            <w:vAlign w:val="center"/>
          </w:tcPr>
          <w:p w14:paraId="4D9C2240" w14:textId="77777777" w:rsidR="00537923" w:rsidRDefault="005C5514">
            <w:r>
              <w:t>yes</w:t>
            </w:r>
          </w:p>
        </w:tc>
      </w:tr>
    </w:tbl>
    <w:p w14:paraId="5AAB574B" w14:textId="77777777" w:rsidR="00501A09" w:rsidRDefault="00501A09">
      <w:pPr>
        <w:spacing w:after="160" w:line="319" w:lineRule="auto"/>
        <w:jc w:val="both"/>
      </w:pPr>
    </w:p>
    <w:p w14:paraId="6DD38C17" w14:textId="0CCAC9C6" w:rsidR="006E3777" w:rsidRDefault="006E3777">
      <w:pPr>
        <w:spacing w:after="160" w:line="319" w:lineRule="auto"/>
        <w:jc w:val="both"/>
        <w:rPr>
          <w:kern w:val="2"/>
          <w14:ligatures w14:val="standardContextual"/>
        </w:rPr>
      </w:pPr>
      <w:r>
        <w:t>A note on the phi variable. The phi type is a cross-node alias reference: when one node's variable is defined as an alias of another's, the alias chain is recorded as a phi variable with related_node_id pointing at the source. Phi exists to keep alias chains representable in the variable graph (so the dependency DAG that the resolver topologically sorts is well-defined) without requiring the alias to look like a flow edge. It carries no flow, no stock, and no balance role; it is purely a structural pointer.</w:t>
      </w:r>
    </w:p>
    <w:p w14:paraId="36BCFC04" w14:textId="77777777" w:rsidR="008E1B31" w:rsidRDefault="005C5514">
      <w:pPr>
        <w:spacing w:after="160" w:line="320" w:lineRule="auto"/>
        <w:jc w:val="both"/>
      </w:pPr>
      <w:r>
        <w:t xml:space="preserve">A relational variable carries a </w:t>
      </w:r>
      <w:r>
        <w:rPr>
          <w:rFonts w:ascii="Consolas" w:eastAsia="Consolas" w:hAnsi="Consolas" w:cs="Consolas"/>
        </w:rPr>
        <w:t>related_node_id</w:t>
      </w:r>
      <w:r>
        <w:t xml:space="preserve"> identifying the counterpart in the directed flow. An inflow on node A with related node B means "crude flowing from B into A"; the paired outflow on node B with related node A means "crude flowing from B out to A". The two are physically the same flow, modelled as two variables on different nodes. The reverse-mirror dispatch rule in the resolver (Section 6.4) propagates an observed value on one direction to the unobserved counterpart.</w:t>
      </w:r>
    </w:p>
    <w:p w14:paraId="36BCFC05" w14:textId="77777777" w:rsidR="008E1B31" w:rsidRDefault="005C5514">
      <w:pPr>
        <w:spacing w:after="160" w:line="320" w:lineRule="auto"/>
        <w:jc w:val="both"/>
      </w:pPr>
      <w:r>
        <w:t>Each variable carries either a timeseries_id (time-series-bound, observed) or a formula (derived), never both. The schema-level CHECK constraint num_nonnulls(timeseries_id, formula) = 1 is the enforcement mechanism for Axiom 5.</w:t>
      </w:r>
    </w:p>
    <w:p w14:paraId="36BCFC06" w14:textId="77777777" w:rsidR="008E1B31" w:rsidRDefault="005C5514">
      <w:pPr>
        <w:spacing w:after="160" w:line="320" w:lineRule="auto"/>
        <w:jc w:val="both"/>
      </w:pPr>
      <w:r>
        <w:t>The variables collection is the authoritative data model. Every other view of the graph — the edge list, the partition tree, the resolution hierarchy, the per-scenario node status — is derived from it. There is no second source of truth to keep in sync, no redundant declaration that can drift from the variable definitions. This is Axiom 3 made operational.</w:t>
      </w:r>
    </w:p>
    <w:p w14:paraId="36BCFC07" w14:textId="77777777" w:rsidR="008E1B31" w:rsidRDefault="005C5514">
      <w:pPr>
        <w:pStyle w:val="Heading2"/>
      </w:pPr>
      <w:r>
        <w:t>5.7 The partition tree</w:t>
      </w:r>
    </w:p>
    <w:p w14:paraId="36BCFC08" w14:textId="77777777" w:rsidR="008E1B31" w:rsidRDefault="005C5514">
      <w:pPr>
        <w:spacing w:after="160" w:line="320" w:lineRule="auto"/>
        <w:jc w:val="both"/>
      </w:pPr>
      <w:r>
        <w:t xml:space="preserve">The partition tree is the same-type aggregation hierarchy that drives the consistency claims in Chapter 7. A node M is a partition child of node N if some variable on N has </w:t>
      </w:r>
      <w:r>
        <w:rPr>
          <w:rFonts w:ascii="Consolas" w:eastAsia="Consolas" w:hAnsi="Consolas" w:cs="Consolas"/>
        </w:rPr>
        <w:t>formula_inputs</w:t>
      </w:r>
      <w:r>
        <w:t xml:space="preserve"> that reference a same-type, same-commodity, same-related-node variable on M. The same-type qualifier is essential: aggregation links (such as </w:t>
      </w:r>
      <w:r>
        <w:rPr>
          <w:rFonts w:ascii="Consolas" w:eastAsia="Consolas" w:hAnsi="Consolas" w:cs="Consolas"/>
        </w:rPr>
        <w:t>padd_view.P = Σ basin.P</w:t>
      </w:r>
      <w:r>
        <w:t xml:space="preserve">) connect variables of the same type, whereas cross-edge alias links (such as </w:t>
      </w:r>
      <w:r>
        <w:rPr>
          <w:rFonts w:ascii="Consolas" w:eastAsia="Consolas" w:hAnsi="Consolas" w:cs="Consolas"/>
        </w:rPr>
        <w:t>padd_view.F_in = alias(other_padd.F_out)</w:t>
      </w:r>
      <w:r>
        <w:t xml:space="preserve">) connect variables of different types. Filtering on type cleanly </w:t>
      </w:r>
      <w:r>
        <w:lastRenderedPageBreak/>
        <w:t>distinguishes the two and keeps the partition tree restricted to the same-type aggregation that the closure test depends on.</w:t>
      </w:r>
    </w:p>
    <w:p w14:paraId="67B24125" w14:textId="21D5DFCC" w:rsidR="006E3777" w:rsidRDefault="006E3777">
      <w:pPr>
        <w:spacing w:after="160" w:line="319" w:lineRule="auto"/>
        <w:jc w:val="both"/>
        <w:rPr>
          <w:kern w:val="2"/>
          <w14:ligatures w14:val="standardContextual"/>
        </w:rPr>
      </w:pPr>
      <w:r>
        <w:t xml:space="preserve">It is worth marking the relationship between the partition tree and the flow topology, because the two look superficially similar but encode different information. The flow topology (the directed edges in v_flow_edges) connects physical assets that </w:t>
      </w:r>
      <w:r w:rsidR="009736FD">
        <w:t>move</w:t>
      </w:r>
      <w:r>
        <w:t xml:space="preserve"> barrels between one another: pipelines from basins to refineries, terminals receiving from pipelines, vessels carrying between hubs. These edges are not geography-based. Cushing connects to Houston because the Seaway pipeline physically moves crude between them, not because the two hubs sit in the same state.</w:t>
      </w:r>
    </w:p>
    <w:p w14:paraId="3C7A0CC5" w14:textId="77777777" w:rsidR="006E3777" w:rsidRDefault="006E3777">
      <w:pPr>
        <w:spacing w:after="160" w:line="319" w:lineRule="auto"/>
        <w:jc w:val="both"/>
        <w:rPr>
          <w:kern w:val="2"/>
          <w14:ligatures w14:val="standardContextual"/>
        </w:rPr>
      </w:pPr>
      <w:r>
        <w:t>The partition tree is different. Aggregates such as padd2_view exist because that is the level at which EIA publishes much of its data, and EIA's aggregation rule is overwhelmingly geographic — the five PADDs were drawn in 1942 as wartime logistics regions and have remained the standard ever since. The partition tree's children are individual physical assets the framework already knows, but its parents are administrative aggregations whose boundaries trace state and PADD lines. The two structures, flow topology and partition tree, share the same set of physical nodes, but they reach upward to different parents — the flow topology to the next physical asset along the pipeline, the partition tree to the geographic region that contains it.</w:t>
      </w:r>
    </w:p>
    <w:p w14:paraId="3148C3B9" w14:textId="7CE0FAC7" w:rsidR="006E3777" w:rsidRDefault="006E3777">
      <w:pPr>
        <w:spacing w:after="160" w:line="319" w:lineRule="auto"/>
        <w:jc w:val="both"/>
        <w:rPr>
          <w:kern w:val="2"/>
          <w14:ligatures w14:val="standardContextual"/>
        </w:rPr>
      </w:pPr>
      <w:r>
        <w:t xml:space="preserve">The practitioner workflow this thesis sets out to displace makes the inverse choice. Analysts typically take EIA's geographic series — production by PADD, consumption by refining district, stocks by PADD — and add or subtract them by region to compute regional balances. The implicit network is geographic, and any one asset's inventory (Cushing, Pearl Harbour, Bayou Choctaw) is recovered as a residual from those geographic operations. The framework reverses this. The connections between named physical assets are the primary object, and the aggregation views are a consistency layer over them. Inventories at named assets are generated by mass balance at the physical level, not reconstructed from regional sums. The partition tree is then the bridge: it exposes the same data at the regional resolution practitioners are used to, but it does so by aggregating from a physical layer that already knows where each barrel </w:t>
      </w:r>
      <w:r w:rsidR="003A3CF9">
        <w:t>lives</w:t>
      </w:r>
      <w:r>
        <w:t>.</w:t>
      </w:r>
    </w:p>
    <w:p w14:paraId="36BCFC09" w14:textId="77777777" w:rsidR="008E1B31" w:rsidRDefault="005C5514">
      <w:pPr>
        <w:spacing w:after="160" w:line="320" w:lineRule="auto"/>
        <w:jc w:val="both"/>
      </w:pPr>
      <w:r>
        <w:t>The starter scenario carries 377 partition edges across 29 distinct parents and 211 distinct children. The active spine runs:</w:t>
      </w:r>
    </w:p>
    <w:p w14:paraId="36BCFC0A" w14:textId="77777777" w:rsidR="008E1B31" w:rsidRDefault="005C5514">
      <w:pPr>
        <w:shd w:val="clear" w:color="auto" w:fill="F4F4F4"/>
      </w:pPr>
      <w:r>
        <w:rPr>
          <w:rFonts w:ascii="Consolas" w:eastAsia="Consolas" w:hAnsi="Consolas" w:cs="Consolas"/>
          <w:sz w:val="17"/>
          <w:szCs w:val="20"/>
        </w:rPr>
        <w:t>usa_view</w:t>
      </w:r>
    </w:p>
    <w:p w14:paraId="36BCFC0B" w14:textId="77777777" w:rsidR="008E1B31" w:rsidRDefault="005C5514">
      <w:pPr>
        <w:shd w:val="clear" w:color="auto" w:fill="F4F4F4"/>
      </w:pPr>
      <w:r>
        <w:rPr>
          <w:rFonts w:ascii="Consolas" w:eastAsia="Consolas" w:hAnsi="Consolas" w:cs="Consolas"/>
          <w:sz w:val="17"/>
          <w:szCs w:val="20"/>
        </w:rPr>
        <w:t>├── padd1_view</w:t>
      </w:r>
    </w:p>
    <w:p w14:paraId="36BCFC0C" w14:textId="77777777" w:rsidR="008E1B31" w:rsidRDefault="005C5514">
      <w:pPr>
        <w:shd w:val="clear" w:color="auto" w:fill="F4F4F4"/>
      </w:pPr>
      <w:r>
        <w:rPr>
          <w:rFonts w:ascii="Consolas" w:eastAsia="Consolas" w:hAnsi="Consolas" w:cs="Consolas"/>
          <w:sz w:val="17"/>
          <w:szCs w:val="20"/>
        </w:rPr>
        <w:t>│   ├── refining districts (RAP, REC)</w:t>
      </w:r>
    </w:p>
    <w:p w14:paraId="36BCFC0D" w14:textId="77777777" w:rsidR="008E1B31" w:rsidRDefault="005C5514">
      <w:pPr>
        <w:shd w:val="clear" w:color="auto" w:fill="F4F4F4"/>
      </w:pPr>
      <w:r>
        <w:rPr>
          <w:rFonts w:ascii="Consolas" w:eastAsia="Consolas" w:hAnsi="Consolas" w:cs="Consolas"/>
          <w:sz w:val="17"/>
          <w:szCs w:val="20"/>
        </w:rPr>
        <w:t>│   ├── padd1_imports_agg ← MCRIPP12 − MCRIPP1CA2</w:t>
      </w:r>
    </w:p>
    <w:p w14:paraId="36BCFC0E" w14:textId="77777777" w:rsidR="008E1B31" w:rsidRDefault="005C5514">
      <w:pPr>
        <w:shd w:val="clear" w:color="auto" w:fill="F4F4F4"/>
      </w:pPr>
      <w:r>
        <w:rPr>
          <w:rFonts w:ascii="Consolas" w:eastAsia="Consolas" w:hAnsi="Consolas" w:cs="Consolas"/>
          <w:sz w:val="17"/>
          <w:szCs w:val="20"/>
        </w:rPr>
        <w:t>│   ├── padd1_canadian_imports_agg ← MCRIPP1CA2</w:t>
      </w:r>
    </w:p>
    <w:p w14:paraId="36BCFC0F" w14:textId="77777777" w:rsidR="008E1B31" w:rsidRDefault="005C5514">
      <w:pPr>
        <w:shd w:val="clear" w:color="auto" w:fill="F4F4F4"/>
      </w:pPr>
      <w:r>
        <w:rPr>
          <w:rFonts w:ascii="Consolas" w:eastAsia="Consolas" w:hAnsi="Consolas" w:cs="Consolas"/>
          <w:sz w:val="17"/>
          <w:szCs w:val="20"/>
        </w:rPr>
        <w:t>│   ├── padd1_exports_agg ← MCREXP12</w:t>
      </w:r>
    </w:p>
    <w:p w14:paraId="36BCFC10" w14:textId="77777777" w:rsidR="008E1B31" w:rsidRDefault="005C5514">
      <w:pPr>
        <w:shd w:val="clear" w:color="auto" w:fill="F4F4F4"/>
      </w:pPr>
      <w:r>
        <w:rPr>
          <w:rFonts w:ascii="Consolas" w:eastAsia="Consolas" w:hAnsi="Consolas" w:cs="Consolas"/>
          <w:sz w:val="17"/>
          <w:szCs w:val="20"/>
        </w:rPr>
        <w:t>│   ├── inter_padd_1_to_2_agg, inter_padd_1_to_3_agg</w:t>
      </w:r>
    </w:p>
    <w:p w14:paraId="36BCFC11" w14:textId="77777777" w:rsidR="008E1B31" w:rsidRDefault="005C5514">
      <w:pPr>
        <w:shd w:val="clear" w:color="auto" w:fill="F4F4F4"/>
      </w:pPr>
      <w:r>
        <w:rPr>
          <w:rFonts w:ascii="Consolas" w:eastAsia="Consolas" w:hAnsi="Consolas" w:cs="Consolas"/>
          <w:sz w:val="17"/>
          <w:szCs w:val="20"/>
        </w:rPr>
        <w:t>│   └── padd1_other (residual)</w:t>
      </w:r>
    </w:p>
    <w:p w14:paraId="36BCFC12" w14:textId="77777777" w:rsidR="008E1B31" w:rsidRDefault="005C5514">
      <w:pPr>
        <w:shd w:val="clear" w:color="auto" w:fill="F4F4F4"/>
      </w:pPr>
      <w:r>
        <w:rPr>
          <w:rFonts w:ascii="Consolas" w:eastAsia="Consolas" w:hAnsi="Consolas" w:cs="Consolas"/>
          <w:sz w:val="17"/>
          <w:szCs w:val="20"/>
        </w:rPr>
        <w:t>├── padd2_view</w:t>
      </w:r>
    </w:p>
    <w:p w14:paraId="36BCFC13" w14:textId="77777777" w:rsidR="008E1B31" w:rsidRDefault="005C5514">
      <w:pPr>
        <w:shd w:val="clear" w:color="auto" w:fill="F4F4F4"/>
      </w:pPr>
      <w:r>
        <w:rPr>
          <w:rFonts w:ascii="Consolas" w:eastAsia="Consolas" w:hAnsi="Consolas" w:cs="Consolas"/>
          <w:sz w:val="17"/>
          <w:szCs w:val="20"/>
        </w:rPr>
        <w:t>│   ├── refining districts (R2A, R2B, R2C)</w:t>
      </w:r>
    </w:p>
    <w:p w14:paraId="36BCFC14" w14:textId="77777777" w:rsidR="008E1B31" w:rsidRDefault="005C5514">
      <w:pPr>
        <w:shd w:val="clear" w:color="auto" w:fill="F4F4F4"/>
      </w:pPr>
      <w:r>
        <w:rPr>
          <w:rFonts w:ascii="Consolas" w:eastAsia="Consolas" w:hAnsi="Consolas" w:cs="Consolas"/>
          <w:sz w:val="17"/>
          <w:szCs w:val="20"/>
        </w:rPr>
        <w:t>│   ├── bakken_nd, oklahoma, padd2_other</w:t>
      </w:r>
    </w:p>
    <w:p w14:paraId="36BCFC15" w14:textId="77777777" w:rsidR="008E1B31" w:rsidRDefault="005C5514">
      <w:pPr>
        <w:shd w:val="clear" w:color="auto" w:fill="F4F4F4"/>
      </w:pPr>
      <w:r>
        <w:rPr>
          <w:rFonts w:ascii="Consolas" w:eastAsia="Consolas" w:hAnsi="Consolas" w:cs="Consolas"/>
          <w:sz w:val="17"/>
          <w:szCs w:val="20"/>
        </w:rPr>
        <w:t>│   ├── cushing_hub (with three operator sub-terminals), patoka_hub</w:t>
      </w:r>
    </w:p>
    <w:p w14:paraId="36BCFC16" w14:textId="77777777" w:rsidR="008E1B31" w:rsidRDefault="005C5514">
      <w:pPr>
        <w:shd w:val="clear" w:color="auto" w:fill="F4F4F4"/>
      </w:pPr>
      <w:r>
        <w:rPr>
          <w:rFonts w:ascii="Consolas" w:eastAsia="Consolas" w:hAnsi="Consolas" w:cs="Consolas"/>
          <w:sz w:val="17"/>
          <w:szCs w:val="20"/>
        </w:rPr>
        <w:t>│   ├── bakken_nd_gathering (inventory child, post-eleventh migration)</w:t>
      </w:r>
    </w:p>
    <w:p w14:paraId="36BCFC17" w14:textId="77777777" w:rsidR="008E1B31" w:rsidRDefault="005C5514">
      <w:pPr>
        <w:shd w:val="clear" w:color="auto" w:fill="F4F4F4"/>
      </w:pPr>
      <w:r>
        <w:rPr>
          <w:rFonts w:ascii="Consolas" w:eastAsia="Consolas" w:hAnsi="Consolas" w:cs="Consolas"/>
          <w:sz w:val="17"/>
          <w:szCs w:val="20"/>
        </w:rPr>
        <w:lastRenderedPageBreak/>
        <w:t>│   ├── padd2_canadian_imports_agg ← MCRIPP2CA2</w:t>
      </w:r>
    </w:p>
    <w:p w14:paraId="36BCFC18" w14:textId="77777777" w:rsidR="008E1B31" w:rsidRDefault="005C5514">
      <w:pPr>
        <w:shd w:val="clear" w:color="auto" w:fill="F4F4F4"/>
      </w:pPr>
      <w:r>
        <w:rPr>
          <w:rFonts w:ascii="Consolas" w:eastAsia="Consolas" w:hAnsi="Consolas" w:cs="Consolas"/>
          <w:sz w:val="17"/>
          <w:szCs w:val="20"/>
        </w:rPr>
        <w:t>│   ├── padd2_exports_agg ← MCREXP22</w:t>
      </w:r>
    </w:p>
    <w:p w14:paraId="36BCFC19" w14:textId="77777777" w:rsidR="008E1B31" w:rsidRDefault="005C5514">
      <w:pPr>
        <w:shd w:val="clear" w:color="auto" w:fill="F4F4F4"/>
      </w:pPr>
      <w:r>
        <w:rPr>
          <w:rFonts w:ascii="Consolas" w:eastAsia="Consolas" w:hAnsi="Consolas" w:cs="Consolas"/>
          <w:sz w:val="17"/>
          <w:szCs w:val="20"/>
        </w:rPr>
        <w:t>│   └── inter_padd_2_to_{1,3,4}_agg with receiver-side aliases</w:t>
      </w:r>
    </w:p>
    <w:p w14:paraId="36BCFC1A" w14:textId="77777777" w:rsidR="008E1B31" w:rsidRDefault="005C5514">
      <w:pPr>
        <w:shd w:val="clear" w:color="auto" w:fill="F4F4F4"/>
      </w:pPr>
      <w:r>
        <w:rPr>
          <w:rFonts w:ascii="Consolas" w:eastAsia="Consolas" w:hAnsi="Consolas" w:cs="Consolas"/>
          <w:sz w:val="17"/>
          <w:szCs w:val="20"/>
        </w:rPr>
        <w:t>├── padd3_view, padd4_view, padd5_view (analogous structure)</w:t>
      </w:r>
    </w:p>
    <w:p w14:paraId="36BCFC1B" w14:textId="77777777" w:rsidR="008E1B31" w:rsidRDefault="005C5514">
      <w:pPr>
        <w:shd w:val="clear" w:color="auto" w:fill="F4F4F4"/>
      </w:pPr>
      <w:r>
        <w:rPr>
          <w:rFonts w:ascii="Consolas" w:eastAsia="Consolas" w:hAnsi="Consolas" w:cs="Consolas"/>
          <w:sz w:val="17"/>
          <w:szCs w:val="20"/>
        </w:rPr>
        <w:t>└── (boundary nodes sit outside the partition):</w:t>
      </w:r>
    </w:p>
    <w:p w14:paraId="36BCFC1C" w14:textId="77777777" w:rsidR="008E1B31" w:rsidRDefault="005C5514">
      <w:pPr>
        <w:shd w:val="clear" w:color="auto" w:fill="F4F4F4"/>
      </w:pPr>
      <w:r>
        <w:rPr>
          <w:rFonts w:ascii="Consolas" w:eastAsia="Consolas" w:hAnsi="Consolas" w:cs="Consolas"/>
          <w:sz w:val="17"/>
          <w:szCs w:val="20"/>
        </w:rPr>
        <w:t xml:space="preserve">    foreign_supply, canadian_oil_sands, foreign_export_destination, spr_total</w:t>
      </w:r>
    </w:p>
    <w:p w14:paraId="012181AD" w14:textId="77777777" w:rsidR="003A3CF9" w:rsidRDefault="003A3CF9">
      <w:pPr>
        <w:spacing w:after="160" w:line="319" w:lineRule="auto"/>
        <w:jc w:val="both"/>
      </w:pPr>
    </w:p>
    <w:p w14:paraId="4F896819" w14:textId="5E01AB9D" w:rsidR="006E3777" w:rsidRDefault="006E3777">
      <w:pPr>
        <w:spacing w:after="160" w:line="319" w:lineRule="auto"/>
        <w:jc w:val="both"/>
        <w:rPr>
          <w:kern w:val="2"/>
          <w14:ligatures w14:val="standardContextual"/>
        </w:rPr>
      </w:pPr>
      <w:r>
        <w:t>The same structure populated with live values from the resolver at 2024-12-01 reads as follows (all flow quantities in kbd; inventory in MBBL). This is the data the HTML balance UI displays at the same date, materialised here as a static snapshot. The status column comes from v_aggregation_consistency, which classifies each row as ok (closes within tolerance), partial_coverage (one or more constituents missing or latent), or red (every constituent present and the gap exceeds tolerance — none at this level on this date).</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206"/>
        <w:gridCol w:w="1115"/>
        <w:gridCol w:w="1115"/>
        <w:gridCol w:w="1111"/>
        <w:gridCol w:w="1113"/>
        <w:gridCol w:w="1118"/>
        <w:gridCol w:w="1111"/>
        <w:gridCol w:w="1121"/>
      </w:tblGrid>
      <w:tr w:rsidR="006A63D0" w14:paraId="306C88D6" w14:textId="77777777">
        <w:tc>
          <w:tcPr>
            <w:tcW w:w="1128" w:type="dxa"/>
            <w:shd w:val="clear" w:color="auto" w:fill="E6EEF5"/>
            <w:vAlign w:val="center"/>
          </w:tcPr>
          <w:p w14:paraId="60D98890" w14:textId="77777777" w:rsidR="006A63D0" w:rsidRDefault="005C5514">
            <w:pPr>
              <w:jc w:val="center"/>
            </w:pPr>
            <w:r>
              <w:rPr>
                <w:b/>
                <w:sz w:val="18"/>
              </w:rPr>
              <w:t>Node</w:t>
            </w:r>
          </w:p>
        </w:tc>
        <w:tc>
          <w:tcPr>
            <w:tcW w:w="1128" w:type="dxa"/>
            <w:shd w:val="clear" w:color="auto" w:fill="E6EEF5"/>
            <w:vAlign w:val="center"/>
          </w:tcPr>
          <w:p w14:paraId="1458D6E7" w14:textId="77777777" w:rsidR="006A63D0" w:rsidRDefault="005C5514">
            <w:pPr>
              <w:jc w:val="center"/>
            </w:pPr>
            <w:r>
              <w:rPr>
                <w:b/>
                <w:sz w:val="18"/>
              </w:rPr>
              <w:t>P (kbd)</w:t>
            </w:r>
          </w:p>
        </w:tc>
        <w:tc>
          <w:tcPr>
            <w:tcW w:w="1128" w:type="dxa"/>
            <w:shd w:val="clear" w:color="auto" w:fill="E6EEF5"/>
            <w:vAlign w:val="center"/>
          </w:tcPr>
          <w:p w14:paraId="2F39268C" w14:textId="77777777" w:rsidR="006A63D0" w:rsidRDefault="005C5514">
            <w:pPr>
              <w:jc w:val="center"/>
            </w:pPr>
            <w:r>
              <w:rPr>
                <w:b/>
                <w:sz w:val="18"/>
              </w:rPr>
              <w:t>C (kbd)</w:t>
            </w:r>
          </w:p>
        </w:tc>
        <w:tc>
          <w:tcPr>
            <w:tcW w:w="1128" w:type="dxa"/>
            <w:shd w:val="clear" w:color="auto" w:fill="E6EEF5"/>
            <w:vAlign w:val="center"/>
          </w:tcPr>
          <w:p w14:paraId="3E889F67" w14:textId="77777777" w:rsidR="006A63D0" w:rsidRDefault="005C5514">
            <w:pPr>
              <w:jc w:val="center"/>
            </w:pPr>
            <w:r>
              <w:rPr>
                <w:b/>
                <w:sz w:val="18"/>
              </w:rPr>
              <w:t>F_in (kbd)</w:t>
            </w:r>
          </w:p>
        </w:tc>
        <w:tc>
          <w:tcPr>
            <w:tcW w:w="1128" w:type="dxa"/>
            <w:shd w:val="clear" w:color="auto" w:fill="E6EEF5"/>
            <w:vAlign w:val="center"/>
          </w:tcPr>
          <w:p w14:paraId="1A580464" w14:textId="77777777" w:rsidR="006A63D0" w:rsidRDefault="005C5514">
            <w:pPr>
              <w:jc w:val="center"/>
            </w:pPr>
            <w:r>
              <w:rPr>
                <w:b/>
                <w:sz w:val="18"/>
              </w:rPr>
              <w:t>F_out (kbd)</w:t>
            </w:r>
          </w:p>
        </w:tc>
        <w:tc>
          <w:tcPr>
            <w:tcW w:w="1128" w:type="dxa"/>
            <w:shd w:val="clear" w:color="auto" w:fill="E6EEF5"/>
            <w:vAlign w:val="center"/>
          </w:tcPr>
          <w:p w14:paraId="3DAD3F3A" w14:textId="77777777" w:rsidR="006A63D0" w:rsidRDefault="005C5514">
            <w:pPr>
              <w:jc w:val="center"/>
            </w:pPr>
            <w:r>
              <w:rPr>
                <w:b/>
                <w:sz w:val="18"/>
              </w:rPr>
              <w:t>S (mbbl)</w:t>
            </w:r>
          </w:p>
        </w:tc>
        <w:tc>
          <w:tcPr>
            <w:tcW w:w="1128" w:type="dxa"/>
            <w:shd w:val="clear" w:color="auto" w:fill="E6EEF5"/>
            <w:vAlign w:val="center"/>
          </w:tcPr>
          <w:p w14:paraId="3A5F782D" w14:textId="77777777" w:rsidR="006A63D0" w:rsidRDefault="005C5514">
            <w:pPr>
              <w:jc w:val="center"/>
            </w:pPr>
            <w:r>
              <w:rPr>
                <w:b/>
                <w:sz w:val="18"/>
              </w:rPr>
              <w:t>B (kbd)</w:t>
            </w:r>
          </w:p>
        </w:tc>
        <w:tc>
          <w:tcPr>
            <w:tcW w:w="1128" w:type="dxa"/>
            <w:shd w:val="clear" w:color="auto" w:fill="E6EEF5"/>
            <w:vAlign w:val="center"/>
          </w:tcPr>
          <w:p w14:paraId="7B922398" w14:textId="77777777" w:rsidR="006A63D0" w:rsidRDefault="005C5514">
            <w:pPr>
              <w:jc w:val="center"/>
            </w:pPr>
            <w:r>
              <w:rPr>
                <w:b/>
                <w:sz w:val="18"/>
              </w:rPr>
              <w:t>Partition status</w:t>
            </w:r>
          </w:p>
        </w:tc>
      </w:tr>
      <w:tr w:rsidR="006A63D0" w14:paraId="32DE0117" w14:textId="77777777">
        <w:tc>
          <w:tcPr>
            <w:tcW w:w="1128" w:type="dxa"/>
            <w:vAlign w:val="center"/>
          </w:tcPr>
          <w:p w14:paraId="4ECA5514" w14:textId="77777777" w:rsidR="006A63D0" w:rsidRDefault="005C5514">
            <w:r>
              <w:rPr>
                <w:rFonts w:ascii="Consolas" w:hAnsi="Consolas"/>
                <w:sz w:val="18"/>
              </w:rPr>
              <w:t>usa_view (USA)</w:t>
            </w:r>
          </w:p>
        </w:tc>
        <w:tc>
          <w:tcPr>
            <w:tcW w:w="1128" w:type="dxa"/>
            <w:vAlign w:val="center"/>
          </w:tcPr>
          <w:p w14:paraId="432ECA37" w14:textId="77777777" w:rsidR="006A63D0" w:rsidRDefault="005C5514">
            <w:pPr>
              <w:jc w:val="right"/>
            </w:pPr>
            <w:r>
              <w:rPr>
                <w:sz w:val="18"/>
              </w:rPr>
              <w:t>13,437</w:t>
            </w:r>
          </w:p>
        </w:tc>
        <w:tc>
          <w:tcPr>
            <w:tcW w:w="1128" w:type="dxa"/>
            <w:vAlign w:val="center"/>
          </w:tcPr>
          <w:p w14:paraId="751073AC" w14:textId="77777777" w:rsidR="006A63D0" w:rsidRDefault="005C5514">
            <w:pPr>
              <w:jc w:val="right"/>
            </w:pPr>
            <w:r>
              <w:rPr>
                <w:sz w:val="18"/>
              </w:rPr>
              <w:t>16,772</w:t>
            </w:r>
          </w:p>
        </w:tc>
        <w:tc>
          <w:tcPr>
            <w:tcW w:w="1128" w:type="dxa"/>
            <w:vAlign w:val="center"/>
          </w:tcPr>
          <w:p w14:paraId="13328992" w14:textId="77777777" w:rsidR="006A63D0" w:rsidRDefault="005C5514">
            <w:pPr>
              <w:jc w:val="right"/>
            </w:pPr>
            <w:r>
              <w:rPr>
                <w:sz w:val="18"/>
              </w:rPr>
              <w:t>6,557</w:t>
            </w:r>
          </w:p>
        </w:tc>
        <w:tc>
          <w:tcPr>
            <w:tcW w:w="1128" w:type="dxa"/>
            <w:vAlign w:val="center"/>
          </w:tcPr>
          <w:p w14:paraId="14D451BA" w14:textId="77777777" w:rsidR="006A63D0" w:rsidRDefault="005C5514">
            <w:pPr>
              <w:jc w:val="right"/>
            </w:pPr>
            <w:r>
              <w:rPr>
                <w:sz w:val="18"/>
              </w:rPr>
              <w:t>3,752</w:t>
            </w:r>
          </w:p>
        </w:tc>
        <w:tc>
          <w:tcPr>
            <w:tcW w:w="1128" w:type="dxa"/>
            <w:vAlign w:val="center"/>
          </w:tcPr>
          <w:p w14:paraId="304FFC13" w14:textId="77777777" w:rsidR="006A63D0" w:rsidRDefault="005C5514">
            <w:pPr>
              <w:jc w:val="right"/>
            </w:pPr>
            <w:r>
              <w:rPr>
                <w:sz w:val="18"/>
              </w:rPr>
              <w:t>806,948</w:t>
            </w:r>
          </w:p>
        </w:tc>
        <w:tc>
          <w:tcPr>
            <w:tcW w:w="1128" w:type="dxa"/>
            <w:vAlign w:val="center"/>
          </w:tcPr>
          <w:p w14:paraId="078644E4" w14:textId="77777777" w:rsidR="006A63D0" w:rsidRDefault="005C5514">
            <w:pPr>
              <w:jc w:val="right"/>
            </w:pPr>
            <w:r>
              <w:rPr>
                <w:sz w:val="18"/>
              </w:rPr>
              <w:t>−379</w:t>
            </w:r>
          </w:p>
        </w:tc>
        <w:tc>
          <w:tcPr>
            <w:tcW w:w="1128" w:type="dxa"/>
            <w:vAlign w:val="center"/>
          </w:tcPr>
          <w:p w14:paraId="450D8617" w14:textId="77777777" w:rsidR="006A63D0" w:rsidRDefault="005C5514">
            <w:r>
              <w:rPr>
                <w:sz w:val="18"/>
              </w:rPr>
              <w:t>ok (closure exact)</w:t>
            </w:r>
          </w:p>
        </w:tc>
      </w:tr>
      <w:tr w:rsidR="006A63D0" w14:paraId="42538232" w14:textId="77777777">
        <w:tc>
          <w:tcPr>
            <w:tcW w:w="1128" w:type="dxa"/>
            <w:vAlign w:val="center"/>
          </w:tcPr>
          <w:p w14:paraId="09DC95F1" w14:textId="77777777" w:rsidR="006A63D0" w:rsidRDefault="005C5514">
            <w:r>
              <w:rPr>
                <w:rFonts w:ascii="Consolas" w:hAnsi="Consolas"/>
                <w:sz w:val="18"/>
              </w:rPr>
              <w:t>├ padd1_view (East Coast)</w:t>
            </w:r>
          </w:p>
        </w:tc>
        <w:tc>
          <w:tcPr>
            <w:tcW w:w="1128" w:type="dxa"/>
            <w:vAlign w:val="center"/>
          </w:tcPr>
          <w:p w14:paraId="6E70F612" w14:textId="77777777" w:rsidR="006A63D0" w:rsidRDefault="005C5514">
            <w:pPr>
              <w:jc w:val="right"/>
            </w:pPr>
            <w:r>
              <w:rPr>
                <w:sz w:val="18"/>
              </w:rPr>
              <w:t>46</w:t>
            </w:r>
          </w:p>
        </w:tc>
        <w:tc>
          <w:tcPr>
            <w:tcW w:w="1128" w:type="dxa"/>
            <w:vAlign w:val="center"/>
          </w:tcPr>
          <w:p w14:paraId="7E9D013A" w14:textId="77777777" w:rsidR="006A63D0" w:rsidRDefault="005C5514">
            <w:pPr>
              <w:jc w:val="right"/>
            </w:pPr>
            <w:r>
              <w:rPr>
                <w:sz w:val="18"/>
              </w:rPr>
              <w:t>745</w:t>
            </w:r>
          </w:p>
        </w:tc>
        <w:tc>
          <w:tcPr>
            <w:tcW w:w="1128" w:type="dxa"/>
            <w:vAlign w:val="center"/>
          </w:tcPr>
          <w:p w14:paraId="68451577" w14:textId="77777777" w:rsidR="006A63D0" w:rsidRDefault="005C5514">
            <w:pPr>
              <w:jc w:val="right"/>
            </w:pPr>
            <w:r>
              <w:rPr>
                <w:sz w:val="18"/>
              </w:rPr>
              <w:t>705</w:t>
            </w:r>
          </w:p>
        </w:tc>
        <w:tc>
          <w:tcPr>
            <w:tcW w:w="1128" w:type="dxa"/>
            <w:vAlign w:val="center"/>
          </w:tcPr>
          <w:p w14:paraId="3D5558C3" w14:textId="77777777" w:rsidR="006A63D0" w:rsidRDefault="005C5514">
            <w:pPr>
              <w:jc w:val="right"/>
            </w:pPr>
            <w:r>
              <w:rPr>
                <w:sz w:val="18"/>
              </w:rPr>
              <w:t>92</w:t>
            </w:r>
          </w:p>
        </w:tc>
        <w:tc>
          <w:tcPr>
            <w:tcW w:w="1128" w:type="dxa"/>
            <w:vAlign w:val="center"/>
          </w:tcPr>
          <w:p w14:paraId="0E3B0536" w14:textId="77777777" w:rsidR="006A63D0" w:rsidRDefault="005C5514">
            <w:pPr>
              <w:jc w:val="right"/>
            </w:pPr>
            <w:r>
              <w:rPr>
                <w:sz w:val="18"/>
              </w:rPr>
              <w:t>7,872</w:t>
            </w:r>
          </w:p>
        </w:tc>
        <w:tc>
          <w:tcPr>
            <w:tcW w:w="1128" w:type="dxa"/>
            <w:vAlign w:val="center"/>
          </w:tcPr>
          <w:p w14:paraId="0943B054" w14:textId="77777777" w:rsidR="006A63D0" w:rsidRDefault="005C5514">
            <w:pPr>
              <w:jc w:val="right"/>
            </w:pPr>
            <w:r>
              <w:rPr>
                <w:sz w:val="18"/>
              </w:rPr>
              <w:t>−108</w:t>
            </w:r>
          </w:p>
        </w:tc>
        <w:tc>
          <w:tcPr>
            <w:tcW w:w="1128" w:type="dxa"/>
            <w:vAlign w:val="center"/>
          </w:tcPr>
          <w:p w14:paraId="04D0337A" w14:textId="77777777" w:rsidR="006A63D0" w:rsidRDefault="005C5514">
            <w:r>
              <w:rPr>
                <w:sz w:val="18"/>
              </w:rPr>
              <w:t>ok</w:t>
            </w:r>
          </w:p>
        </w:tc>
      </w:tr>
      <w:tr w:rsidR="006A63D0" w14:paraId="2B73EE7C" w14:textId="77777777">
        <w:tc>
          <w:tcPr>
            <w:tcW w:w="1128" w:type="dxa"/>
            <w:vAlign w:val="center"/>
          </w:tcPr>
          <w:p w14:paraId="18B69ED2" w14:textId="77777777" w:rsidR="006A63D0" w:rsidRDefault="005C5514">
            <w:r>
              <w:rPr>
                <w:rFonts w:ascii="Consolas" w:hAnsi="Consolas"/>
                <w:sz w:val="18"/>
              </w:rPr>
              <w:t>├ padd2_view (Midwest)</w:t>
            </w:r>
          </w:p>
        </w:tc>
        <w:tc>
          <w:tcPr>
            <w:tcW w:w="1128" w:type="dxa"/>
            <w:vAlign w:val="center"/>
          </w:tcPr>
          <w:p w14:paraId="30F78BEC" w14:textId="77777777" w:rsidR="006A63D0" w:rsidRDefault="005C5514">
            <w:pPr>
              <w:jc w:val="right"/>
            </w:pPr>
            <w:r>
              <w:rPr>
                <w:sz w:val="18"/>
              </w:rPr>
              <w:t>1,837</w:t>
            </w:r>
          </w:p>
        </w:tc>
        <w:tc>
          <w:tcPr>
            <w:tcW w:w="1128" w:type="dxa"/>
            <w:vAlign w:val="center"/>
          </w:tcPr>
          <w:p w14:paraId="23BFA7F7" w14:textId="77777777" w:rsidR="006A63D0" w:rsidRDefault="005C5514">
            <w:pPr>
              <w:jc w:val="right"/>
            </w:pPr>
            <w:r>
              <w:rPr>
                <w:sz w:val="18"/>
              </w:rPr>
              <w:t>3,942</w:t>
            </w:r>
          </w:p>
        </w:tc>
        <w:tc>
          <w:tcPr>
            <w:tcW w:w="1128" w:type="dxa"/>
            <w:vAlign w:val="center"/>
          </w:tcPr>
          <w:p w14:paraId="0A9B704C" w14:textId="77777777" w:rsidR="006A63D0" w:rsidRDefault="005C5514">
            <w:pPr>
              <w:jc w:val="right"/>
            </w:pPr>
            <w:r>
              <w:rPr>
                <w:sz w:val="18"/>
              </w:rPr>
              <w:t>4,503</w:t>
            </w:r>
          </w:p>
        </w:tc>
        <w:tc>
          <w:tcPr>
            <w:tcW w:w="1128" w:type="dxa"/>
            <w:vAlign w:val="center"/>
          </w:tcPr>
          <w:p w14:paraId="082FC49E" w14:textId="77777777" w:rsidR="006A63D0" w:rsidRDefault="005C5514">
            <w:pPr>
              <w:jc w:val="right"/>
            </w:pPr>
            <w:r>
              <w:rPr>
                <w:sz w:val="18"/>
              </w:rPr>
              <w:t>2,426</w:t>
            </w:r>
          </w:p>
        </w:tc>
        <w:tc>
          <w:tcPr>
            <w:tcW w:w="1128" w:type="dxa"/>
            <w:vAlign w:val="center"/>
          </w:tcPr>
          <w:p w14:paraId="2B968CEF" w14:textId="77777777" w:rsidR="006A63D0" w:rsidRDefault="005C5514">
            <w:pPr>
              <w:jc w:val="right"/>
            </w:pPr>
            <w:r>
              <w:rPr>
                <w:sz w:val="18"/>
              </w:rPr>
              <w:t>103,681</w:t>
            </w:r>
          </w:p>
        </w:tc>
        <w:tc>
          <w:tcPr>
            <w:tcW w:w="1128" w:type="dxa"/>
            <w:vAlign w:val="center"/>
          </w:tcPr>
          <w:p w14:paraId="49A974C1" w14:textId="77777777" w:rsidR="006A63D0" w:rsidRDefault="005C5514">
            <w:pPr>
              <w:jc w:val="right"/>
            </w:pPr>
            <w:r>
              <w:rPr>
                <w:sz w:val="18"/>
              </w:rPr>
              <w:t>−128</w:t>
            </w:r>
          </w:p>
        </w:tc>
        <w:tc>
          <w:tcPr>
            <w:tcW w:w="1128" w:type="dxa"/>
            <w:vAlign w:val="center"/>
          </w:tcPr>
          <w:p w14:paraId="04F0F858" w14:textId="77777777" w:rsidR="006A63D0" w:rsidRDefault="005C5514">
            <w:r>
              <w:rPr>
                <w:sz w:val="18"/>
              </w:rPr>
              <w:t>ok</w:t>
            </w:r>
          </w:p>
        </w:tc>
      </w:tr>
      <w:tr w:rsidR="006A63D0" w14:paraId="4CEB7D0A" w14:textId="77777777">
        <w:tc>
          <w:tcPr>
            <w:tcW w:w="1128" w:type="dxa"/>
            <w:vAlign w:val="center"/>
          </w:tcPr>
          <w:p w14:paraId="1990CC76" w14:textId="77777777" w:rsidR="006A63D0" w:rsidRDefault="005C5514">
            <w:r>
              <w:rPr>
                <w:rFonts w:ascii="Consolas" w:hAnsi="Consolas"/>
                <w:sz w:val="18"/>
              </w:rPr>
              <w:t>├ padd3_view (Gulf Coast)</w:t>
            </w:r>
          </w:p>
        </w:tc>
        <w:tc>
          <w:tcPr>
            <w:tcW w:w="1128" w:type="dxa"/>
            <w:vAlign w:val="center"/>
          </w:tcPr>
          <w:p w14:paraId="6300944C" w14:textId="77777777" w:rsidR="006A63D0" w:rsidRDefault="005C5514">
            <w:pPr>
              <w:jc w:val="right"/>
            </w:pPr>
            <w:r>
              <w:rPr>
                <w:sz w:val="18"/>
              </w:rPr>
              <w:t>9,791</w:t>
            </w:r>
          </w:p>
        </w:tc>
        <w:tc>
          <w:tcPr>
            <w:tcW w:w="1128" w:type="dxa"/>
            <w:vAlign w:val="center"/>
          </w:tcPr>
          <w:p w14:paraId="284601C0" w14:textId="77777777" w:rsidR="006A63D0" w:rsidRDefault="005C5514">
            <w:pPr>
              <w:jc w:val="right"/>
            </w:pPr>
            <w:r>
              <w:rPr>
                <w:sz w:val="18"/>
              </w:rPr>
              <w:t>9,390</w:t>
            </w:r>
          </w:p>
        </w:tc>
        <w:tc>
          <w:tcPr>
            <w:tcW w:w="1128" w:type="dxa"/>
            <w:vAlign w:val="center"/>
          </w:tcPr>
          <w:p w14:paraId="20BDE9EF" w14:textId="77777777" w:rsidR="006A63D0" w:rsidRDefault="005C5514">
            <w:pPr>
              <w:jc w:val="right"/>
            </w:pPr>
            <w:r>
              <w:rPr>
                <w:sz w:val="18"/>
              </w:rPr>
              <w:t>3,631</w:t>
            </w:r>
          </w:p>
        </w:tc>
        <w:tc>
          <w:tcPr>
            <w:tcW w:w="1128" w:type="dxa"/>
            <w:vAlign w:val="center"/>
          </w:tcPr>
          <w:p w14:paraId="30C43EBB" w14:textId="77777777" w:rsidR="006A63D0" w:rsidRDefault="005C5514">
            <w:pPr>
              <w:jc w:val="right"/>
            </w:pPr>
            <w:r>
              <w:rPr>
                <w:sz w:val="18"/>
              </w:rPr>
              <w:t>4,266</w:t>
            </w:r>
          </w:p>
        </w:tc>
        <w:tc>
          <w:tcPr>
            <w:tcW w:w="1128" w:type="dxa"/>
            <w:vAlign w:val="center"/>
          </w:tcPr>
          <w:p w14:paraId="73A75BA8" w14:textId="77777777" w:rsidR="006A63D0" w:rsidRDefault="005C5514">
            <w:pPr>
              <w:jc w:val="right"/>
            </w:pPr>
            <w:r>
              <w:rPr>
                <w:sz w:val="18"/>
              </w:rPr>
              <w:t>621,631</w:t>
            </w:r>
          </w:p>
        </w:tc>
        <w:tc>
          <w:tcPr>
            <w:tcW w:w="1128" w:type="dxa"/>
            <w:vAlign w:val="center"/>
          </w:tcPr>
          <w:p w14:paraId="7674200F" w14:textId="77777777" w:rsidR="006A63D0" w:rsidRDefault="005C5514">
            <w:pPr>
              <w:jc w:val="right"/>
            </w:pPr>
            <w:r>
              <w:rPr>
                <w:sz w:val="18"/>
              </w:rPr>
              <w:t>−105</w:t>
            </w:r>
          </w:p>
        </w:tc>
        <w:tc>
          <w:tcPr>
            <w:tcW w:w="1128" w:type="dxa"/>
            <w:vAlign w:val="center"/>
          </w:tcPr>
          <w:p w14:paraId="5FFECC2B" w14:textId="77777777" w:rsidR="006A63D0" w:rsidRDefault="005C5514">
            <w:r>
              <w:rPr>
                <w:sz w:val="18"/>
              </w:rPr>
              <w:t>ok</w:t>
            </w:r>
          </w:p>
        </w:tc>
      </w:tr>
      <w:tr w:rsidR="006A63D0" w14:paraId="16F77C0A" w14:textId="77777777">
        <w:tc>
          <w:tcPr>
            <w:tcW w:w="1128" w:type="dxa"/>
            <w:vAlign w:val="center"/>
          </w:tcPr>
          <w:p w14:paraId="0128C64C" w14:textId="77777777" w:rsidR="006A63D0" w:rsidRDefault="005C5514">
            <w:r>
              <w:rPr>
                <w:rFonts w:ascii="Consolas" w:hAnsi="Consolas"/>
                <w:sz w:val="18"/>
              </w:rPr>
              <w:t>├ padd4_view (Rocky Mountain)</w:t>
            </w:r>
          </w:p>
        </w:tc>
        <w:tc>
          <w:tcPr>
            <w:tcW w:w="1128" w:type="dxa"/>
            <w:vAlign w:val="center"/>
          </w:tcPr>
          <w:p w14:paraId="144C0709" w14:textId="77777777" w:rsidR="006A63D0" w:rsidRDefault="005C5514">
            <w:pPr>
              <w:jc w:val="right"/>
            </w:pPr>
            <w:r>
              <w:rPr>
                <w:sz w:val="18"/>
              </w:rPr>
              <w:t>1,051</w:t>
            </w:r>
          </w:p>
        </w:tc>
        <w:tc>
          <w:tcPr>
            <w:tcW w:w="1128" w:type="dxa"/>
            <w:vAlign w:val="center"/>
          </w:tcPr>
          <w:p w14:paraId="43B6AB4E" w14:textId="77777777" w:rsidR="006A63D0" w:rsidRDefault="005C5514">
            <w:pPr>
              <w:jc w:val="right"/>
            </w:pPr>
            <w:r>
              <w:rPr>
                <w:sz w:val="18"/>
              </w:rPr>
              <w:t>569</w:t>
            </w:r>
          </w:p>
        </w:tc>
        <w:tc>
          <w:tcPr>
            <w:tcW w:w="1128" w:type="dxa"/>
            <w:vAlign w:val="center"/>
          </w:tcPr>
          <w:p w14:paraId="51D695CE" w14:textId="77777777" w:rsidR="006A63D0" w:rsidRDefault="005C5514">
            <w:pPr>
              <w:jc w:val="right"/>
            </w:pPr>
            <w:r>
              <w:rPr>
                <w:sz w:val="18"/>
              </w:rPr>
              <w:t>553</w:t>
            </w:r>
          </w:p>
        </w:tc>
        <w:tc>
          <w:tcPr>
            <w:tcW w:w="1128" w:type="dxa"/>
            <w:vAlign w:val="center"/>
          </w:tcPr>
          <w:p w14:paraId="303DE67D" w14:textId="77777777" w:rsidR="006A63D0" w:rsidRDefault="005C5514">
            <w:pPr>
              <w:jc w:val="right"/>
            </w:pPr>
            <w:r>
              <w:rPr>
                <w:sz w:val="18"/>
              </w:rPr>
              <w:t>988</w:t>
            </w:r>
          </w:p>
        </w:tc>
        <w:tc>
          <w:tcPr>
            <w:tcW w:w="1128" w:type="dxa"/>
            <w:vAlign w:val="center"/>
          </w:tcPr>
          <w:p w14:paraId="51C01D67" w14:textId="77777777" w:rsidR="006A63D0" w:rsidRDefault="005C5514">
            <w:pPr>
              <w:jc w:val="right"/>
            </w:pPr>
            <w:r>
              <w:rPr>
                <w:sz w:val="18"/>
              </w:rPr>
              <w:t>24,434</w:t>
            </w:r>
          </w:p>
        </w:tc>
        <w:tc>
          <w:tcPr>
            <w:tcW w:w="1128" w:type="dxa"/>
            <w:vAlign w:val="center"/>
          </w:tcPr>
          <w:p w14:paraId="5234EA02" w14:textId="77777777" w:rsidR="006A63D0" w:rsidRDefault="005C5514">
            <w:pPr>
              <w:jc w:val="right"/>
            </w:pPr>
            <w:r>
              <w:rPr>
                <w:sz w:val="18"/>
              </w:rPr>
              <w:t>−32</w:t>
            </w:r>
          </w:p>
        </w:tc>
        <w:tc>
          <w:tcPr>
            <w:tcW w:w="1128" w:type="dxa"/>
            <w:vAlign w:val="center"/>
          </w:tcPr>
          <w:p w14:paraId="530236A7" w14:textId="77777777" w:rsidR="006A63D0" w:rsidRDefault="005C5514">
            <w:r>
              <w:rPr>
                <w:sz w:val="18"/>
              </w:rPr>
              <w:t>ok</w:t>
            </w:r>
          </w:p>
        </w:tc>
      </w:tr>
      <w:tr w:rsidR="006A63D0" w14:paraId="7BD7CE55" w14:textId="77777777">
        <w:tc>
          <w:tcPr>
            <w:tcW w:w="1128" w:type="dxa"/>
            <w:vAlign w:val="center"/>
          </w:tcPr>
          <w:p w14:paraId="2F5E372B" w14:textId="77777777" w:rsidR="006A63D0" w:rsidRDefault="005C5514">
            <w:r>
              <w:rPr>
                <w:rFonts w:ascii="Consolas" w:hAnsi="Consolas"/>
                <w:sz w:val="18"/>
              </w:rPr>
              <w:t>└ padd5_view (West Coast)</w:t>
            </w:r>
          </w:p>
        </w:tc>
        <w:tc>
          <w:tcPr>
            <w:tcW w:w="1128" w:type="dxa"/>
            <w:vAlign w:val="center"/>
          </w:tcPr>
          <w:p w14:paraId="4C77348D" w14:textId="77777777" w:rsidR="006A63D0" w:rsidRDefault="005C5514">
            <w:pPr>
              <w:jc w:val="right"/>
            </w:pPr>
            <w:r>
              <w:rPr>
                <w:sz w:val="18"/>
              </w:rPr>
              <w:t>714</w:t>
            </w:r>
          </w:p>
        </w:tc>
        <w:tc>
          <w:tcPr>
            <w:tcW w:w="1128" w:type="dxa"/>
            <w:vAlign w:val="center"/>
          </w:tcPr>
          <w:p w14:paraId="1427ED73" w14:textId="77777777" w:rsidR="006A63D0" w:rsidRDefault="005C5514">
            <w:pPr>
              <w:jc w:val="right"/>
            </w:pPr>
            <w:r>
              <w:rPr>
                <w:sz w:val="18"/>
              </w:rPr>
              <w:t>2,126</w:t>
            </w:r>
          </w:p>
        </w:tc>
        <w:tc>
          <w:tcPr>
            <w:tcW w:w="1128" w:type="dxa"/>
            <w:vAlign w:val="center"/>
          </w:tcPr>
          <w:p w14:paraId="5ACD21A7" w14:textId="77777777" w:rsidR="006A63D0" w:rsidRDefault="005C5514">
            <w:pPr>
              <w:jc w:val="right"/>
            </w:pPr>
            <w:r>
              <w:rPr>
                <w:sz w:val="18"/>
              </w:rPr>
              <w:t>1,185</w:t>
            </w:r>
          </w:p>
        </w:tc>
        <w:tc>
          <w:tcPr>
            <w:tcW w:w="1128" w:type="dxa"/>
            <w:vAlign w:val="center"/>
          </w:tcPr>
          <w:p w14:paraId="0A90EB72" w14:textId="77777777" w:rsidR="006A63D0" w:rsidRDefault="005C5514">
            <w:pPr>
              <w:jc w:val="right"/>
            </w:pPr>
            <w:r>
              <w:rPr>
                <w:sz w:val="18"/>
              </w:rPr>
              <w:t>0</w:t>
            </w:r>
          </w:p>
        </w:tc>
        <w:tc>
          <w:tcPr>
            <w:tcW w:w="1128" w:type="dxa"/>
            <w:vAlign w:val="center"/>
          </w:tcPr>
          <w:p w14:paraId="74A53DD7" w14:textId="77777777" w:rsidR="006A63D0" w:rsidRDefault="005C5514">
            <w:pPr>
              <w:jc w:val="right"/>
            </w:pPr>
            <w:r>
              <w:rPr>
                <w:sz w:val="18"/>
              </w:rPr>
              <w:t>49,330</w:t>
            </w:r>
          </w:p>
        </w:tc>
        <w:tc>
          <w:tcPr>
            <w:tcW w:w="1128" w:type="dxa"/>
            <w:vAlign w:val="center"/>
          </w:tcPr>
          <w:p w14:paraId="0242619D" w14:textId="77777777" w:rsidR="006A63D0" w:rsidRDefault="005C5514">
            <w:pPr>
              <w:jc w:val="right"/>
            </w:pPr>
            <w:r>
              <w:rPr>
                <w:sz w:val="18"/>
              </w:rPr>
              <w:t>−7</w:t>
            </w:r>
          </w:p>
        </w:tc>
        <w:tc>
          <w:tcPr>
            <w:tcW w:w="1128" w:type="dxa"/>
            <w:vAlign w:val="center"/>
          </w:tcPr>
          <w:p w14:paraId="47A764EE" w14:textId="77777777" w:rsidR="006A63D0" w:rsidRDefault="005C5514">
            <w:r>
              <w:rPr>
                <w:sz w:val="18"/>
              </w:rPr>
              <w:t>ok</w:t>
            </w:r>
          </w:p>
        </w:tc>
      </w:tr>
    </w:tbl>
    <w:p w14:paraId="13444121" w14:textId="77777777" w:rsidR="003A3CF9" w:rsidRDefault="003A3CF9">
      <w:pPr>
        <w:spacing w:after="160" w:line="319" w:lineRule="auto"/>
        <w:jc w:val="both"/>
      </w:pPr>
    </w:p>
    <w:p w14:paraId="21139BDA" w14:textId="48352846" w:rsidR="006E3777" w:rsidRPr="003A3CF9" w:rsidRDefault="006E3777">
      <w:pPr>
        <w:spacing w:after="160" w:line="319" w:lineRule="auto"/>
        <w:jc w:val="both"/>
      </w:pPr>
      <w:r>
        <w:t>F</w:t>
      </w:r>
      <w:r w:rsidRPr="003A3CF9">
        <w:rPr>
          <w:vertAlign w:val="subscript"/>
        </w:rPr>
        <w:t>in</w:t>
      </w:r>
      <w:r>
        <w:t xml:space="preserve"> at PADD level includes inter-PADD inflows from neighbouring PADDs as well as boundary inflows from foreign supply and Canadian production; F</w:t>
      </w:r>
      <w:r w:rsidRPr="003A3CF9">
        <w:rPr>
          <w:vertAlign w:val="subscript"/>
        </w:rPr>
        <w:t>out</w:t>
      </w:r>
      <w:r>
        <w:t xml:space="preserve"> at PADD level includes inter-PADD outflows. At usa_view, by contrast, the inter-PADD movements (4,018 kbd in either direction at this date) net out and only the boundary flows remain — 4,234 kbd Canadian + 2,323 kbd foreign = 6,557 kbd of inflow, and 3,752 kbd of outflow to export destinations. Σ-of-PADDs equals usa_view to within rounding tolerance for every variable type listed.</w:t>
      </w:r>
    </w:p>
    <w:p w14:paraId="36BCFC1D" w14:textId="77777777" w:rsidR="008E1B31" w:rsidRDefault="005C5514">
      <w:pPr>
        <w:spacing w:after="120"/>
      </w:pPr>
      <w:r>
        <w:rPr>
          <w:sz w:val="12"/>
          <w:szCs w:val="12"/>
        </w:rPr>
        <w:t xml:space="preserve"> </w:t>
      </w:r>
    </w:p>
    <w:p w14:paraId="36BCFC1E" w14:textId="77777777" w:rsidR="008E1B31" w:rsidRDefault="005C5514">
      <w:pPr>
        <w:spacing w:after="160" w:line="320" w:lineRule="auto"/>
        <w:jc w:val="both"/>
      </w:pPr>
      <w:r>
        <w:t>Partition closure is the algebraic identity that the audit verifies: for every parent node N and every variable type T, the own value of N's T variable equals the sum of N's partition children's T variables. After twenty-three passes of refinement, this closure holds within rounding tolerance across all five PADDs and at the USA aggregate, in both the inflow and outflow directions. The numerical state of the audit at the time of writing is reported in Chapter 7.</w:t>
      </w:r>
    </w:p>
    <w:p w14:paraId="36BCFC1F" w14:textId="77777777" w:rsidR="008E1B31" w:rsidRDefault="005C5514">
      <w:pPr>
        <w:pStyle w:val="Heading2"/>
      </w:pPr>
      <w:r>
        <w:lastRenderedPageBreak/>
        <w:t>5.8 Scenarios and authoritative declarations</w:t>
      </w:r>
    </w:p>
    <w:p w14:paraId="36BCFC20" w14:textId="77777777" w:rsidR="008E1B31" w:rsidRDefault="005C5514">
      <w:pPr>
        <w:spacing w:after="160" w:line="320" w:lineRule="auto"/>
        <w:jc w:val="both"/>
      </w:pPr>
      <w:r>
        <w:t xml:space="preserve">A scenario is a pair: the persistent asset graph plus a set of </w:t>
      </w:r>
      <w:r>
        <w:rPr>
          <w:rFonts w:ascii="Consolas" w:eastAsia="Consolas" w:hAnsi="Consolas" w:cs="Consolas"/>
        </w:rPr>
        <w:t>variable_assignments</w:t>
      </w:r>
      <w:r>
        <w:t xml:space="preserve"> rows tagged with the </w:t>
      </w:r>
      <w:r>
        <w:rPr>
          <w:rFonts w:ascii="Consolas" w:eastAsia="Consolas" w:hAnsi="Consolas" w:cs="Consolas"/>
        </w:rPr>
        <w:t>scenario_id</w:t>
      </w:r>
      <w:r>
        <w:t>. Different scenarios share the asset graph and the time-series data; they differ in which variables are bound to which time series, and which are derived from formulas.</w:t>
      </w:r>
    </w:p>
    <w:p w14:paraId="36BCFC21" w14:textId="77777777" w:rsidR="008E1B31" w:rsidRDefault="005C5514">
      <w:pPr>
        <w:spacing w:after="160" w:line="320" w:lineRule="auto"/>
        <w:jc w:val="both"/>
      </w:pPr>
      <w:r>
        <w:t>The schema-level CHECK on assignment rows means each row binds the variable either to a time series (authoritative) or to a formula (derived), never both, never neither. The set of assignments under a scenario therefore encodes, for every variable, exactly which resolution is authoritative and which is derived. There is no separate coverage-contract structure; the per-variable choices are the contract.</w:t>
      </w:r>
    </w:p>
    <w:p w14:paraId="36BCFC22" w14:textId="77777777" w:rsidR="008E1B31" w:rsidRDefault="005C5514">
      <w:pPr>
        <w:spacing w:after="160" w:line="320" w:lineRule="auto"/>
        <w:jc w:val="both"/>
      </w:pPr>
      <w:r>
        <w:t>The starter scenario's authoritative declarations summarise as follows:</w:t>
      </w:r>
    </w:p>
    <w:tbl>
      <w:tblPr>
        <w:tblStyle w:val="TableGrid"/>
        <w:tblW w:w="9067" w:type="dxa"/>
        <w:tblLook w:val="04A0" w:firstRow="1" w:lastRow="0" w:firstColumn="1" w:lastColumn="0" w:noHBand="0" w:noVBand="1"/>
      </w:tblPr>
      <w:tblGrid>
        <w:gridCol w:w="3022"/>
        <w:gridCol w:w="3022"/>
        <w:gridCol w:w="3023"/>
      </w:tblGrid>
      <w:tr w:rsidR="00537923" w14:paraId="6B93B3DE" w14:textId="77777777">
        <w:trPr>
          <w:tblHeader/>
        </w:trPr>
        <w:tc>
          <w:tcPr>
            <w:tcW w:w="3022" w:type="dxa"/>
            <w:shd w:val="clear" w:color="auto" w:fill="D9E2F3"/>
            <w:vAlign w:val="center"/>
          </w:tcPr>
          <w:p w14:paraId="5B576FE3" w14:textId="77777777" w:rsidR="00537923" w:rsidRDefault="005C5514">
            <w:pPr>
              <w:rPr>
                <w:b/>
              </w:rPr>
            </w:pPr>
            <w:r>
              <w:rPr>
                <w:b/>
              </w:rPr>
              <w:t>Subsystem</w:t>
            </w:r>
          </w:p>
        </w:tc>
        <w:tc>
          <w:tcPr>
            <w:tcW w:w="3022" w:type="dxa"/>
            <w:shd w:val="clear" w:color="auto" w:fill="D9E2F3"/>
            <w:vAlign w:val="center"/>
          </w:tcPr>
          <w:p w14:paraId="446C34E7" w14:textId="77777777" w:rsidR="00537923" w:rsidRDefault="005C5514">
            <w:pPr>
              <w:rPr>
                <w:b/>
              </w:rPr>
            </w:pPr>
            <w:r>
              <w:rPr>
                <w:b/>
              </w:rPr>
              <w:t>Authoritative resolution</w:t>
            </w:r>
          </w:p>
        </w:tc>
        <w:tc>
          <w:tcPr>
            <w:tcW w:w="3023" w:type="dxa"/>
            <w:shd w:val="clear" w:color="auto" w:fill="D9E2F3"/>
            <w:vAlign w:val="center"/>
          </w:tcPr>
          <w:p w14:paraId="063648CE" w14:textId="77777777" w:rsidR="00537923" w:rsidRDefault="005C5514">
            <w:pPr>
              <w:rPr>
                <w:b/>
              </w:rPr>
            </w:pPr>
            <w:r>
              <w:rPr>
                <w:b/>
              </w:rPr>
              <w:t>Reason</w:t>
            </w:r>
          </w:p>
        </w:tc>
      </w:tr>
      <w:tr w:rsidR="00537923" w14:paraId="1BDD4047" w14:textId="77777777">
        <w:tc>
          <w:tcPr>
            <w:tcW w:w="3022" w:type="dxa"/>
            <w:vAlign w:val="center"/>
          </w:tcPr>
          <w:p w14:paraId="1C682BDC" w14:textId="77777777" w:rsidR="00537923" w:rsidRDefault="005C5514">
            <w:r>
              <w:t>Permian, Bakken basins</w:t>
            </w:r>
          </w:p>
        </w:tc>
        <w:tc>
          <w:tcPr>
            <w:tcW w:w="3022" w:type="dxa"/>
            <w:vAlign w:val="center"/>
          </w:tcPr>
          <w:p w14:paraId="63675316" w14:textId="77777777" w:rsidR="00537923" w:rsidRDefault="005C5514">
            <w:r>
              <w:t>basin aggregate</w:t>
            </w:r>
          </w:p>
        </w:tc>
        <w:tc>
          <w:tcPr>
            <w:tcW w:w="3023" w:type="dxa"/>
            <w:vAlign w:val="center"/>
          </w:tcPr>
          <w:p w14:paraId="0DEB6DBA" w14:textId="77777777" w:rsidR="00537923" w:rsidRDefault="005C5514">
            <w:r>
              <w:t>EIA publishes production at basin level for these</w:t>
            </w:r>
          </w:p>
        </w:tc>
      </w:tr>
      <w:tr w:rsidR="00537923" w14:paraId="01C13E21" w14:textId="77777777">
        <w:tc>
          <w:tcPr>
            <w:tcW w:w="3022" w:type="dxa"/>
            <w:vAlign w:val="center"/>
          </w:tcPr>
          <w:p w14:paraId="11F7B71E" w14:textId="77777777" w:rsidR="00537923" w:rsidRDefault="005C5514">
            <w:r>
              <w:t>Eagle Ford</w:t>
            </w:r>
          </w:p>
        </w:tc>
        <w:tc>
          <w:tcPr>
            <w:tcW w:w="3022" w:type="dxa"/>
            <w:vAlign w:val="center"/>
          </w:tcPr>
          <w:p w14:paraId="6738ACC6" w14:textId="77777777" w:rsidR="00537923" w:rsidRDefault="005C5514">
            <w:r>
              <w:t>state-basin</w:t>
            </w:r>
          </w:p>
        </w:tc>
        <w:tc>
          <w:tcPr>
            <w:tcW w:w="3023" w:type="dxa"/>
            <w:vAlign w:val="center"/>
          </w:tcPr>
          <w:p w14:paraId="04490E96" w14:textId="77777777" w:rsidR="00537923" w:rsidRDefault="005C5514">
            <w:r>
              <w:t>Single-state basin; equivalent to basin level</w:t>
            </w:r>
          </w:p>
        </w:tc>
      </w:tr>
      <w:tr w:rsidR="00537923" w14:paraId="0AE66DAF" w14:textId="77777777">
        <w:tc>
          <w:tcPr>
            <w:tcW w:w="3022" w:type="dxa"/>
            <w:vAlign w:val="center"/>
          </w:tcPr>
          <w:p w14:paraId="6D791CDA" w14:textId="77777777" w:rsidR="00537923" w:rsidRDefault="005C5514">
            <w:r>
              <w:t>Gulf of America, Alaska</w:t>
            </w:r>
          </w:p>
        </w:tc>
        <w:tc>
          <w:tcPr>
            <w:tcW w:w="3022" w:type="dxa"/>
            <w:vAlign w:val="center"/>
          </w:tcPr>
          <w:p w14:paraId="5A54BF1F" w14:textId="77777777" w:rsidR="00537923" w:rsidRDefault="005C5514">
            <w:r>
              <w:t>physical node</w:t>
            </w:r>
          </w:p>
        </w:tc>
        <w:tc>
          <w:tcPr>
            <w:tcW w:w="3023" w:type="dxa"/>
            <w:vAlign w:val="center"/>
          </w:tcPr>
          <w:p w14:paraId="0034F6A3" w14:textId="77777777" w:rsidR="00537923" w:rsidRDefault="005C5514">
            <w:r>
              <w:t>Reported separately by EIA</w:t>
            </w:r>
          </w:p>
        </w:tc>
      </w:tr>
      <w:tr w:rsidR="00537923" w14:paraId="50818542" w14:textId="77777777">
        <w:tc>
          <w:tcPr>
            <w:tcW w:w="3022" w:type="dxa"/>
            <w:vAlign w:val="center"/>
          </w:tcPr>
          <w:p w14:paraId="450A9B55" w14:textId="77777777" w:rsidR="00537923" w:rsidRDefault="005C5514">
            <w:r>
              <w:t>Rest of Lower 48</w:t>
            </w:r>
          </w:p>
        </w:tc>
        <w:tc>
          <w:tcPr>
            <w:tcW w:w="3022" w:type="dxa"/>
            <w:vAlign w:val="center"/>
          </w:tcPr>
          <w:p w14:paraId="42F5DC0B" w14:textId="77777777" w:rsidR="00537923" w:rsidRDefault="005C5514">
            <w:r>
              <w:t>residual aggregate</w:t>
            </w:r>
          </w:p>
        </w:tc>
        <w:tc>
          <w:tcPr>
            <w:tcW w:w="3023" w:type="dxa"/>
            <w:vAlign w:val="center"/>
          </w:tcPr>
          <w:p w14:paraId="6D076A2F" w14:textId="77777777" w:rsidR="00537923" w:rsidRDefault="005C5514">
            <w:r>
              <w:t>EIA publishes the residual only</w:t>
            </w:r>
          </w:p>
        </w:tc>
      </w:tr>
      <w:tr w:rsidR="00537923" w14:paraId="2916322F" w14:textId="77777777">
        <w:tc>
          <w:tcPr>
            <w:tcW w:w="3022" w:type="dxa"/>
            <w:vAlign w:val="center"/>
          </w:tcPr>
          <w:p w14:paraId="13E21C4E" w14:textId="77777777" w:rsidR="00537923" w:rsidRDefault="005C5514">
            <w:r>
              <w:t>Strategic Petroleum Reserve</w:t>
            </w:r>
          </w:p>
        </w:tc>
        <w:tc>
          <w:tcPr>
            <w:tcW w:w="3022" w:type="dxa"/>
            <w:vAlign w:val="center"/>
          </w:tcPr>
          <w:p w14:paraId="6464A251" w14:textId="77777777" w:rsidR="00537923" w:rsidRDefault="005C5514">
            <w:r>
              <w:t>site level</w:t>
            </w:r>
          </w:p>
        </w:tc>
        <w:tc>
          <w:tcPr>
            <w:tcW w:w="3023" w:type="dxa"/>
            <w:vAlign w:val="center"/>
          </w:tcPr>
          <w:p w14:paraId="03B3F04B" w14:textId="77777777" w:rsidR="00537923" w:rsidRDefault="005C5514">
            <w:r>
              <w:t>EIA PSM Table 38 publishes per-site monthly inventories</w:t>
            </w:r>
          </w:p>
        </w:tc>
      </w:tr>
      <w:tr w:rsidR="00537923" w14:paraId="669379B5" w14:textId="77777777">
        <w:tc>
          <w:tcPr>
            <w:tcW w:w="3022" w:type="dxa"/>
            <w:vAlign w:val="center"/>
          </w:tcPr>
          <w:p w14:paraId="538FECBF" w14:textId="77777777" w:rsidR="00537923" w:rsidRDefault="005C5514">
            <w:r>
              <w:t>Cushing</w:t>
            </w:r>
          </w:p>
        </w:tc>
        <w:tc>
          <w:tcPr>
            <w:tcW w:w="3022" w:type="dxa"/>
            <w:vAlign w:val="center"/>
          </w:tcPr>
          <w:p w14:paraId="537A33A7" w14:textId="77777777" w:rsidR="00537923" w:rsidRDefault="005C5514">
            <w:r>
              <w:t>hub level</w:t>
            </w:r>
          </w:p>
        </w:tc>
        <w:tc>
          <w:tcPr>
            <w:tcW w:w="3023" w:type="dxa"/>
            <w:vAlign w:val="center"/>
          </w:tcPr>
          <w:p w14:paraId="121C6676" w14:textId="77777777" w:rsidR="00537923" w:rsidRDefault="005C5514">
            <w:r>
              <w:t>Operator sub-terminals inactive; the storage report is at hub level</w:t>
            </w:r>
          </w:p>
        </w:tc>
      </w:tr>
      <w:tr w:rsidR="00537923" w14:paraId="646F97AA" w14:textId="77777777">
        <w:tc>
          <w:tcPr>
            <w:tcW w:w="3022" w:type="dxa"/>
            <w:vAlign w:val="center"/>
          </w:tcPr>
          <w:p w14:paraId="42B1017A" w14:textId="77777777" w:rsidR="00537923" w:rsidRDefault="005C5514">
            <w:r>
              <w:t>Houston exports</w:t>
            </w:r>
          </w:p>
        </w:tc>
        <w:tc>
          <w:tcPr>
            <w:tcW w:w="3022" w:type="dxa"/>
            <w:vAlign w:val="center"/>
          </w:tcPr>
          <w:p w14:paraId="1B926E4E" w14:textId="77777777" w:rsidR="00537923" w:rsidRDefault="005C5514">
            <w:r>
              <w:t>export aggregate</w:t>
            </w:r>
          </w:p>
        </w:tc>
        <w:tc>
          <w:tcPr>
            <w:tcW w:w="3023" w:type="dxa"/>
            <w:vAlign w:val="center"/>
          </w:tcPr>
          <w:p w14:paraId="5B9E56AA" w14:textId="77777777" w:rsidR="00537923" w:rsidRDefault="005C5514">
            <w:r>
              <w:t>Facility sub-terminals inactive under a single aggregate</w:t>
            </w:r>
          </w:p>
        </w:tc>
      </w:tr>
      <w:tr w:rsidR="00537923" w14:paraId="7382E07E" w14:textId="77777777">
        <w:tc>
          <w:tcPr>
            <w:tcW w:w="3022" w:type="dxa"/>
            <w:vAlign w:val="center"/>
          </w:tcPr>
          <w:p w14:paraId="281A41C8" w14:textId="77777777" w:rsidR="00537923" w:rsidRDefault="005C5514">
            <w:r>
              <w:t>Stocks</w:t>
            </w:r>
          </w:p>
        </w:tc>
        <w:tc>
          <w:tcPr>
            <w:tcW w:w="3022" w:type="dxa"/>
            <w:vAlign w:val="center"/>
          </w:tcPr>
          <w:p w14:paraId="125A5426" w14:textId="77777777" w:rsidR="00537923" w:rsidRDefault="005C5514">
            <w:r>
              <w:t>PADD level (auxiliary at sub-PADD)</w:t>
            </w:r>
          </w:p>
        </w:tc>
        <w:tc>
          <w:tcPr>
            <w:tcW w:w="3023" w:type="dxa"/>
            <w:vAlign w:val="center"/>
          </w:tcPr>
          <w:p w14:paraId="2E5AFC04" w14:textId="77777777" w:rsidR="00537923" w:rsidRDefault="005C5514">
            <w:r>
              <w:t>MCRSFP plus MCRSSP at PADD level; sub-decomposition would double-count</w:t>
            </w:r>
          </w:p>
        </w:tc>
      </w:tr>
      <w:tr w:rsidR="00537923" w14:paraId="03ED6D09" w14:textId="77777777">
        <w:tc>
          <w:tcPr>
            <w:tcW w:w="3022" w:type="dxa"/>
            <w:vAlign w:val="center"/>
          </w:tcPr>
          <w:p w14:paraId="7EEB4711" w14:textId="77777777" w:rsidR="00537923" w:rsidRDefault="005C5514">
            <w:r>
              <w:t>Balancing item B</w:t>
            </w:r>
          </w:p>
        </w:tc>
        <w:tc>
          <w:tcPr>
            <w:tcW w:w="3022" w:type="dxa"/>
            <w:vAlign w:val="center"/>
          </w:tcPr>
          <w:p w14:paraId="23125CC6" w14:textId="77777777" w:rsidR="00537923" w:rsidRDefault="005C5514">
            <w:r>
              <w:t>PADD and USA</w:t>
            </w:r>
          </w:p>
        </w:tc>
        <w:tc>
          <w:tcPr>
            <w:tcW w:w="3023" w:type="dxa"/>
            <w:vAlign w:val="center"/>
          </w:tcPr>
          <w:p w14:paraId="127DECAD" w14:textId="77777777" w:rsidR="00537923" w:rsidRDefault="005C5514">
            <w:r>
              <w:t>MCRUA series, promoted to time-series-observed in the ninth migration pass</w:t>
            </w:r>
          </w:p>
        </w:tc>
      </w:tr>
      <w:tr w:rsidR="00537923" w14:paraId="173DAEC0" w14:textId="77777777">
        <w:tc>
          <w:tcPr>
            <w:tcW w:w="3022" w:type="dxa"/>
            <w:vAlign w:val="center"/>
          </w:tcPr>
          <w:p w14:paraId="467CB0FC" w14:textId="77777777" w:rsidR="00537923" w:rsidRDefault="005C5514">
            <w:r>
              <w:t>Inter-PADD flows</w:t>
            </w:r>
          </w:p>
        </w:tc>
        <w:tc>
          <w:tcPr>
            <w:tcW w:w="3022" w:type="dxa"/>
            <w:vAlign w:val="center"/>
          </w:tcPr>
          <w:p w14:paraId="389E8EA9" w14:textId="77777777" w:rsidR="00537923" w:rsidRDefault="005C5514">
            <w:r>
              <w:t>PADD-aggregate level</w:t>
            </w:r>
          </w:p>
        </w:tc>
        <w:tc>
          <w:tcPr>
            <w:tcW w:w="3023" w:type="dxa"/>
            <w:vAlign w:val="center"/>
          </w:tcPr>
          <w:p w14:paraId="35D3BE70" w14:textId="77777777" w:rsidR="00537923" w:rsidRDefault="005C5514">
            <w:r>
              <w:t>MCRMP series at the combined aggregate; per-pipeline split latent</w:t>
            </w:r>
          </w:p>
        </w:tc>
      </w:tr>
    </w:tbl>
    <w:p w14:paraId="36BCFC2F" w14:textId="77777777" w:rsidR="008E1B31" w:rsidRDefault="005C5514">
      <w:pPr>
        <w:spacing w:after="160" w:line="320" w:lineRule="auto"/>
        <w:jc w:val="both"/>
      </w:pPr>
      <w:r>
        <w:t xml:space="preserve">Cross-scenario consistency — the test that the same time-series data, evaluated under progressively finer assignment sets, produces consistent aggregate values — is the second main consistency claim of the framework. The current implementation has </w:t>
      </w:r>
      <w:r>
        <w:rPr>
          <w:rFonts w:ascii="Consolas" w:eastAsia="Consolas" w:hAnsi="Consolas" w:cs="Consolas"/>
        </w:rPr>
        <w:t>starter_us_crude_2015_2025</w:t>
      </w:r>
      <w:r>
        <w:t xml:space="preserve"> as the only active scenario; a coarser companion (</w:t>
      </w:r>
      <w:r>
        <w:rPr>
          <w:rFonts w:ascii="Consolas" w:eastAsia="Consolas" w:hAnsi="Consolas" w:cs="Consolas"/>
        </w:rPr>
        <w:t>starter_basin</w:t>
      </w:r>
      <w:r>
        <w:t>) is queued for the next development pass and will exercise the cross-scenario closure test directly.</w:t>
      </w:r>
    </w:p>
    <w:p w14:paraId="36BCFC30" w14:textId="77777777" w:rsidR="008E1B31" w:rsidRDefault="005C5514">
      <w:pPr>
        <w:pStyle w:val="Heading2"/>
      </w:pPr>
      <w:r>
        <w:t>5.9 The end-to-end pipeline</w:t>
      </w:r>
    </w:p>
    <w:p w14:paraId="36BCFC31" w14:textId="77777777" w:rsidR="008E1B31" w:rsidRDefault="005C5514">
      <w:pPr>
        <w:spacing w:after="160" w:line="320" w:lineRule="auto"/>
        <w:jc w:val="both"/>
      </w:pPr>
      <w:r>
        <w:lastRenderedPageBreak/>
        <w:t>A complete run of the framework follows three phases. Each phase has a single concern and writes to a well-defined subset of tables.</w:t>
      </w:r>
    </w:p>
    <w:p w14:paraId="084EAF2C" w14:textId="77777777" w:rsidR="006E3777" w:rsidRDefault="006E3777">
      <w:pPr>
        <w:spacing w:after="160" w:line="319" w:lineRule="auto"/>
        <w:jc w:val="center"/>
        <w:rPr>
          <w:kern w:val="2"/>
          <w14:ligatures w14:val="standardContextual"/>
        </w:rPr>
      </w:pPr>
      <w:r>
        <w:rPr>
          <w:noProof/>
        </w:rPr>
        <w:drawing>
          <wp:inline distT="0" distB="0" distL="0" distR="0" wp14:anchorId="4C019232" wp14:editId="735275DB">
            <wp:extent cx="5486400" cy="24906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7"/>
                    <a:stretch>
                      <a:fillRect/>
                    </a:stretch>
                  </pic:blipFill>
                  <pic:spPr>
                    <a:xfrm>
                      <a:off x="0" y="0"/>
                      <a:ext cx="5486400" cy="2490673"/>
                    </a:xfrm>
                    <a:prstGeom prst="rect">
                      <a:avLst/>
                    </a:prstGeom>
                  </pic:spPr>
                </pic:pic>
              </a:graphicData>
            </a:graphic>
          </wp:inline>
        </w:drawing>
      </w:r>
    </w:p>
    <w:p w14:paraId="4DA2EE92" w14:textId="77777777" w:rsidR="006E3777" w:rsidRDefault="006E3777">
      <w:pPr>
        <w:spacing w:after="160" w:line="319" w:lineRule="auto"/>
        <w:jc w:val="center"/>
        <w:rPr>
          <w:kern w:val="2"/>
          <w14:ligatures w14:val="standardContextual"/>
        </w:rPr>
      </w:pPr>
      <w:r>
        <w:rPr>
          <w:i/>
          <w:sz w:val="18"/>
        </w:rPr>
        <w:t>Figure 5. End-to-end pipeline — load, resolve, render — with the L4 analytic views consumed by the audit machinery.</w:t>
      </w:r>
    </w:p>
    <w:p w14:paraId="36BCFC32" w14:textId="77777777" w:rsidR="008E1B31" w:rsidRDefault="005C5514">
      <w:pPr>
        <w:spacing w:after="160" w:line="320" w:lineRule="auto"/>
        <w:jc w:val="both"/>
      </w:pPr>
      <w:r>
        <w:rPr>
          <w:b/>
          <w:bCs/>
        </w:rPr>
        <w:t>Phase 1 — Load.</w:t>
      </w:r>
      <w:r>
        <w:t xml:space="preserve"> The seed file </w:t>
      </w:r>
      <w:r>
        <w:rPr>
          <w:rFonts w:ascii="Consolas" w:eastAsia="Consolas" w:hAnsi="Consolas" w:cs="Consolas"/>
        </w:rPr>
        <w:t>asset_graph.json</w:t>
      </w:r>
      <w:r>
        <w:t xml:space="preserve"> is loaded into the persistent asset graph (</w:t>
      </w:r>
      <w:r>
        <w:rPr>
          <w:rFonts w:ascii="Consolas" w:eastAsia="Consolas" w:hAnsi="Consolas" w:cs="Consolas"/>
        </w:rPr>
        <w:t>load_asset_graph.ipynb</w:t>
      </w:r>
      <w:r>
        <w:t xml:space="preserve"> writes to </w:t>
      </w:r>
      <w:r>
        <w:rPr>
          <w:rFonts w:ascii="Consolas" w:eastAsia="Consolas" w:hAnsi="Consolas" w:cs="Consolas"/>
        </w:rPr>
        <w:t>assets</w:t>
      </w:r>
      <w:r>
        <w:t xml:space="preserve">, </w:t>
      </w:r>
      <w:r>
        <w:rPr>
          <w:rFonts w:ascii="Consolas" w:eastAsia="Consolas" w:hAnsi="Consolas" w:cs="Consolas"/>
        </w:rPr>
        <w:t>nodes</w:t>
      </w:r>
      <w:r>
        <w:t xml:space="preserve">, </w:t>
      </w:r>
      <w:r>
        <w:rPr>
          <w:rFonts w:ascii="Consolas" w:eastAsia="Consolas" w:hAnsi="Consolas" w:cs="Consolas"/>
        </w:rPr>
        <w:t>locations</w:t>
      </w:r>
      <w:r>
        <w:t xml:space="preserve">, </w:t>
      </w:r>
      <w:r>
        <w:rPr>
          <w:rFonts w:ascii="Consolas" w:eastAsia="Consolas" w:hAnsi="Consolas" w:cs="Consolas"/>
        </w:rPr>
        <w:t>variables</w:t>
      </w:r>
      <w:r>
        <w:t>). The EIA series catalogue and monthly facts are loaded (</w:t>
      </w:r>
      <w:r>
        <w:rPr>
          <w:rFonts w:ascii="Consolas" w:eastAsia="Consolas" w:hAnsi="Consolas" w:cs="Consolas"/>
        </w:rPr>
        <w:t>load_eia.ipynb</w:t>
      </w:r>
      <w:r>
        <w:t xml:space="preserve"> writes to </w:t>
      </w:r>
      <w:r>
        <w:rPr>
          <w:rFonts w:ascii="Consolas" w:eastAsia="Consolas" w:hAnsi="Consolas" w:cs="Consolas"/>
        </w:rPr>
        <w:t>timeseries</w:t>
      </w:r>
      <w:r>
        <w:t xml:space="preserve">, </w:t>
      </w:r>
      <w:r>
        <w:rPr>
          <w:rFonts w:ascii="Consolas" w:eastAsia="Consolas" w:hAnsi="Consolas" w:cs="Consolas"/>
        </w:rPr>
        <w:t>timeseries_data</w:t>
      </w:r>
      <w:r>
        <w:t>). The per-scenario assignment rows are produced (</w:t>
      </w:r>
      <w:r>
        <w:rPr>
          <w:rFonts w:ascii="Consolas" w:eastAsia="Consolas" w:hAnsi="Consolas" w:cs="Consolas"/>
        </w:rPr>
        <w:t>assign_formulas.ipynb</w:t>
      </w:r>
      <w:r>
        <w:t xml:space="preserve"> writes to </w:t>
      </w:r>
      <w:r>
        <w:rPr>
          <w:rFonts w:ascii="Consolas" w:eastAsia="Consolas" w:hAnsi="Consolas" w:cs="Consolas"/>
        </w:rPr>
        <w:t>variable_assignments</w:t>
      </w:r>
      <w:r>
        <w:t>). The node-type default formulas are populated (</w:t>
      </w:r>
      <w:r>
        <w:rPr>
          <w:rFonts w:ascii="Consolas" w:eastAsia="Consolas" w:hAnsi="Consolas" w:cs="Consolas"/>
        </w:rPr>
        <w:t>populate_node_type_defaults.py</w:t>
      </w:r>
      <w:r>
        <w:t xml:space="preserve"> writes to </w:t>
      </w:r>
      <w:r>
        <w:rPr>
          <w:rFonts w:ascii="Consolas" w:eastAsia="Consolas" w:hAnsi="Consolas" w:cs="Consolas"/>
        </w:rPr>
        <w:t>node_type_default_formulas</w:t>
      </w:r>
      <w:r>
        <w:t xml:space="preserve">). Migration scripts (the </w:t>
      </w:r>
      <w:r>
        <w:rPr>
          <w:rFonts w:ascii="Consolas" w:eastAsia="Consolas" w:hAnsi="Consolas" w:cs="Consolas"/>
        </w:rPr>
        <w:t>add_*.py</w:t>
      </w:r>
      <w:r>
        <w:t xml:space="preserve">, </w:t>
      </w:r>
      <w:r>
        <w:rPr>
          <w:rFonts w:ascii="Consolas" w:eastAsia="Consolas" w:hAnsi="Consolas" w:cs="Consolas"/>
        </w:rPr>
        <w:t>split_*.py</w:t>
      </w:r>
      <w:r>
        <w:t xml:space="preserve">, </w:t>
      </w:r>
      <w:r>
        <w:rPr>
          <w:rFonts w:ascii="Consolas" w:eastAsia="Consolas" w:hAnsi="Consolas" w:cs="Consolas"/>
        </w:rPr>
        <w:t>patch_*.py</w:t>
      </w:r>
      <w:r>
        <w:t xml:space="preserve">, </w:t>
      </w:r>
      <w:r>
        <w:rPr>
          <w:rFonts w:ascii="Consolas" w:eastAsia="Consolas" w:hAnsi="Consolas" w:cs="Consolas"/>
        </w:rPr>
        <w:t>repoint_*.py</w:t>
      </w:r>
      <w:r>
        <w:t xml:space="preserve"> family) evolve the topology and the assignments incrementally. After any structural change, </w:t>
      </w:r>
      <w:r>
        <w:rPr>
          <w:rFonts w:ascii="Consolas" w:eastAsia="Consolas" w:hAnsi="Consolas" w:cs="Consolas"/>
        </w:rPr>
        <w:t>refresh_views.py --structural</w:t>
      </w:r>
      <w:r>
        <w:t xml:space="preserve"> rebuilds the L2 and L3 materialised views.</w:t>
      </w:r>
    </w:p>
    <w:p w14:paraId="36BCFC33" w14:textId="77777777" w:rsidR="008E1B31" w:rsidRDefault="005C5514">
      <w:pPr>
        <w:spacing w:after="160" w:line="320" w:lineRule="auto"/>
        <w:jc w:val="both"/>
      </w:pPr>
      <w:r>
        <w:rPr>
          <w:b/>
          <w:bCs/>
        </w:rPr>
        <w:t>Phase 2 — Resolve.</w:t>
      </w:r>
      <w:r>
        <w:t xml:space="preserve"> The script </w:t>
      </w:r>
      <w:r>
        <w:rPr>
          <w:rFonts w:ascii="Consolas" w:eastAsia="Consolas" w:hAnsi="Consolas" w:cs="Consolas"/>
        </w:rPr>
        <w:t>resolve_scenario.py</w:t>
      </w:r>
      <w:r>
        <w:t xml:space="preserve"> reads the assignment set and the time-series facts, applies the dispatch rules described in Chapter 6, and writes one row per (scenario, variable, observation date) to </w:t>
      </w:r>
      <w:r>
        <w:rPr>
          <w:rFonts w:ascii="Consolas" w:eastAsia="Consolas" w:hAnsi="Consolas" w:cs="Consolas"/>
        </w:rPr>
        <w:t>scenario_resolved_values</w:t>
      </w:r>
      <w:r>
        <w:t xml:space="preserve">. An audit row is written to </w:t>
      </w:r>
      <w:r>
        <w:rPr>
          <w:rFonts w:ascii="Consolas" w:eastAsia="Consolas" w:hAnsi="Consolas" w:cs="Consolas"/>
        </w:rPr>
        <w:t>scenario_resolver_runs</w:t>
      </w:r>
      <w:r>
        <w:t xml:space="preserve"> capturing the run's metadata (start and end timestamps, duration, dispatch counts as JSONB, optional notes). On completion, the L4 analytic views are refreshed automatically.</w:t>
      </w:r>
    </w:p>
    <w:p w14:paraId="36BCFC34" w14:textId="77777777" w:rsidR="008E1B31" w:rsidRDefault="005C5514">
      <w:pPr>
        <w:spacing w:after="160" w:line="320" w:lineRule="auto"/>
        <w:jc w:val="both"/>
      </w:pPr>
      <w:r>
        <w:rPr>
          <w:b/>
          <w:bCs/>
        </w:rPr>
        <w:t>Phase 3 — Render.</w:t>
      </w:r>
      <w:r>
        <w:t xml:space="preserve"> The HTML renderers read from the materialised views and produce the user-facing visualisations: a balance UI (per-node mass balance with drill-down through the partition tree), a hierarchy UI (the full asset graph with a variable inspector), a partition map (click-to-drill geographic view), a single-node neighbour view, and a flat geographic map of all physical assets. Each rendered HTML carries a metadata beacon naming the resolver run that produced it, and an audit row is written to </w:t>
      </w:r>
      <w:r>
        <w:rPr>
          <w:rFonts w:ascii="Consolas" w:eastAsia="Consolas" w:hAnsi="Consolas" w:cs="Consolas"/>
        </w:rPr>
        <w:t>scenario_html_artefacts</w:t>
      </w:r>
      <w:r>
        <w:t xml:space="preserve"> per regeneration. </w:t>
      </w:r>
      <w:r>
        <w:lastRenderedPageBreak/>
        <w:t>The orchestrator (</w:t>
      </w:r>
      <w:r>
        <w:rPr>
          <w:rFonts w:ascii="Consolas" w:eastAsia="Consolas" w:hAnsi="Consolas" w:cs="Consolas"/>
        </w:rPr>
        <w:t>regenerate_htmls.py</w:t>
      </w:r>
      <w:r>
        <w:t>) compares each HTML's beacon against the latest resolver run and rebuilds only the stale ones.</w:t>
      </w:r>
    </w:p>
    <w:p w14:paraId="36BCFC35" w14:textId="77777777" w:rsidR="008E1B31" w:rsidRDefault="005C5514">
      <w:pPr>
        <w:spacing w:after="160" w:line="320" w:lineRule="auto"/>
        <w:jc w:val="both"/>
      </w:pPr>
      <w:r>
        <w:t>The layered view structure that supports this pipeline is the subject of the next chapter, where the resolver is described in detail.</w:t>
      </w:r>
    </w:p>
    <w:p w14:paraId="36BCFC36" w14:textId="77777777" w:rsidR="008E1B31" w:rsidRDefault="005C5514">
      <w:pPr>
        <w:pStyle w:val="Heading1"/>
        <w:pageBreakBefore/>
      </w:pPr>
      <w:r>
        <w:lastRenderedPageBreak/>
        <w:t>6. The Resolver</w:t>
      </w:r>
    </w:p>
    <w:p w14:paraId="36BCFC37" w14:textId="77777777" w:rsidR="008E1B31" w:rsidRDefault="005C5514">
      <w:pPr>
        <w:spacing w:after="160" w:line="320" w:lineRule="auto"/>
        <w:jc w:val="both"/>
      </w:pPr>
      <w:r>
        <w:t>The resolver is the mechanism that consumes the persistent asset graph and the per-scenario assignment set, evaluates every variable at every observation date, and writes the resulting per-(variable, date) values to a single table. Downstream consumers — the balance UI, the hierarchy explorer, the geographic map, the consistency audits, and the LP that Chapter 8 develops — all read from that single table. None of them reimplements the resolution logic; none of them queries the base tables directly for derived values.</w:t>
      </w:r>
    </w:p>
    <w:p w14:paraId="36BCFC38" w14:textId="77777777" w:rsidR="008E1B31" w:rsidRDefault="005C5514">
      <w:pPr>
        <w:spacing w:after="160" w:line="320" w:lineRule="auto"/>
        <w:jc w:val="both"/>
      </w:pPr>
      <w:r>
        <w:t>This chapter walks through the resolver's design, the dispatch rules it applies, the dependency graph that orders the rule evaluations, and the layered view structure that downstream consumers see. The presentation closes with a short account of the bugs that were encountered during implementation, because the cycle gates and the latent short-circuit in the current design are direct responses to specific failures that earlier versions exhibited.</w:t>
      </w:r>
    </w:p>
    <w:p w14:paraId="36BCFC39" w14:textId="77777777" w:rsidR="008E1B31" w:rsidRDefault="005C5514">
      <w:pPr>
        <w:pStyle w:val="Heading2"/>
      </w:pPr>
      <w:r>
        <w:t>6.1 Why the resolver exists</w:t>
      </w:r>
    </w:p>
    <w:p w14:paraId="36BCFC3A" w14:textId="77777777" w:rsidR="008E1B31" w:rsidRDefault="005C5514">
      <w:pPr>
        <w:spacing w:after="160" w:line="320" w:lineRule="auto"/>
        <w:jc w:val="both"/>
      </w:pPr>
      <w:r>
        <w:t>Before the resolver, every consumer that wanted to read a variable's value reimplemented resolution logic itself. The balance UI carried a hundred-line common table expression handling time-series bindings, mirror formulas, reverse-paired-edge inheritance, and the mass-balance closure equation. JavaScript walked arithmetic formulas at render time because SQL could not evaluate multi-term expressions of the form A − B − C. Each new generator — the hierarchy explorer, the geographic map, the consistency views, the future forecasting features — would have duplicated that work.</w:t>
      </w:r>
    </w:p>
    <w:p w14:paraId="36BCFC3B" w14:textId="77777777" w:rsidR="008E1B31" w:rsidRDefault="005C5514">
      <w:pPr>
        <w:spacing w:after="160" w:line="320" w:lineRule="auto"/>
        <w:jc w:val="both"/>
      </w:pPr>
      <w:r>
        <w:t>The resolver collapses every consumer's resolution logic into a single deterministic pass:</w:t>
      </w:r>
    </w:p>
    <w:p w14:paraId="36BCFC3C" w14:textId="77777777" w:rsidR="008E1B31" w:rsidRDefault="005C5514">
      <w:pPr>
        <w:shd w:val="clear" w:color="auto" w:fill="F4F4F4"/>
      </w:pPr>
      <w:r>
        <w:rPr>
          <w:rFonts w:ascii="Consolas" w:eastAsia="Consolas" w:hAnsi="Consolas" w:cs="Consolas"/>
          <w:sz w:val="20"/>
          <w:szCs w:val="20"/>
        </w:rPr>
        <w:t>inputs : variables + variable_assignments + timeseries_data</w:t>
      </w:r>
    </w:p>
    <w:p w14:paraId="36BCFC3D" w14:textId="77777777" w:rsidR="008E1B31" w:rsidRDefault="005C5514">
      <w:pPr>
        <w:shd w:val="clear" w:color="auto" w:fill="F4F4F4"/>
      </w:pPr>
      <w:r>
        <w:rPr>
          <w:rFonts w:ascii="Consolas" w:eastAsia="Consolas" w:hAnsi="Consolas" w:cs="Consolas"/>
          <w:sz w:val="20"/>
          <w:szCs w:val="20"/>
        </w:rPr>
        <w:t xml:space="preserve">         + the active scenario_id</w:t>
      </w:r>
    </w:p>
    <w:p w14:paraId="36BCFC3E" w14:textId="77777777" w:rsidR="008E1B31" w:rsidRDefault="005C5514">
      <w:pPr>
        <w:shd w:val="clear" w:color="auto" w:fill="F4F4F4"/>
      </w:pPr>
      <w:r>
        <w:rPr>
          <w:rFonts w:ascii="Consolas" w:eastAsia="Consolas" w:hAnsi="Consolas" w:cs="Consolas"/>
          <w:sz w:val="20"/>
          <w:szCs w:val="20"/>
        </w:rPr>
        <w:t>output : one row per (variable, date) in scenario_resolved_values</w:t>
      </w:r>
    </w:p>
    <w:p w14:paraId="36BCFC3F" w14:textId="77777777" w:rsidR="008E1B31" w:rsidRDefault="005C5514">
      <w:pPr>
        <w:spacing w:after="120"/>
      </w:pPr>
      <w:r>
        <w:rPr>
          <w:sz w:val="12"/>
          <w:szCs w:val="12"/>
        </w:rPr>
        <w:t xml:space="preserve"> </w:t>
      </w:r>
    </w:p>
    <w:p w14:paraId="36BCFC40" w14:textId="77777777" w:rsidR="008E1B31" w:rsidRDefault="005C5514">
      <w:pPr>
        <w:spacing w:after="160" w:line="320" w:lineRule="auto"/>
        <w:jc w:val="both"/>
      </w:pPr>
      <w:r>
        <w:t xml:space="preserve">Every downstream consumer becomes a thin </w:t>
      </w:r>
      <w:r>
        <w:rPr>
          <w:rFonts w:ascii="Consolas" w:eastAsia="Consolas" w:hAnsi="Consolas" w:cs="Consolas"/>
        </w:rPr>
        <w:t>SELECT</w:t>
      </w:r>
      <w:r>
        <w:t xml:space="preserve"> over the result table. The resolver runs in roughly twenty seconds for the starter scenario (1,870 variables × 156 monthly observations); it is run once per assignment change, not once per consumer.</w:t>
      </w:r>
    </w:p>
    <w:p w14:paraId="36BCFC41" w14:textId="77777777" w:rsidR="008E1B31" w:rsidRDefault="005C5514">
      <w:pPr>
        <w:pStyle w:val="Heading2"/>
      </w:pPr>
      <w:r>
        <w:t>6.2 The output table</w:t>
      </w:r>
    </w:p>
    <w:p w14:paraId="36BCFC42" w14:textId="77777777" w:rsidR="008E1B31" w:rsidRDefault="005C5514">
      <w:pPr>
        <w:spacing w:after="160" w:line="320" w:lineRule="auto"/>
        <w:jc w:val="both"/>
      </w:pPr>
      <w:r>
        <w:t xml:space="preserve">The resolver writes to </w:t>
      </w:r>
      <w:r>
        <w:rPr>
          <w:rFonts w:ascii="Consolas" w:eastAsia="Consolas" w:hAnsi="Consolas" w:cs="Consolas"/>
        </w:rPr>
        <w:t>oil_network.scenario_resolved_values</w:t>
      </w:r>
      <w:r>
        <w:t>. Two columns from the table definition deserve particular attention:</w:t>
      </w:r>
    </w:p>
    <w:p w14:paraId="36BCFC43" w14:textId="77777777" w:rsidR="008E1B31" w:rsidRDefault="005C5514">
      <w:pPr>
        <w:shd w:val="clear" w:color="auto" w:fill="F4F4F4"/>
      </w:pPr>
      <w:r>
        <w:rPr>
          <w:rFonts w:ascii="Consolas" w:eastAsia="Consolas" w:hAnsi="Consolas" w:cs="Consolas"/>
          <w:sz w:val="20"/>
          <w:szCs w:val="20"/>
        </w:rPr>
        <w:t>CREATE TABLE oil_network.scenario_resolved_values (</w:t>
      </w:r>
    </w:p>
    <w:p w14:paraId="36BCFC44" w14:textId="77777777" w:rsidR="008E1B31" w:rsidRDefault="005C5514">
      <w:pPr>
        <w:shd w:val="clear" w:color="auto" w:fill="F4F4F4"/>
      </w:pPr>
      <w:r>
        <w:rPr>
          <w:rFonts w:ascii="Consolas" w:eastAsia="Consolas" w:hAnsi="Consolas" w:cs="Consolas"/>
          <w:sz w:val="20"/>
          <w:szCs w:val="20"/>
        </w:rPr>
        <w:t xml:space="preserve">    scenario_id       TEXT NOT NULL REFERENCES scenarios ON DELETE CASCADE,</w:t>
      </w:r>
    </w:p>
    <w:p w14:paraId="36BCFC45" w14:textId="77777777" w:rsidR="008E1B31" w:rsidRDefault="005C5514">
      <w:pPr>
        <w:shd w:val="clear" w:color="auto" w:fill="F4F4F4"/>
      </w:pPr>
      <w:r>
        <w:rPr>
          <w:rFonts w:ascii="Consolas" w:eastAsia="Consolas" w:hAnsi="Consolas" w:cs="Consolas"/>
          <w:sz w:val="20"/>
          <w:szCs w:val="20"/>
        </w:rPr>
        <w:t xml:space="preserve">    variable_id       TEXT NOT NULL REFERENCES variables ON DELETE CASCADE,</w:t>
      </w:r>
    </w:p>
    <w:p w14:paraId="36BCFC46" w14:textId="77777777" w:rsidR="008E1B31" w:rsidRDefault="005C5514">
      <w:pPr>
        <w:shd w:val="clear" w:color="auto" w:fill="F4F4F4"/>
      </w:pPr>
      <w:r>
        <w:rPr>
          <w:rFonts w:ascii="Consolas" w:eastAsia="Consolas" w:hAnsi="Consolas" w:cs="Consolas"/>
          <w:sz w:val="20"/>
          <w:szCs w:val="20"/>
        </w:rPr>
        <w:t xml:space="preserve">    observation_date  DATE NOT NULL,</w:t>
      </w:r>
    </w:p>
    <w:p w14:paraId="36BCFC47" w14:textId="77777777" w:rsidR="008E1B31" w:rsidRDefault="005C5514">
      <w:pPr>
        <w:shd w:val="clear" w:color="auto" w:fill="F4F4F4"/>
      </w:pPr>
      <w:r>
        <w:rPr>
          <w:rFonts w:ascii="Consolas" w:eastAsia="Consolas" w:hAnsi="Consolas" w:cs="Consolas"/>
          <w:sz w:val="20"/>
          <w:szCs w:val="20"/>
        </w:rPr>
        <w:t xml:space="preserve">    value             DOUBLE PRECISION,</w:t>
      </w:r>
    </w:p>
    <w:p w14:paraId="36BCFC48" w14:textId="77777777" w:rsidR="008E1B31" w:rsidRDefault="005C5514">
      <w:pPr>
        <w:shd w:val="clear" w:color="auto" w:fill="F4F4F4"/>
      </w:pPr>
      <w:r>
        <w:rPr>
          <w:rFonts w:ascii="Consolas" w:eastAsia="Consolas" w:hAnsi="Consolas" w:cs="Consolas"/>
          <w:sz w:val="20"/>
          <w:szCs w:val="20"/>
        </w:rPr>
        <w:t xml:space="preserve">    source            TEXT NOT NULL CHECK (source IN</w:t>
      </w:r>
    </w:p>
    <w:p w14:paraId="36BCFC49" w14:textId="77777777" w:rsidR="008E1B31" w:rsidRDefault="005C5514">
      <w:pPr>
        <w:shd w:val="clear" w:color="auto" w:fill="F4F4F4"/>
      </w:pPr>
      <w:r>
        <w:rPr>
          <w:rFonts w:ascii="Consolas" w:eastAsia="Consolas" w:hAnsi="Consolas" w:cs="Consolas"/>
          <w:sz w:val="20"/>
          <w:szCs w:val="20"/>
        </w:rPr>
        <w:lastRenderedPageBreak/>
        <w:t xml:space="preserve">                        ('observed', 'derived', 'zero', 'latent', 'unresolved', 'partial')),</w:t>
      </w:r>
    </w:p>
    <w:p w14:paraId="36BCFC4A" w14:textId="77777777" w:rsidR="008E1B31" w:rsidRDefault="005C5514">
      <w:pPr>
        <w:shd w:val="clear" w:color="auto" w:fill="F4F4F4"/>
      </w:pPr>
      <w:r>
        <w:rPr>
          <w:rFonts w:ascii="Consolas" w:eastAsia="Consolas" w:hAnsi="Consolas" w:cs="Consolas"/>
          <w:sz w:val="20"/>
          <w:szCs w:val="20"/>
        </w:rPr>
        <w:t xml:space="preserve">    formula_used      TEXT,</w:t>
      </w:r>
    </w:p>
    <w:p w14:paraId="36BCFC4B" w14:textId="77777777" w:rsidR="008E1B31" w:rsidRDefault="005C5514">
      <w:pPr>
        <w:shd w:val="clear" w:color="auto" w:fill="F4F4F4"/>
      </w:pPr>
      <w:r>
        <w:rPr>
          <w:rFonts w:ascii="Consolas" w:eastAsia="Consolas" w:hAnsi="Consolas" w:cs="Consolas"/>
          <w:sz w:val="20"/>
          <w:szCs w:val="20"/>
        </w:rPr>
        <w:t xml:space="preserve">    timeseries_id     TEXT,</w:t>
      </w:r>
    </w:p>
    <w:p w14:paraId="36BCFC4C" w14:textId="77777777" w:rsidR="008E1B31" w:rsidRDefault="005C5514">
      <w:pPr>
        <w:shd w:val="clear" w:color="auto" w:fill="F4F4F4"/>
      </w:pPr>
      <w:r>
        <w:rPr>
          <w:rFonts w:ascii="Consolas" w:eastAsia="Consolas" w:hAnsi="Consolas" w:cs="Consolas"/>
          <w:sz w:val="20"/>
          <w:szCs w:val="20"/>
        </w:rPr>
        <w:t xml:space="preserve">    saved_date        TIMESTAMPTZ DEFAULT NOW(),</w:t>
      </w:r>
    </w:p>
    <w:p w14:paraId="36BCFC4D" w14:textId="77777777" w:rsidR="008E1B31" w:rsidRDefault="005C5514">
      <w:pPr>
        <w:shd w:val="clear" w:color="auto" w:fill="F4F4F4"/>
      </w:pPr>
      <w:r>
        <w:rPr>
          <w:rFonts w:ascii="Consolas" w:eastAsia="Consolas" w:hAnsi="Consolas" w:cs="Consolas"/>
          <w:sz w:val="20"/>
          <w:szCs w:val="20"/>
        </w:rPr>
        <w:t xml:space="preserve">    run_id            BIGINT REFERENCES scenario_resolver_runs,</w:t>
      </w:r>
    </w:p>
    <w:p w14:paraId="36BCFC4E" w14:textId="77777777" w:rsidR="008E1B31" w:rsidRDefault="005C5514">
      <w:pPr>
        <w:shd w:val="clear" w:color="auto" w:fill="F4F4F4"/>
      </w:pPr>
      <w:r>
        <w:rPr>
          <w:rFonts w:ascii="Consolas" w:eastAsia="Consolas" w:hAnsi="Consolas" w:cs="Consolas"/>
          <w:sz w:val="20"/>
          <w:szCs w:val="20"/>
        </w:rPr>
        <w:t xml:space="preserve">    PRIMARY KEY (scenario_id, variable_id, observation_date)</w:t>
      </w:r>
    </w:p>
    <w:p w14:paraId="36BCFC4F" w14:textId="77777777" w:rsidR="008E1B31" w:rsidRDefault="005C5514">
      <w:pPr>
        <w:shd w:val="clear" w:color="auto" w:fill="F4F4F4"/>
      </w:pPr>
      <w:r>
        <w:rPr>
          <w:rFonts w:ascii="Consolas" w:eastAsia="Consolas" w:hAnsi="Consolas" w:cs="Consolas"/>
          <w:sz w:val="20"/>
          <w:szCs w:val="20"/>
        </w:rPr>
        <w:t>);</w:t>
      </w:r>
    </w:p>
    <w:p w14:paraId="36BCFC50" w14:textId="77777777" w:rsidR="008E1B31" w:rsidRDefault="005C5514">
      <w:pPr>
        <w:spacing w:after="120"/>
      </w:pPr>
      <w:r>
        <w:rPr>
          <w:sz w:val="12"/>
          <w:szCs w:val="12"/>
        </w:rPr>
        <w:t xml:space="preserve"> </w:t>
      </w:r>
    </w:p>
    <w:p w14:paraId="36BCFC51" w14:textId="77777777" w:rsidR="008E1B31" w:rsidRDefault="005C5514">
      <w:pPr>
        <w:spacing w:after="160" w:line="320" w:lineRule="auto"/>
        <w:jc w:val="both"/>
      </w:pPr>
      <w:r>
        <w:t>The value column is deliberately nullable. A NULL value paired with source = 'latent' is a valid and intentional row — it tells downstream consumers that the variable is declared, its value is unknown by design, and no retry is required. This is the schema-level expression of Corollary D: the resolver records that a flow exists structurally and is constrained by mass balance, but its per-edge value is not pinned down by observation.</w:t>
      </w:r>
    </w:p>
    <w:p w14:paraId="36BCFC52" w14:textId="77777777" w:rsidR="008E1B31" w:rsidRDefault="005C5514">
      <w:pPr>
        <w:spacing w:after="160" w:line="320" w:lineRule="auto"/>
        <w:jc w:val="both"/>
      </w:pPr>
      <w:r>
        <w:t xml:space="preserve">The </w:t>
      </w:r>
      <w:r>
        <w:rPr>
          <w:rFonts w:ascii="Consolas" w:eastAsia="Consolas" w:hAnsi="Consolas" w:cs="Consolas"/>
        </w:rPr>
        <w:t>source</w:t>
      </w:r>
      <w:r>
        <w:t xml:space="preserve"> column is a constrained enum with six categories:</w:t>
      </w:r>
    </w:p>
    <w:tbl>
      <w:tblPr>
        <w:tblStyle w:val="TableGrid"/>
        <w:tblW w:w="9067" w:type="dxa"/>
        <w:tblLook w:val="04A0" w:firstRow="1" w:lastRow="0" w:firstColumn="1" w:lastColumn="0" w:noHBand="0" w:noVBand="1"/>
      </w:tblPr>
      <w:tblGrid>
        <w:gridCol w:w="4533"/>
        <w:gridCol w:w="4534"/>
      </w:tblGrid>
      <w:tr w:rsidR="00537923" w14:paraId="430DFF11" w14:textId="77777777">
        <w:trPr>
          <w:tblHeader/>
        </w:trPr>
        <w:tc>
          <w:tcPr>
            <w:tcW w:w="4533" w:type="dxa"/>
            <w:shd w:val="clear" w:color="auto" w:fill="D9E2F3"/>
            <w:vAlign w:val="center"/>
          </w:tcPr>
          <w:p w14:paraId="3465A9FB" w14:textId="77777777" w:rsidR="00537923" w:rsidRDefault="005C5514">
            <w:pPr>
              <w:rPr>
                <w:b/>
              </w:rPr>
            </w:pPr>
            <w:r>
              <w:rPr>
                <w:b/>
              </w:rPr>
              <w:t>Source</w:t>
            </w:r>
          </w:p>
        </w:tc>
        <w:tc>
          <w:tcPr>
            <w:tcW w:w="4534" w:type="dxa"/>
            <w:shd w:val="clear" w:color="auto" w:fill="D9E2F3"/>
            <w:vAlign w:val="center"/>
          </w:tcPr>
          <w:p w14:paraId="3B36DECC" w14:textId="77777777" w:rsidR="00537923" w:rsidRDefault="005C5514">
            <w:pPr>
              <w:rPr>
                <w:b/>
              </w:rPr>
            </w:pPr>
            <w:r>
              <w:rPr>
                <w:b/>
              </w:rPr>
              <w:t>Meaning</w:t>
            </w:r>
          </w:p>
        </w:tc>
      </w:tr>
      <w:tr w:rsidR="00537923" w14:paraId="13A37A41" w14:textId="77777777">
        <w:tc>
          <w:tcPr>
            <w:tcW w:w="4533" w:type="dxa"/>
            <w:vAlign w:val="center"/>
          </w:tcPr>
          <w:p w14:paraId="0AFF098B" w14:textId="77777777" w:rsidR="00537923" w:rsidRDefault="005C5514">
            <w:r>
              <w:t>observed</w:t>
            </w:r>
          </w:p>
        </w:tc>
        <w:tc>
          <w:tcPr>
            <w:tcW w:w="4534" w:type="dxa"/>
            <w:vAlign w:val="center"/>
          </w:tcPr>
          <w:p w14:paraId="751DCF37" w14:textId="77777777" w:rsidR="00537923" w:rsidRDefault="005C5514">
            <w:r>
              <w:t>Direct time-series lookup. The ground-truth measurement</w:t>
            </w:r>
          </w:p>
        </w:tc>
      </w:tr>
      <w:tr w:rsidR="00537923" w14:paraId="759A120D" w14:textId="77777777">
        <w:tc>
          <w:tcPr>
            <w:tcW w:w="4533" w:type="dxa"/>
            <w:vAlign w:val="center"/>
          </w:tcPr>
          <w:p w14:paraId="0195BA1A" w14:textId="77777777" w:rsidR="00537923" w:rsidRDefault="005C5514">
            <w:r>
              <w:t>derived</w:t>
            </w:r>
          </w:p>
        </w:tc>
        <w:tc>
          <w:tcPr>
            <w:tcW w:w="4534" w:type="dxa"/>
            <w:vAlign w:val="center"/>
          </w:tcPr>
          <w:p w14:paraId="68112A8B" w14:textId="77777777" w:rsidR="00537923" w:rsidRDefault="005C5514">
            <w:r>
              <w:t>Value computed by a formula (alias, sum, closure, arithmetic, reverse mirror)</w:t>
            </w:r>
          </w:p>
        </w:tc>
      </w:tr>
      <w:tr w:rsidR="00537923" w14:paraId="391141AB" w14:textId="77777777">
        <w:tc>
          <w:tcPr>
            <w:tcW w:w="4533" w:type="dxa"/>
            <w:vAlign w:val="center"/>
          </w:tcPr>
          <w:p w14:paraId="32B3762F" w14:textId="77777777" w:rsidR="00537923" w:rsidRDefault="005C5514">
            <w:r>
              <w:t>zero</w:t>
            </w:r>
          </w:p>
        </w:tc>
        <w:tc>
          <w:tcPr>
            <w:tcW w:w="4534" w:type="dxa"/>
            <w:vAlign w:val="center"/>
          </w:tcPr>
          <w:p w14:paraId="29C9AD7C" w14:textId="77777777" w:rsidR="00537923" w:rsidRDefault="005C5514">
            <w:r>
              <w:t>Structural zero, encoding a physical fact (a refinery does not produce crude)</w:t>
            </w:r>
          </w:p>
        </w:tc>
      </w:tr>
      <w:tr w:rsidR="00537923" w14:paraId="4607FA34" w14:textId="77777777">
        <w:tc>
          <w:tcPr>
            <w:tcW w:w="4533" w:type="dxa"/>
            <w:vAlign w:val="center"/>
          </w:tcPr>
          <w:p w14:paraId="66110BDE" w14:textId="77777777" w:rsidR="00537923" w:rsidRDefault="005C5514">
            <w:r>
              <w:t>latent</w:t>
            </w:r>
          </w:p>
        </w:tc>
        <w:tc>
          <w:tcPr>
            <w:tcW w:w="4534" w:type="dxa"/>
            <w:vAlign w:val="center"/>
          </w:tcPr>
          <w:p w14:paraId="3701402E" w14:textId="77777777" w:rsidR="00537923" w:rsidRDefault="005C5514">
            <w:r>
              <w:t>Declared variable with no resolution path. Value is NULL by design</w:t>
            </w:r>
          </w:p>
        </w:tc>
      </w:tr>
      <w:tr w:rsidR="00537923" w14:paraId="1E203099" w14:textId="77777777">
        <w:tc>
          <w:tcPr>
            <w:tcW w:w="4533" w:type="dxa"/>
            <w:vAlign w:val="center"/>
          </w:tcPr>
          <w:p w14:paraId="3B168065" w14:textId="77777777" w:rsidR="00537923" w:rsidRDefault="005C5514">
            <w:r>
              <w:t>unresolved</w:t>
            </w:r>
          </w:p>
        </w:tc>
        <w:tc>
          <w:tcPr>
            <w:tcW w:w="4534" w:type="dxa"/>
            <w:vAlign w:val="center"/>
          </w:tcPr>
          <w:p w14:paraId="694884EC" w14:textId="77777777" w:rsidR="00537923" w:rsidRDefault="005C5514">
            <w:r>
              <w:t>A formula was given but could not be evaluated. Zero rows in a healthy run</w:t>
            </w:r>
          </w:p>
        </w:tc>
      </w:tr>
      <w:tr w:rsidR="00537923" w14:paraId="1E2030A0" w14:textId="77777777">
        <w:tc>
          <w:tcPr>
            <w:tcW w:w="4533" w:type="dxa"/>
            <w:vAlign w:val="center"/>
          </w:tcPr>
          <w:p w14:paraId="3B168066" w14:textId="77777777" w:rsidR="00537923" w:rsidRDefault="005C5514">
            <w:r>
              <w:t>partial</w:t>
            </w:r>
          </w:p>
        </w:tc>
        <w:tc>
          <w:tcPr>
            <w:tcW w:w="4534" w:type="dxa"/>
            <w:vAlign w:val="center"/>
          </w:tcPr>
          <w:p w14:paraId="694884ED" w14:textId="77777777" w:rsidR="00537923" w:rsidRDefault="005C5514">
            <w:r>
              <w:t>Formula tried but at least one input was NULL on that date; value is NULL with a recorded note</w:t>
            </w:r>
          </w:p>
        </w:tc>
      </w:tr>
    </w:tbl>
    <w:p w14:paraId="36BCFC5A" w14:textId="77777777" w:rsidR="008E1B31" w:rsidRDefault="005C5514">
      <w:pPr>
        <w:spacing w:after="160" w:line="320" w:lineRule="auto"/>
        <w:jc w:val="both"/>
      </w:pPr>
      <w:r>
        <w:t xml:space="preserve">The </w:t>
      </w:r>
      <w:r>
        <w:rPr>
          <w:rFonts w:ascii="Consolas" w:eastAsia="Consolas" w:hAnsi="Consolas" w:cs="Consolas"/>
        </w:rPr>
        <w:t>formula_used</w:t>
      </w:r>
      <w:r>
        <w:t xml:space="preserve"> column preserves which dispatch rule fired and is the key to the framework's auditability. For any value in the resolved table, a reviewer can reconstruct the exact rule and the exact inputs that produced it. This matters because the framework is used as the data layer for downstream analyses (mass-balance checks, LP optimisations, future GNN forecasts), and the trustworthiness of those analyses depends on the trustworthiness of the values they consume.</w:t>
      </w:r>
    </w:p>
    <w:p w14:paraId="36BCFC5B" w14:textId="77777777" w:rsidR="008E1B31" w:rsidRDefault="005C5514">
      <w:pPr>
        <w:spacing w:after="160" w:line="320" w:lineRule="auto"/>
        <w:jc w:val="both"/>
      </w:pPr>
      <w:r>
        <w:t xml:space="preserve">Every run of the resolver writes an audit row to </w:t>
      </w:r>
      <w:r>
        <w:rPr>
          <w:rFonts w:ascii="Consolas" w:eastAsia="Consolas" w:hAnsi="Consolas" w:cs="Consolas"/>
        </w:rPr>
        <w:t>scenario_resolver_runs</w:t>
      </w:r>
      <w:r>
        <w:t xml:space="preserve"> recording the start and end timestamps, the elapsed duration, the dispatch counts as a JSONB object, and optional free-text notes. Every resolved-value row carries the </w:t>
      </w:r>
      <w:r>
        <w:rPr>
          <w:rFonts w:ascii="Consolas" w:eastAsia="Consolas" w:hAnsi="Consolas" w:cs="Consolas"/>
        </w:rPr>
        <w:t>run_id</w:t>
      </w:r>
      <w:r>
        <w:t xml:space="preserve"> that produced it, so historical comparisons across runs reduce to a single SQL join.</w:t>
      </w:r>
    </w:p>
    <w:p w14:paraId="7D3E89F2" w14:textId="77777777" w:rsidR="00DE0F34" w:rsidRDefault="00DE0F34">
      <w:pPr>
        <w:rPr>
          <w:b/>
          <w:bCs/>
          <w:color w:val="000000"/>
          <w:sz w:val="26"/>
          <w:szCs w:val="26"/>
        </w:rPr>
      </w:pPr>
      <w:r>
        <w:br w:type="page"/>
      </w:r>
    </w:p>
    <w:p w14:paraId="36BCFC5C" w14:textId="5BA5A883" w:rsidR="008E1B31" w:rsidRDefault="005C5514">
      <w:pPr>
        <w:pStyle w:val="Heading2"/>
      </w:pPr>
      <w:r>
        <w:lastRenderedPageBreak/>
        <w:t>6.3 How a run flows end to end</w:t>
      </w:r>
    </w:p>
    <w:p w14:paraId="36BCFC5D" w14:textId="77777777" w:rsidR="008E1B31" w:rsidRDefault="005C5514">
      <w:pPr>
        <w:spacing w:after="160" w:line="320" w:lineRule="auto"/>
        <w:jc w:val="both"/>
      </w:pPr>
      <w:r>
        <w:t>The top-level shape of the resolver follows three phases:</w:t>
      </w:r>
    </w:p>
    <w:p w14:paraId="1A38FAA9" w14:textId="22909A29" w:rsidR="00CC2930" w:rsidRPr="00CC2930" w:rsidRDefault="00CC2930" w:rsidP="00CC2930">
      <w:pPr>
        <w:spacing w:after="160" w:line="320" w:lineRule="auto"/>
        <w:jc w:val="both"/>
      </w:pPr>
      <w:r w:rsidRPr="00CC2930">
        <w:drawing>
          <wp:inline distT="0" distB="0" distL="0" distR="0" wp14:anchorId="43471D39" wp14:editId="6D2F32B9">
            <wp:extent cx="5720156" cy="4384061"/>
            <wp:effectExtent l="0" t="0" r="0" b="0"/>
            <wp:docPr id="10251078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4528" cy="4395076"/>
                    </a:xfrm>
                    <a:prstGeom prst="rect">
                      <a:avLst/>
                    </a:prstGeom>
                    <a:noFill/>
                    <a:ln>
                      <a:noFill/>
                    </a:ln>
                  </pic:spPr>
                </pic:pic>
              </a:graphicData>
            </a:graphic>
          </wp:inline>
        </w:drawing>
      </w:r>
    </w:p>
    <w:p w14:paraId="23F83C78" w14:textId="6B92121A" w:rsidR="00DE0F34" w:rsidRPr="00DE0F34" w:rsidRDefault="00DE0F34" w:rsidP="00DE0F34">
      <w:pPr>
        <w:spacing w:after="160" w:line="320" w:lineRule="auto"/>
        <w:jc w:val="both"/>
      </w:pPr>
    </w:p>
    <w:p w14:paraId="36BCFC66" w14:textId="59673FDF" w:rsidR="008E1B31" w:rsidRPr="00734107" w:rsidRDefault="006E3777" w:rsidP="00734107">
      <w:pPr>
        <w:spacing w:after="160" w:line="319" w:lineRule="auto"/>
        <w:jc w:val="both"/>
        <w:rPr>
          <w:kern w:val="2"/>
          <w14:ligatures w14:val="standardContextual"/>
        </w:rPr>
      </w:pPr>
      <w:r>
        <w:t>Each phase has a single concern, isolated from the others. The dispatch loop never reads from the database; the loader never evaluates formulas. The fixed-point character of the central loop is the key design point. There is no pre-computed evaluation order; the loop discovers the order by iteration. A chain like A = TS, B = A, C = B + A resolves in three iterations. The starter scenario, with 1,870 variables and a dependency-DAG depth of approximately five, converges in five passes in roughly twenty-five seconds on a laptop.</w:t>
      </w:r>
    </w:p>
    <w:p w14:paraId="36BCFC6A" w14:textId="77777777" w:rsidR="008E1B31" w:rsidRDefault="005C5514">
      <w:pPr>
        <w:pStyle w:val="Heading2"/>
      </w:pPr>
      <w:r>
        <w:t>6.4 The dispatch loop</w:t>
      </w:r>
    </w:p>
    <w:p w14:paraId="36BCFC6B" w14:textId="77777777" w:rsidR="008E1B31" w:rsidRDefault="005C5514">
      <w:pPr>
        <w:spacing w:after="160" w:line="320" w:lineRule="auto"/>
        <w:jc w:val="both"/>
      </w:pPr>
      <w:r>
        <w:t>The classifier returns one of six kinds for each assignment: observed, zero, latent, sum, arithmetic, or unknown (the fallback that should fire for no variable in a healthy run). The fixed-point loop dispatches each variable into the corresponding evaluator the moment the variable becomes evaluable. Three of the kinds — observed, zero, and latent — are terminal: they have no formula_inputs and become evaluable as soon as the loop reaches them on iteration 1. The remaining two formula kinds (sum and arithmetic) are evaluable only when every variable in their formula_inputs is already in the resolved set.</w:t>
      </w:r>
    </w:p>
    <w:p w14:paraId="36BCFC6C" w14:textId="77777777" w:rsidR="008E1B31" w:rsidRDefault="005C5514">
      <w:pPr>
        <w:spacing w:after="160" w:line="320" w:lineRule="auto"/>
        <w:jc w:val="both"/>
      </w:pPr>
      <w:r>
        <w:lastRenderedPageBreak/>
        <w:t xml:space="preserve">The full set of canonical rule labels — that is, the only </w:t>
      </w:r>
      <w:r>
        <w:rPr>
          <w:rFonts w:ascii="Consolas" w:eastAsia="Consolas" w:hAnsi="Consolas" w:cs="Consolas"/>
        </w:rPr>
        <w:t>source</w:t>
      </w:r>
      <w:r>
        <w:t xml:space="preserve"> values that </w:t>
      </w:r>
      <w:r>
        <w:rPr>
          <w:rFonts w:ascii="Consolas" w:eastAsia="Consolas" w:hAnsi="Consolas" w:cs="Consolas"/>
        </w:rPr>
        <w:t>scenario_resolved_values</w:t>
      </w:r>
      <w:r>
        <w:t xml:space="preserve"> ever records — is the short list given in Section 6.2. Three earlier labels (</w:t>
      </w:r>
      <w:r>
        <w:rPr>
          <w:rFonts w:ascii="Consolas" w:eastAsia="Consolas" w:hAnsi="Consolas" w:cs="Consolas"/>
        </w:rPr>
        <w:t>sum_over_children</w:t>
      </w:r>
      <w:r>
        <w:t xml:space="preserve">, </w:t>
      </w:r>
      <w:r>
        <w:rPr>
          <w:rFonts w:ascii="Consolas" w:eastAsia="Consolas" w:hAnsi="Consolas" w:cs="Consolas"/>
        </w:rPr>
        <w:t>sum_over_outflows</w:t>
      </w:r>
      <w:r>
        <w:t xml:space="preserve">, </w:t>
      </w:r>
      <w:r>
        <w:rPr>
          <w:rFonts w:ascii="Consolas" w:eastAsia="Consolas" w:hAnsi="Consolas" w:cs="Consolas"/>
        </w:rPr>
        <w:t>sum_same_type</w:t>
      </w:r>
      <w:r>
        <w:t xml:space="preserve">) were collapsed into the canonical </w:t>
      </w:r>
      <w:r>
        <w:rPr>
          <w:rFonts w:ascii="Consolas" w:eastAsia="Consolas" w:hAnsi="Consolas" w:cs="Consolas"/>
        </w:rPr>
        <w:t>sum</w:t>
      </w:r>
      <w:r>
        <w:t xml:space="preserve"> in the twelfth implementation pass; they no longer appear in the codebase or the resolved table. The lesson behind that consolidation is the canonical-sum principle from Chapter 4.</w:t>
      </w:r>
    </w:p>
    <w:p w14:paraId="36BCFC6D" w14:textId="77777777" w:rsidR="008E1B31" w:rsidRDefault="005C5514">
      <w:pPr>
        <w:spacing w:after="160" w:line="320" w:lineRule="auto"/>
        <w:jc w:val="both"/>
      </w:pPr>
      <w:r>
        <w:t>The rules are as follows:</w:t>
      </w:r>
    </w:p>
    <w:p w14:paraId="36BCFC6E" w14:textId="77777777" w:rsidR="008E1B31" w:rsidRDefault="005C5514">
      <w:pPr>
        <w:spacing w:after="160" w:line="320" w:lineRule="auto"/>
        <w:jc w:val="both"/>
      </w:pPr>
      <w:r>
        <w:rPr>
          <w:b/>
          <w:bCs/>
        </w:rPr>
        <w:t>Rule 1: Observed.</w:t>
      </w:r>
      <w:r>
        <w:t xml:space="preserve"> Fires when </w:t>
      </w:r>
      <w:r>
        <w:rPr>
          <w:rFonts w:ascii="Consolas" w:eastAsia="Consolas" w:hAnsi="Consolas" w:cs="Consolas"/>
        </w:rPr>
        <w:t>timeseries_id IS NOT NULL</w:t>
      </w:r>
      <w:r>
        <w:t>. Performs a direct time-series lookup at the observation date. This is the ground truth; every other rule is downstream of these. In the starter scenario, 80 variables fire this rule.</w:t>
      </w:r>
    </w:p>
    <w:p w14:paraId="36BCFC6F" w14:textId="77777777" w:rsidR="008E1B31" w:rsidRDefault="005C5514">
      <w:pPr>
        <w:spacing w:after="160" w:line="320" w:lineRule="auto"/>
        <w:jc w:val="both"/>
      </w:pPr>
      <w:r>
        <w:rPr>
          <w:b/>
          <w:bCs/>
        </w:rPr>
        <w:t>Rule 2: Structural zero.</w:t>
      </w:r>
      <w:r>
        <w:t xml:space="preserve"> Fires when </w:t>
      </w:r>
      <w:r>
        <w:rPr>
          <w:rFonts w:ascii="Consolas" w:eastAsia="Consolas" w:hAnsi="Consolas" w:cs="Consolas"/>
        </w:rPr>
        <w:t>formula = '0'</w:t>
      </w:r>
      <w:r>
        <w:t xml:space="preserve">. Used for refinery production, pass-through inventory, and other slots where the value is zero by physical construction. Roughly 542 variables fire this rule, mostly non-relational scalars inherited from </w:t>
      </w:r>
      <w:r>
        <w:rPr>
          <w:rFonts w:ascii="Consolas" w:eastAsia="Consolas" w:hAnsi="Consolas" w:cs="Consolas"/>
        </w:rPr>
        <w:t>node_type_default_formulas</w:t>
      </w:r>
      <w:r>
        <w:t>.</w:t>
      </w:r>
    </w:p>
    <w:p w14:paraId="36BCFC70" w14:textId="77777777" w:rsidR="008E1B31" w:rsidRDefault="005C5514">
      <w:pPr>
        <w:spacing w:after="160" w:line="320" w:lineRule="auto"/>
        <w:jc w:val="both"/>
      </w:pPr>
      <w:r>
        <w:rPr>
          <w:b/>
          <w:bCs/>
        </w:rPr>
        <w:t>Rule 3: Latent, with reverse-mirror promotion.</w:t>
      </w:r>
      <w:r>
        <w:t xml:space="preserve"> Fires when </w:t>
      </w:r>
      <w:r>
        <w:rPr>
          <w:rFonts w:ascii="Consolas" w:eastAsia="Consolas" w:hAnsi="Consolas" w:cs="Consolas"/>
        </w:rPr>
        <w:t>formula = 'latent()'</w:t>
      </w:r>
      <w:r>
        <w:t xml:space="preserve">. Records </w:t>
      </w:r>
      <w:r>
        <w:rPr>
          <w:rFonts w:ascii="Consolas" w:eastAsia="Consolas" w:hAnsi="Consolas" w:cs="Consolas"/>
        </w:rPr>
        <w:t>value = NULL</w:t>
      </w:r>
      <w:r>
        <w:t xml:space="preserve"> and </w:t>
      </w:r>
      <w:r>
        <w:rPr>
          <w:rFonts w:ascii="Consolas" w:eastAsia="Consolas" w:hAnsi="Consolas" w:cs="Consolas"/>
        </w:rPr>
        <w:t>source = 'latent'</w:t>
      </w:r>
      <w:r>
        <w:t xml:space="preserve">. But first, the rule attempts a reverse-mirror promotion: if the paired direction of the variable (opposite variable type, swapped endpoints) has a resolved value, the rule borrows that value through the mirror identity (an inflow into A from B equals an outflow from B to A). Without this promotion, a latent outflow from </w:t>
      </w:r>
      <w:r>
        <w:rPr>
          <w:rFonts w:ascii="Consolas" w:eastAsia="Consolas" w:hAnsi="Consolas" w:cs="Consolas"/>
        </w:rPr>
        <w:t>canadian_oil_sands</w:t>
      </w:r>
      <w:r>
        <w:t xml:space="preserve"> to PADD 2 would record NULL even when the inflow side of the same edge had an observed value. With the promotion, the latent borrows correctly. The rule fires 767 times in the starter scenario after the promotion attempt; the 15 that succeeded are counted separately under Rule 6.</w:t>
      </w:r>
    </w:p>
    <w:p w14:paraId="36BCFC71" w14:textId="77777777" w:rsidR="008E1B31" w:rsidRDefault="005C5514">
      <w:pPr>
        <w:spacing w:after="160" w:line="320" w:lineRule="auto"/>
        <w:jc w:val="both"/>
      </w:pPr>
      <w:r>
        <w:rPr>
          <w:b/>
          <w:bCs/>
        </w:rPr>
        <w:t>Rule 4: Sum.</w:t>
      </w:r>
      <w:r>
        <w:t xml:space="preserve"> Fires when </w:t>
      </w:r>
      <w:r>
        <w:rPr>
          <w:rFonts w:ascii="Consolas" w:eastAsia="Consolas" w:hAnsi="Consolas" w:cs="Consolas"/>
        </w:rPr>
        <w:t>formula = 'sum'</w:t>
      </w:r>
      <w:r>
        <w:t xml:space="preserve">. Sums every value in </w:t>
      </w:r>
      <w:r>
        <w:rPr>
          <w:rFonts w:ascii="Consolas" w:eastAsia="Consolas" w:hAnsi="Consolas" w:cs="Consolas"/>
        </w:rPr>
        <w:t>formula_inputs</w:t>
      </w:r>
      <w:r>
        <w:t xml:space="preserve">; NULL inputs are skipped. This is the twelfth-pass collapse of three earlier sum-type labels into one canonical rule. The semantic role of any given sum — aggregation parent, fan-out total — is recoverable from the structure of </w:t>
      </w:r>
      <w:r>
        <w:rPr>
          <w:rFonts w:ascii="Consolas" w:eastAsia="Consolas" w:hAnsi="Consolas" w:cs="Consolas"/>
        </w:rPr>
        <w:t>formula_inputs</w:t>
      </w:r>
      <w:r>
        <w:t xml:space="preserve"> (same-type and same-commodity inputs imply aggregation; mixed-type at same node implies fan-out), so the formula text does not need to encode it.</w:t>
      </w:r>
    </w:p>
    <w:p w14:paraId="36BCFC72" w14:textId="77777777" w:rsidR="008E1B31" w:rsidRDefault="005C5514">
      <w:pPr>
        <w:spacing w:after="160" w:line="320" w:lineRule="auto"/>
        <w:jc w:val="both"/>
      </w:pPr>
      <w:r>
        <w:rPr>
          <w:b/>
          <w:bCs/>
        </w:rPr>
        <w:t>Rule 5: Single-variable alias.</w:t>
      </w:r>
      <w:r>
        <w:t xml:space="preserve"> Fires when </w:t>
      </w:r>
      <w:r>
        <w:rPr>
          <w:rFonts w:ascii="Consolas" w:eastAsia="Consolas" w:hAnsi="Consolas" w:cs="Consolas"/>
        </w:rPr>
        <w:t>formula = bare_variable_id</w:t>
      </w:r>
      <w:r>
        <w:t xml:space="preserve"> and the </w:t>
      </w:r>
      <w:r>
        <w:rPr>
          <w:rFonts w:ascii="Consolas" w:eastAsia="Consolas" w:hAnsi="Consolas" w:cs="Consolas"/>
        </w:rPr>
        <w:t>formula_inputs</w:t>
      </w:r>
      <w:r>
        <w:t xml:space="preserve"> list contains at most that one entry. The variable inherits its value from the named target. Most aggregate-to-aggregate alias chains fire this rule; in the starter scenario, the arithmetic rule resolves 451 variables in total, the majority via this single-variable case (the code labels this dispatch kind 'arithmetic'; earlier drafts called it 'alias').</w:t>
      </w:r>
    </w:p>
    <w:p w14:paraId="36BCFC73" w14:textId="77777777" w:rsidR="008E1B31" w:rsidRDefault="005C5514">
      <w:pPr>
        <w:spacing w:after="160" w:line="320" w:lineRule="auto"/>
        <w:jc w:val="both"/>
      </w:pPr>
      <w:r>
        <w:rPr>
          <w:b/>
          <w:bCs/>
        </w:rPr>
        <w:t>Rule 6: Reverse mirror.</w:t>
      </w:r>
      <w:r>
        <w:t xml:space="preserve"> Fires when a relational variable has no own resolution but its paired direction (opposite type, swapped endpoints) has a resolved value. The variable borrows that value through the mirror identity. After a sequence of dependency-graph fixes (the "ninth-pass" </w:t>
      </w:r>
      <w:r>
        <w:lastRenderedPageBreak/>
        <w:t xml:space="preserve">fix described in Section 6.6), this rule fires deterministically: </w:t>
      </w:r>
      <w:r>
        <w:rPr>
          <w:rFonts w:ascii="Consolas" w:eastAsia="Consolas" w:hAnsi="Consolas" w:cs="Consolas"/>
        </w:rPr>
        <w:t>build_deps()</w:t>
      </w:r>
      <w:r>
        <w:t xml:space="preserve"> now guarantees the paired side is resolved before this side is evaluated. Fifteen mirrors fire reliably in the starter scenario, where previously only three fired by luck of insertion order.</w:t>
      </w:r>
    </w:p>
    <w:p w14:paraId="36BCFC74" w14:textId="77777777" w:rsidR="008E1B31" w:rsidRDefault="005C5514">
      <w:pPr>
        <w:spacing w:after="160" w:line="320" w:lineRule="auto"/>
        <w:jc w:val="both"/>
      </w:pPr>
      <w:r>
        <w:rPr>
          <w:b/>
          <w:bCs/>
        </w:rPr>
        <w:t>Rule 7: Closure formula.</w:t>
      </w:r>
      <w:r>
        <w:t xml:space="preserve"> Fires when the variable is a balancing item whose </w:t>
      </w:r>
      <w:r>
        <w:rPr>
          <w:rFonts w:ascii="Consolas" w:eastAsia="Consolas" w:hAnsi="Consolas" w:cs="Consolas"/>
        </w:rPr>
        <w:t>formula_inputs</w:t>
      </w:r>
      <w:r>
        <w:t xml:space="preserve"> include a mix of inventory, inflow, and outflow variables. Evaluates the closure equation:</w:t>
      </w:r>
    </w:p>
    <w:p w14:paraId="36BCFC75" w14:textId="074CF801" w:rsidR="008E1B31" w:rsidRDefault="005C5514">
      <w:pPr>
        <w:spacing w:after="160" w:line="320" w:lineRule="auto"/>
        <w:jc w:val="both"/>
      </w:pPr>
      <w:r>
        <w:t>B = ΔS − P + C − ΣF</w:t>
      </w:r>
      <w:r w:rsidRPr="00DF50CD">
        <w:rPr>
          <w:vertAlign w:val="subscript"/>
        </w:rPr>
        <w:t>in</w:t>
      </w:r>
      <w:r>
        <w:t xml:space="preserve"> + ΣF</w:t>
      </w:r>
      <w:r w:rsidRPr="00DF50CD">
        <w:rPr>
          <w:vertAlign w:val="subscript"/>
        </w:rPr>
        <w:t>out</w:t>
      </w:r>
    </w:p>
    <w:p w14:paraId="36BCFC76" w14:textId="77777777" w:rsidR="008E1B31" w:rsidRDefault="005C5514">
      <w:pPr>
        <w:spacing w:after="160" w:line="320" w:lineRule="auto"/>
        <w:jc w:val="both"/>
      </w:pPr>
      <w:r>
        <w:t xml:space="preserve">This rule is now </w:t>
      </w:r>
      <w:r>
        <w:rPr>
          <w:b/>
          <w:bCs/>
        </w:rPr>
        <w:t>dormant</w:t>
      </w:r>
      <w:r>
        <w:t xml:space="preserve"> in the starter scenario because B was promoted to time-series-observed in the sixth migration pass (the MCRUA series at PADD and USA level). The closure formula remains in the resolver as a fallback constraint, and it is the engine behind the Chapter 7 view that compares observed B against closure-derived B as a measure of partition-internal latent flow.</w:t>
      </w:r>
    </w:p>
    <w:p w14:paraId="36BCFC77" w14:textId="77777777" w:rsidR="008E1B31" w:rsidRDefault="005C5514">
      <w:pPr>
        <w:spacing w:after="160" w:line="320" w:lineRule="auto"/>
        <w:jc w:val="both"/>
      </w:pPr>
      <w:r>
        <w:rPr>
          <w:b/>
          <w:bCs/>
        </w:rPr>
        <w:t>Rule 8: Arithmetic combination.</w:t>
      </w:r>
      <w:r>
        <w:t xml:space="preserve"> Fires when the formula text matches a signed-variable-references pattern (</w:t>
      </w:r>
      <w:r>
        <w:rPr>
          <w:rFonts w:ascii="Consolas" w:eastAsia="Consolas" w:hAnsi="Consolas" w:cs="Consolas"/>
        </w:rPr>
        <w:t>A − B + C</w:t>
      </w:r>
      <w:r>
        <w:t xml:space="preserve">). Used for residual definitions such as </w:t>
      </w:r>
      <w:r>
        <w:rPr>
          <w:rFonts w:ascii="Consolas" w:eastAsia="Consolas" w:hAnsi="Consolas" w:cs="Consolas"/>
        </w:rPr>
        <w:t>padd2_other.P = padd2_view.P − bakken_nd.P − oklahoma.P</w:t>
      </w:r>
      <w:r>
        <w:t xml:space="preserve">. The parser is intentionally minimal — a regular expression that pulls out signed terms — and aborts cleanly if any term fails to match a variable in </w:t>
      </w:r>
      <w:r>
        <w:rPr>
          <w:rFonts w:ascii="Consolas" w:eastAsia="Consolas" w:hAnsi="Consolas" w:cs="Consolas"/>
        </w:rPr>
        <w:t>formula_inputs</w:t>
      </w:r>
      <w:r>
        <w:t>. Eight variables in the starter scenario fire this rule.</w:t>
      </w:r>
    </w:p>
    <w:p w14:paraId="36BCFC78" w14:textId="77777777" w:rsidR="008E1B31" w:rsidRDefault="005C5514">
      <w:pPr>
        <w:spacing w:after="160" w:line="320" w:lineRule="auto"/>
        <w:jc w:val="both"/>
      </w:pPr>
      <w:r>
        <w:rPr>
          <w:b/>
          <w:bCs/>
        </w:rPr>
        <w:t>Rule 9: Unresolved.</w:t>
      </w:r>
      <w:r>
        <w:t xml:space="preserve"> The fallback. Records </w:t>
      </w:r>
      <w:r>
        <w:rPr>
          <w:rFonts w:ascii="Consolas" w:eastAsia="Consolas" w:hAnsi="Consolas" w:cs="Consolas"/>
        </w:rPr>
        <w:t>value = NULL</w:t>
      </w:r>
      <w:r>
        <w:t xml:space="preserve">, </w:t>
      </w:r>
      <w:r>
        <w:rPr>
          <w:rFonts w:ascii="Consolas" w:eastAsia="Consolas" w:hAnsi="Consolas" w:cs="Consolas"/>
        </w:rPr>
        <w:t>source = 'unresolved'</w:t>
      </w:r>
      <w:r>
        <w:t>. In a healthy run this fires zero times; non-zero counts indicate a bug or an unmodelled formula pattern. The expected operator response is to fix the assignment or extend the resolver, never to silently treat the row as latent.</w:t>
      </w:r>
    </w:p>
    <w:p w14:paraId="36BCFC79" w14:textId="77777777" w:rsidR="008E1B31" w:rsidRDefault="005C5514">
      <w:pPr>
        <w:spacing w:after="160" w:line="320" w:lineRule="auto"/>
        <w:jc w:val="both"/>
      </w:pPr>
      <w:r>
        <w:t>The current dispatch counts in the starter scenario, with the canonical labels, are:</w:t>
      </w:r>
    </w:p>
    <w:tbl>
      <w:tblPr>
        <w:tblStyle w:val="TableGrid"/>
        <w:tblW w:w="9067" w:type="dxa"/>
        <w:tblLook w:val="04A0" w:firstRow="1" w:lastRow="0" w:firstColumn="1" w:lastColumn="0" w:noHBand="0" w:noVBand="1"/>
      </w:tblPr>
      <w:tblGrid>
        <w:gridCol w:w="4533"/>
        <w:gridCol w:w="4534"/>
      </w:tblGrid>
      <w:tr w:rsidR="00537923" w14:paraId="39FAEB0F" w14:textId="77777777">
        <w:trPr>
          <w:tblHeader/>
        </w:trPr>
        <w:tc>
          <w:tcPr>
            <w:tcW w:w="4533" w:type="dxa"/>
            <w:shd w:val="clear" w:color="auto" w:fill="D9E2F3"/>
            <w:vAlign w:val="center"/>
          </w:tcPr>
          <w:p w14:paraId="53F50F69" w14:textId="77777777" w:rsidR="00537923" w:rsidRDefault="005C5514">
            <w:pPr>
              <w:rPr>
                <w:b/>
              </w:rPr>
            </w:pPr>
            <w:r>
              <w:rPr>
                <w:b/>
              </w:rPr>
              <w:t>Rule</w:t>
            </w:r>
          </w:p>
        </w:tc>
        <w:tc>
          <w:tcPr>
            <w:tcW w:w="4534" w:type="dxa"/>
            <w:shd w:val="clear" w:color="auto" w:fill="D9E2F3"/>
            <w:vAlign w:val="center"/>
          </w:tcPr>
          <w:p w14:paraId="7B5D00F7" w14:textId="77777777" w:rsidR="00537923" w:rsidRDefault="005C5514">
            <w:pPr>
              <w:rPr>
                <w:b/>
              </w:rPr>
            </w:pPr>
            <w:r>
              <w:rPr>
                <w:b/>
              </w:rPr>
              <w:t>Count</w:t>
            </w:r>
          </w:p>
        </w:tc>
      </w:tr>
      <w:tr w:rsidR="00537923" w14:paraId="2C726DD8" w14:textId="77777777">
        <w:tc>
          <w:tcPr>
            <w:tcW w:w="4533" w:type="dxa"/>
            <w:vAlign w:val="center"/>
          </w:tcPr>
          <w:p w14:paraId="6A186481" w14:textId="77777777" w:rsidR="00537923" w:rsidRDefault="005C5514">
            <w:r>
              <w:t>observed (time-series lookup)</w:t>
            </w:r>
          </w:p>
        </w:tc>
        <w:tc>
          <w:tcPr>
            <w:tcW w:w="4534" w:type="dxa"/>
            <w:vAlign w:val="center"/>
          </w:tcPr>
          <w:p w14:paraId="44D4A2B2" w14:textId="77777777" w:rsidR="00537923" w:rsidRDefault="005C5514">
            <w:r>
              <w:t>90</w:t>
            </w:r>
          </w:p>
        </w:tc>
      </w:tr>
      <w:tr w:rsidR="00537923" w14:paraId="7130AA36" w14:textId="77777777">
        <w:tc>
          <w:tcPr>
            <w:tcW w:w="4533" w:type="dxa"/>
            <w:vAlign w:val="center"/>
          </w:tcPr>
          <w:p w14:paraId="3CECAF84" w14:textId="77777777" w:rsidR="00537923" w:rsidRDefault="005C5514">
            <w:r>
              <w:t>zero (structural)</w:t>
            </w:r>
          </w:p>
        </w:tc>
        <w:tc>
          <w:tcPr>
            <w:tcW w:w="4534" w:type="dxa"/>
            <w:vAlign w:val="center"/>
          </w:tcPr>
          <w:p w14:paraId="5F162FB2" w14:textId="77777777" w:rsidR="00537923" w:rsidRDefault="005C5514">
            <w:r>
              <w:t>542</w:t>
            </w:r>
          </w:p>
        </w:tc>
      </w:tr>
      <w:tr w:rsidR="00537923" w14:paraId="74DCC047" w14:textId="77777777">
        <w:tc>
          <w:tcPr>
            <w:tcW w:w="4533" w:type="dxa"/>
            <w:vAlign w:val="center"/>
          </w:tcPr>
          <w:p w14:paraId="72FEBEB1" w14:textId="77777777" w:rsidR="00537923" w:rsidRDefault="005C5514">
            <w:r>
              <w:t>latent (including reverse-mirror failures)</w:t>
            </w:r>
          </w:p>
        </w:tc>
        <w:tc>
          <w:tcPr>
            <w:tcW w:w="4534" w:type="dxa"/>
            <w:vAlign w:val="center"/>
          </w:tcPr>
          <w:p w14:paraId="31E68DDA" w14:textId="77777777" w:rsidR="00537923" w:rsidRDefault="005C5514">
            <w:r>
              <w:t>767</w:t>
            </w:r>
          </w:p>
        </w:tc>
      </w:tr>
      <w:tr w:rsidR="00537923" w14:paraId="03505FDD" w14:textId="77777777">
        <w:tc>
          <w:tcPr>
            <w:tcW w:w="4533" w:type="dxa"/>
            <w:vAlign w:val="center"/>
          </w:tcPr>
          <w:p w14:paraId="53C96D10" w14:textId="77777777" w:rsidR="00537923" w:rsidRDefault="005C5514">
            <w:r>
              <w:t>arithmetic</w:t>
            </w:r>
          </w:p>
        </w:tc>
        <w:tc>
          <w:tcPr>
            <w:tcW w:w="4534" w:type="dxa"/>
            <w:vAlign w:val="center"/>
          </w:tcPr>
          <w:p w14:paraId="7169CFA8" w14:textId="77777777" w:rsidR="00537923" w:rsidRDefault="005C5514">
            <w:r>
              <w:t>451</w:t>
            </w:r>
          </w:p>
        </w:tc>
      </w:tr>
      <w:tr w:rsidR="00537923" w14:paraId="1F71568B" w14:textId="77777777">
        <w:tc>
          <w:tcPr>
            <w:tcW w:w="4533" w:type="dxa"/>
            <w:vAlign w:val="center"/>
          </w:tcPr>
          <w:p w14:paraId="3D7A5044" w14:textId="77777777" w:rsidR="00537923" w:rsidRDefault="005C5514">
            <w:r>
              <w:t>reverse-mirror (Rule 3 promotion plus Rule 6)</w:t>
            </w:r>
          </w:p>
        </w:tc>
        <w:tc>
          <w:tcPr>
            <w:tcW w:w="4534" w:type="dxa"/>
            <w:vAlign w:val="center"/>
          </w:tcPr>
          <w:p w14:paraId="18661647" w14:textId="77777777" w:rsidR="00537923" w:rsidRDefault="005C5514">
            <w:r>
              <w:t>15</w:t>
            </w:r>
          </w:p>
        </w:tc>
      </w:tr>
      <w:tr w:rsidR="00537923" w14:paraId="36AC9880" w14:textId="77777777">
        <w:tc>
          <w:tcPr>
            <w:tcW w:w="4533" w:type="dxa"/>
            <w:vAlign w:val="center"/>
          </w:tcPr>
          <w:p w14:paraId="18F7FC61" w14:textId="77777777" w:rsidR="00537923" w:rsidRDefault="005C5514">
            <w:r>
              <w:t>sum (canonical)</w:t>
            </w:r>
          </w:p>
        </w:tc>
        <w:tc>
          <w:tcPr>
            <w:tcW w:w="4534" w:type="dxa"/>
            <w:vAlign w:val="center"/>
          </w:tcPr>
          <w:p w14:paraId="7C99E329" w14:textId="77777777" w:rsidR="00537923" w:rsidRDefault="005C5514">
            <w:r>
              <w:t>5</w:t>
            </w:r>
          </w:p>
        </w:tc>
      </w:tr>
      <w:tr w:rsidR="00537923" w14:paraId="6612303F" w14:textId="77777777">
        <w:tc>
          <w:tcPr>
            <w:tcW w:w="4533" w:type="dxa"/>
            <w:vAlign w:val="center"/>
          </w:tcPr>
          <w:p w14:paraId="1663430A" w14:textId="77777777" w:rsidR="00537923" w:rsidRDefault="005C5514">
            <w:r>
              <w:t>closure</w:t>
            </w:r>
          </w:p>
        </w:tc>
        <w:tc>
          <w:tcPr>
            <w:tcW w:w="4534" w:type="dxa"/>
            <w:vAlign w:val="center"/>
          </w:tcPr>
          <w:p w14:paraId="790F969E" w14:textId="77777777" w:rsidR="00537923" w:rsidRDefault="005C5514">
            <w:r>
              <w:t>0</w:t>
            </w:r>
          </w:p>
        </w:tc>
      </w:tr>
      <w:tr w:rsidR="00537923" w14:paraId="69483C11" w14:textId="77777777">
        <w:tc>
          <w:tcPr>
            <w:tcW w:w="4533" w:type="dxa"/>
            <w:vAlign w:val="center"/>
          </w:tcPr>
          <w:p w14:paraId="62D1BCAC" w14:textId="77777777" w:rsidR="00537923" w:rsidRDefault="005C5514">
            <w:r>
              <w:t>unresolved</w:t>
            </w:r>
          </w:p>
        </w:tc>
        <w:tc>
          <w:tcPr>
            <w:tcW w:w="4534" w:type="dxa"/>
            <w:vAlign w:val="center"/>
          </w:tcPr>
          <w:p w14:paraId="233FFFE2" w14:textId="77777777" w:rsidR="00537923" w:rsidRDefault="005C5514">
            <w:r>
              <w:t>0</w:t>
            </w:r>
          </w:p>
        </w:tc>
      </w:tr>
    </w:tbl>
    <w:p w14:paraId="369B0616" w14:textId="77777777" w:rsidR="00B35EAE" w:rsidRDefault="00B35EAE">
      <w:pPr>
        <w:spacing w:after="160" w:line="320" w:lineRule="auto"/>
        <w:jc w:val="both"/>
      </w:pPr>
    </w:p>
    <w:p w14:paraId="36BCFC85" w14:textId="095FADCB" w:rsidR="008E1B31" w:rsidRDefault="005C5514">
      <w:pPr>
        <w:spacing w:after="160" w:line="320" w:lineRule="auto"/>
        <w:jc w:val="both"/>
      </w:pPr>
      <w:r>
        <w:t>The zero in the last row is the load-bearing invariant. Every declared variable has either a value or an explicit latent marker. Downstream consumers can rely on the presence of a row for every (variable, date) pair, and on the source column telling them whether a NULL is by design (latent, to be treated as a free variable in optimisation) or by failure (unresolved, an unmodelled case requiring attention).</w:t>
      </w:r>
    </w:p>
    <w:p w14:paraId="36BCFC86" w14:textId="77777777" w:rsidR="008E1B31" w:rsidRDefault="005C5514">
      <w:pPr>
        <w:pStyle w:val="Heading2"/>
      </w:pPr>
      <w:r>
        <w:t>6.5 The fixed-point loop</w:t>
      </w:r>
    </w:p>
    <w:p w14:paraId="20A26E32" w14:textId="77777777" w:rsidR="006E3777" w:rsidRDefault="006E3777">
      <w:pPr>
        <w:spacing w:after="160" w:line="319" w:lineRule="auto"/>
        <w:jc w:val="both"/>
        <w:rPr>
          <w:kern w:val="2"/>
          <w14:ligatures w14:val="standardContextual"/>
        </w:rPr>
      </w:pPr>
      <w:r>
        <w:lastRenderedPageBreak/>
        <w:t>The loop reads as one statement of the algorithm. The pseudo-code below is faithful to the implementation in code/recursive_resolver.py:</w:t>
      </w:r>
    </w:p>
    <w:p w14:paraId="126A2E9C" w14:textId="77777777" w:rsidR="006E3777" w:rsidRDefault="006E3777" w:rsidP="00195287">
      <w:pPr>
        <w:jc w:val="both"/>
        <w:rPr>
          <w:kern w:val="2"/>
          <w14:ligatures w14:val="standardContextual"/>
        </w:rPr>
      </w:pPr>
      <w:r>
        <w:rPr>
          <w:rFonts w:ascii="Consolas" w:hAnsi="Consolas"/>
          <w:sz w:val="18"/>
        </w:rPr>
        <w:t>unresolved := { all variable_ids in the scenario }</w:t>
      </w:r>
    </w:p>
    <w:p w14:paraId="0E8AE43A" w14:textId="77777777" w:rsidR="006E3777" w:rsidRDefault="006E3777" w:rsidP="00195287">
      <w:pPr>
        <w:jc w:val="both"/>
        <w:rPr>
          <w:kern w:val="2"/>
          <w14:ligatures w14:val="standardContextual"/>
        </w:rPr>
      </w:pPr>
      <w:r>
        <w:rPr>
          <w:rFonts w:ascii="Consolas" w:hAnsi="Consolas"/>
          <w:sz w:val="18"/>
        </w:rPr>
        <w:t>while progress:</w:t>
      </w:r>
    </w:p>
    <w:p w14:paraId="0162387A" w14:textId="77777777" w:rsidR="006E3777" w:rsidRDefault="006E3777" w:rsidP="00195287">
      <w:pPr>
        <w:jc w:val="both"/>
        <w:rPr>
          <w:kern w:val="2"/>
          <w14:ligatures w14:val="standardContextual"/>
        </w:rPr>
      </w:pPr>
      <w:r>
        <w:rPr>
          <w:rFonts w:ascii="Consolas" w:hAnsi="Consolas"/>
          <w:sz w:val="18"/>
        </w:rPr>
        <w:t xml:space="preserve">    progress := false</w:t>
      </w:r>
    </w:p>
    <w:p w14:paraId="301D44A9" w14:textId="77777777" w:rsidR="006E3777" w:rsidRDefault="006E3777" w:rsidP="00195287">
      <w:pPr>
        <w:jc w:val="both"/>
        <w:rPr>
          <w:kern w:val="2"/>
          <w14:ligatures w14:val="standardContextual"/>
        </w:rPr>
      </w:pPr>
      <w:r>
        <w:rPr>
          <w:rFonts w:ascii="Consolas" w:hAnsi="Consolas"/>
          <w:sz w:val="18"/>
        </w:rPr>
        <w:t xml:space="preserve">    for v in unresolved:</w:t>
      </w:r>
    </w:p>
    <w:p w14:paraId="6DDFE4E7" w14:textId="77777777" w:rsidR="006E3777" w:rsidRDefault="006E3777" w:rsidP="00195287">
      <w:pPr>
        <w:jc w:val="both"/>
        <w:rPr>
          <w:kern w:val="2"/>
          <w14:ligatures w14:val="standardContextual"/>
        </w:rPr>
      </w:pPr>
      <w:r>
        <w:rPr>
          <w:rFonts w:ascii="Consolas" w:hAnsi="Consolas"/>
          <w:sz w:val="18"/>
        </w:rPr>
        <w:t xml:space="preserve">        kind := classify(v)</w:t>
      </w:r>
    </w:p>
    <w:p w14:paraId="415D71A2" w14:textId="77777777" w:rsidR="006E3777" w:rsidRDefault="006E3777" w:rsidP="00195287">
      <w:pPr>
        <w:jc w:val="both"/>
        <w:rPr>
          <w:kern w:val="2"/>
          <w14:ligatures w14:val="standardContextual"/>
        </w:rPr>
      </w:pPr>
      <w:r>
        <w:rPr>
          <w:rFonts w:ascii="Consolas" w:hAnsi="Consolas"/>
          <w:sz w:val="18"/>
        </w:rPr>
        <w:t xml:space="preserve">        if kind in { observed, zero, latent }:</w:t>
      </w:r>
    </w:p>
    <w:p w14:paraId="38DD31E3" w14:textId="77777777" w:rsidR="006E3777" w:rsidRDefault="006E3777" w:rsidP="00195287">
      <w:pPr>
        <w:jc w:val="both"/>
        <w:rPr>
          <w:kern w:val="2"/>
          <w14:ligatures w14:val="standardContextual"/>
        </w:rPr>
      </w:pPr>
      <w:r>
        <w:rPr>
          <w:rFonts w:ascii="Consolas" w:hAnsi="Consolas"/>
          <w:sz w:val="18"/>
        </w:rPr>
        <w:t xml:space="preserve">            evaluate v                              # no deps; always evaluable</w:t>
      </w:r>
    </w:p>
    <w:p w14:paraId="18CFA9BC" w14:textId="77777777" w:rsidR="006E3777" w:rsidRDefault="006E3777" w:rsidP="00195287">
      <w:pPr>
        <w:jc w:val="both"/>
        <w:rPr>
          <w:kern w:val="2"/>
          <w14:ligatures w14:val="standardContextual"/>
        </w:rPr>
      </w:pPr>
      <w:r>
        <w:rPr>
          <w:rFonts w:ascii="Consolas" w:hAnsi="Consolas"/>
          <w:sz w:val="18"/>
        </w:rPr>
        <w:t xml:space="preserve">        elif kind in { sum, arithmetic } and</w:t>
      </w:r>
    </w:p>
    <w:p w14:paraId="71AF43B9" w14:textId="77777777" w:rsidR="006E3777" w:rsidRDefault="006E3777" w:rsidP="00195287">
      <w:pPr>
        <w:jc w:val="both"/>
        <w:rPr>
          <w:kern w:val="2"/>
          <w14:ligatures w14:val="standardContextual"/>
        </w:rPr>
      </w:pPr>
      <w:r>
        <w:rPr>
          <w:rFonts w:ascii="Consolas" w:hAnsi="Consolas"/>
          <w:sz w:val="18"/>
        </w:rPr>
        <w:t xml:space="preserve">             every input in formula_inputs(v) is in resolved:</w:t>
      </w:r>
    </w:p>
    <w:p w14:paraId="6BC5F369" w14:textId="77777777" w:rsidR="006E3777" w:rsidRDefault="006E3777" w:rsidP="00195287">
      <w:pPr>
        <w:jc w:val="both"/>
        <w:rPr>
          <w:kern w:val="2"/>
          <w14:ligatures w14:val="standardContextual"/>
        </w:rPr>
      </w:pPr>
      <w:r>
        <w:rPr>
          <w:rFonts w:ascii="Consolas" w:hAnsi="Consolas"/>
          <w:sz w:val="18"/>
        </w:rPr>
        <w:t xml:space="preserve">            evaluate v</w:t>
      </w:r>
    </w:p>
    <w:p w14:paraId="2417EFDE" w14:textId="77777777" w:rsidR="006E3777" w:rsidRDefault="006E3777" w:rsidP="00195287">
      <w:pPr>
        <w:jc w:val="both"/>
        <w:rPr>
          <w:kern w:val="2"/>
          <w14:ligatures w14:val="standardContextual"/>
        </w:rPr>
      </w:pPr>
      <w:r>
        <w:rPr>
          <w:rFonts w:ascii="Consolas" w:hAnsi="Consolas"/>
          <w:sz w:val="18"/>
        </w:rPr>
        <w:t xml:space="preserve">        else:</w:t>
      </w:r>
    </w:p>
    <w:p w14:paraId="4559E0B4" w14:textId="77777777" w:rsidR="006E3777" w:rsidRDefault="006E3777" w:rsidP="00195287">
      <w:pPr>
        <w:jc w:val="both"/>
        <w:rPr>
          <w:kern w:val="2"/>
          <w14:ligatures w14:val="standardContextual"/>
        </w:rPr>
      </w:pPr>
      <w:r>
        <w:rPr>
          <w:rFonts w:ascii="Consolas" w:hAnsi="Consolas"/>
          <w:sz w:val="18"/>
        </w:rPr>
        <w:t xml:space="preserve">            continue                                # not yet evaluable</w:t>
      </w:r>
    </w:p>
    <w:p w14:paraId="240E370E" w14:textId="77777777" w:rsidR="006E3777" w:rsidRDefault="006E3777" w:rsidP="00195287">
      <w:pPr>
        <w:jc w:val="both"/>
        <w:rPr>
          <w:kern w:val="2"/>
          <w14:ligatures w14:val="standardContextual"/>
        </w:rPr>
      </w:pPr>
      <w:r>
        <w:rPr>
          <w:rFonts w:ascii="Consolas" w:hAnsi="Consolas"/>
          <w:sz w:val="18"/>
        </w:rPr>
        <w:t xml:space="preserve">        resolved[v] := value</w:t>
      </w:r>
    </w:p>
    <w:p w14:paraId="5062C982" w14:textId="77777777" w:rsidR="006E3777" w:rsidRDefault="006E3777" w:rsidP="00195287">
      <w:pPr>
        <w:jc w:val="both"/>
        <w:rPr>
          <w:kern w:val="2"/>
          <w14:ligatures w14:val="standardContextual"/>
        </w:rPr>
      </w:pPr>
      <w:r>
        <w:rPr>
          <w:rFonts w:ascii="Consolas" w:hAnsi="Consolas"/>
          <w:sz w:val="18"/>
        </w:rPr>
        <w:t xml:space="preserve">        unresolved -= { v }</w:t>
      </w:r>
    </w:p>
    <w:p w14:paraId="78D96D9E" w14:textId="77777777" w:rsidR="006E3777" w:rsidRDefault="006E3777" w:rsidP="00195287">
      <w:pPr>
        <w:jc w:val="both"/>
        <w:rPr>
          <w:kern w:val="2"/>
          <w14:ligatures w14:val="standardContextual"/>
        </w:rPr>
      </w:pPr>
      <w:r>
        <w:rPr>
          <w:rFonts w:ascii="Consolas" w:hAnsi="Consolas"/>
          <w:sz w:val="18"/>
        </w:rPr>
        <w:t xml:space="preserve">        progress := true</w:t>
      </w:r>
    </w:p>
    <w:p w14:paraId="484F4E18" w14:textId="77777777" w:rsidR="006E3777" w:rsidRDefault="006E3777">
      <w:pPr>
        <w:spacing w:after="160" w:line="319" w:lineRule="auto"/>
        <w:jc w:val="both"/>
        <w:rPr>
          <w:kern w:val="2"/>
          <w14:ligatures w14:val="standardContextual"/>
        </w:rPr>
      </w:pPr>
    </w:p>
    <w:p w14:paraId="2573C6C3" w14:textId="77777777" w:rsidR="006E3777" w:rsidRDefault="006E3777">
      <w:pPr>
        <w:spacing w:after="160" w:line="319" w:lineRule="auto"/>
        <w:jc w:val="both"/>
        <w:rPr>
          <w:kern w:val="2"/>
          <w14:ligatures w14:val="standardContextual"/>
        </w:rPr>
      </w:pPr>
      <w:r>
        <w:t># anything still in unresolved is genuinely 'unknown' — zero in a healthy run.</w:t>
      </w:r>
    </w:p>
    <w:p w14:paraId="659CEAB9" w14:textId="77777777" w:rsidR="006E3777" w:rsidRDefault="006E3777">
      <w:pPr>
        <w:spacing w:after="160" w:line="319" w:lineRule="auto"/>
        <w:jc w:val="both"/>
        <w:rPr>
          <w:kern w:val="2"/>
          <w14:ligatures w14:val="standardContextual"/>
        </w:rPr>
      </w:pPr>
      <w:r>
        <w:t>The stopping rule is just no new variable was resolved this iteration. The convergence is bounded by the depth of the dependency DAG. For the starter scenario, the deepest path is roughly five layers — a refinery's consumption variable is TS-observed, it rolls up to its refining district as a sum, the district rolls up to its PADD as a sum, the PADD into usa_view as a sum, and a handful of arithmetic combinations sit at the top — so the loop converges in five passes over the 1,870-variable assignment set in roughly twenty-five seconds.</w:t>
      </w:r>
    </w:p>
    <w:p w14:paraId="4FE5AAC6" w14:textId="77777777" w:rsidR="006E3777" w:rsidRDefault="006E3777">
      <w:pPr>
        <w:spacing w:after="160" w:line="319" w:lineRule="auto"/>
        <w:jc w:val="both"/>
        <w:rPr>
          <w:kern w:val="2"/>
          <w14:ligatures w14:val="standardContextual"/>
        </w:rPr>
      </w:pPr>
      <w:r>
        <w:t>The gating condition for the formula kinds is every input has been resolved, not every input has a non-NULL value. A sum or arithmetic variable that references a latent input still evaluates: the latent input is in resolved with value = NULL, and the eval_sum or eval_arithmetic function emits a row tagged source = 'partial' for any date where the input was NULL. Without this convention, formula variables that depend on latents would never converge in the loop. Putting latents on the terminal-kinds side of the dispatch is what makes the convention work.</w:t>
      </w:r>
    </w:p>
    <w:p w14:paraId="38D55987" w14:textId="579D7A62" w:rsidR="006E3777" w:rsidRDefault="006E3777">
      <w:pPr>
        <w:spacing w:after="160" w:line="319" w:lineRule="auto"/>
        <w:jc w:val="both"/>
        <w:rPr>
          <w:kern w:val="2"/>
          <w14:ligatures w14:val="standardContextual"/>
        </w:rPr>
      </w:pPr>
      <w:r>
        <w:t xml:space="preserve">The fixed-point pattern has practical advantages over the </w:t>
      </w:r>
      <w:r w:rsidR="00195287">
        <w:t>topological sort</w:t>
      </w:r>
      <w:r>
        <w:t xml:space="preserve"> approach the resolver used in earlier versions. There is no separate dependency-graph data structure to maintain; the dependencies are read from </w:t>
      </w:r>
      <w:r w:rsidR="00383FBA">
        <w:t>formula inputs</w:t>
      </w:r>
      <w:r>
        <w:t xml:space="preserve"> at each iteration. There is no cycle-detection failure to handle, because the loop naturally skips a variable whose inputs aren't ready and tries again next iteration; a true cycle would manifest as the loop never converging, which a safety cap on the iteration count catches and reports. And the mirror-promotion logic that was previously a post-pass over the topo</w:t>
      </w:r>
      <w:r w:rsidR="00383FBA">
        <w:t xml:space="preserve"> </w:t>
      </w:r>
      <w:r>
        <w:t>sorted result is on a path to becoming a regular formula kind (formula = 'mirror' with one input in formula_inputs); the loop will then resolve mirrors in iteration N + 1 after their paired direction resolves in iteration N, with no special case.</w:t>
      </w:r>
    </w:p>
    <w:p w14:paraId="6BD86396" w14:textId="0AD822D8" w:rsidR="006E3777" w:rsidRDefault="006E3777">
      <w:pPr>
        <w:spacing w:after="160" w:line="319" w:lineRule="auto"/>
        <w:jc w:val="both"/>
        <w:rPr>
          <w:kern w:val="2"/>
          <w14:ligatures w14:val="standardContextual"/>
        </w:rPr>
      </w:pPr>
      <w:r>
        <w:t xml:space="preserve">An equivalence harness, code/compare_resolvers.py, runs the legacy topological-sort resolver and the fixed-point resolver </w:t>
      </w:r>
      <w:r w:rsidR="00383FBA">
        <w:t>back-to-back</w:t>
      </w:r>
      <w:r>
        <w:t xml:space="preserve"> on the same scenario and diffs every row </w:t>
      </w:r>
      <w:r>
        <w:lastRenderedPageBreak/>
        <w:t>of scenario</w:t>
      </w:r>
      <w:r w:rsidR="00383FBA">
        <w:t xml:space="preserve"> </w:t>
      </w:r>
      <w:r>
        <w:t>resolved</w:t>
      </w:r>
      <w:r w:rsidR="00383FBA">
        <w:t xml:space="preserve"> </w:t>
      </w:r>
      <w:r>
        <w:t>values on (variable, date, value, source). On the starter scenario the harness reports 291,564 identical rows and seven identical dispatch counts (observed 90, zero 542, latent 767, sum 5, arithmetic 451, reverse</w:t>
      </w:r>
      <w:r w:rsidR="00383FBA">
        <w:t xml:space="preserve"> </w:t>
      </w:r>
      <w:r>
        <w:t>mirror 15, unresolved 0). The two implementations produce the same scenario state; the new one is shorter and reads more directly as the algorithm it implements.</w:t>
      </w:r>
    </w:p>
    <w:p w14:paraId="36BCFC8C" w14:textId="77777777" w:rsidR="008E1B31" w:rsidRDefault="005C5514">
      <w:pPr>
        <w:pStyle w:val="Heading2"/>
      </w:pPr>
      <w:r>
        <w:t>6.6 Bugs encountered and fixed</w:t>
      </w:r>
    </w:p>
    <w:p w14:paraId="36BCFC8D" w14:textId="1D4D7B50" w:rsidR="008E1B31" w:rsidRDefault="005C5514">
      <w:pPr>
        <w:spacing w:after="160" w:line="320" w:lineRule="auto"/>
        <w:jc w:val="both"/>
      </w:pPr>
      <w:r>
        <w:t xml:space="preserve">The resolver's current design is the result of three specific failures encountered during implementation. Each failure exposed an assumption that was implicit in the earlier design; each fix </w:t>
      </w:r>
      <w:r w:rsidR="00383FBA">
        <w:t>assumed</w:t>
      </w:r>
      <w:r>
        <w:t xml:space="preserve"> explicit and enforced it.</w:t>
      </w:r>
    </w:p>
    <w:p w14:paraId="36BCFC8E" w14:textId="77777777" w:rsidR="008E1B31" w:rsidRDefault="005C5514">
      <w:pPr>
        <w:spacing w:after="160" w:line="320" w:lineRule="auto"/>
        <w:jc w:val="both"/>
      </w:pPr>
      <w:r>
        <w:rPr>
          <w:b/>
          <w:bCs/>
        </w:rPr>
        <w:t>The latent-mirror cycle.</w:t>
      </w:r>
      <w:r>
        <w:t xml:space="preserve"> An early implementation had latent variables add their paired direction as a dependency unconditionally. When the paired direction was also latent and aliased to its own paired side, this produced a two-node cycle (us → paired → us), and the topological sort raised </w:t>
      </w:r>
      <w:r>
        <w:rPr>
          <w:rFonts w:ascii="Consolas" w:eastAsia="Consolas" w:hAnsi="Consolas" w:cs="Consolas"/>
        </w:rPr>
        <w:t>CycleError</w:t>
      </w:r>
      <w:r>
        <w:t>. The fix was to require the paired side to be non-latent before adding the dependency — the first of the two cycle gates above.</w:t>
      </w:r>
    </w:p>
    <w:p w14:paraId="36BCFC8F" w14:textId="77777777" w:rsidR="008E1B31" w:rsidRDefault="005C5514">
      <w:pPr>
        <w:spacing w:after="160" w:line="320" w:lineRule="auto"/>
        <w:jc w:val="both"/>
      </w:pPr>
      <w:r>
        <w:rPr>
          <w:b/>
          <w:bCs/>
        </w:rPr>
        <w:t>The latent short-circuit that hid reverse-mirror.</w:t>
      </w:r>
      <w:r>
        <w:t xml:space="preserve"> Rule 3 (latent) ran before Rule 7 (reverse-mirror) in the original priority order. A variable explicitly marked latent would record </w:t>
      </w:r>
      <w:r>
        <w:rPr>
          <w:rFonts w:ascii="Consolas" w:eastAsia="Consolas" w:hAnsi="Consolas" w:cs="Consolas"/>
        </w:rPr>
        <w:t>value = NULL</w:t>
      </w:r>
      <w:r>
        <w:t xml:space="preserve"> even when its paired direction had an observed value. The fix was twofold: promote the mirror check inside Rule 3 (if the paired side is resolved, borrow its value first; only fall through to NULL otherwise), and hoist the reverse-mirror dependency above the early-continue path in </w:t>
      </w:r>
      <w:r>
        <w:rPr>
          <w:rFonts w:ascii="Consolas" w:eastAsia="Consolas" w:hAnsi="Consolas" w:cs="Consolas"/>
        </w:rPr>
        <w:t>build_deps()</w:t>
      </w:r>
      <w:r>
        <w:t xml:space="preserve"> so that latent variables get their paired-side dependency added before being skipped. Together, the two changes lifted mirror dispatch from three cases (succeeding by luck of insertion order) to fifteen (deterministic).</w:t>
      </w:r>
    </w:p>
    <w:p w14:paraId="36BCFC90" w14:textId="77777777" w:rsidR="008E1B31" w:rsidRDefault="005C5514">
      <w:pPr>
        <w:spacing w:after="160" w:line="320" w:lineRule="auto"/>
        <w:jc w:val="both"/>
      </w:pPr>
      <w:r>
        <w:rPr>
          <w:b/>
          <w:bCs/>
        </w:rPr>
        <w:t>The alias-rule wrapper bug.</w:t>
      </w:r>
      <w:r>
        <w:t xml:space="preserve"> Rule 5 (single-variable alias) matches when the formula text is itself a bare variable ID. Earlier migration scripts had written </w:t>
      </w:r>
      <w:r>
        <w:rPr>
          <w:rFonts w:ascii="Consolas" w:eastAsia="Consolas" w:hAnsi="Consolas" w:cs="Consolas"/>
        </w:rPr>
        <w:t>formula = 'alias(variable_id)'</w:t>
      </w:r>
      <w:r>
        <w:t xml:space="preserve"> with the explicit wrapper string; Rule 5 missed those rows and they were picked up by a different rule by coincidence. The fix was in the migration scripts: the canonical storage is </w:t>
      </w:r>
      <w:r>
        <w:rPr>
          <w:rFonts w:ascii="Consolas" w:eastAsia="Consolas" w:hAnsi="Consolas" w:cs="Consolas"/>
        </w:rPr>
        <w:t>formula = bare_variable_id</w:t>
      </w:r>
      <w:r>
        <w:t xml:space="preserve">, with the wrapper string retained only as the display label in </w:t>
      </w:r>
      <w:r>
        <w:rPr>
          <w:rFonts w:ascii="Consolas" w:eastAsia="Consolas" w:hAnsi="Consolas" w:cs="Consolas"/>
        </w:rPr>
        <w:t>formula_used</w:t>
      </w:r>
      <w:r>
        <w:t xml:space="preserve"> on resolved rows.</w:t>
      </w:r>
    </w:p>
    <w:p w14:paraId="36BCFC91" w14:textId="77777777" w:rsidR="008E1B31" w:rsidRDefault="005C5514">
      <w:pPr>
        <w:spacing w:after="160" w:line="320" w:lineRule="auto"/>
        <w:jc w:val="both"/>
      </w:pPr>
      <w:r>
        <w:t>The pattern across all three fixes is the same: an assumption that an earlier implementation took for granted (that latents were terminal, that aliases would never form cycles, that the wrapper string was harmless) turned out to be wrong in specific cases. The current resolver makes each assumption explicit by name in the code, and the dispatch counts in the audit row are the daily check that none of the assumptions has silently re-broken.</w:t>
      </w:r>
    </w:p>
    <w:p w14:paraId="67715FA2" w14:textId="77777777" w:rsidR="006E3777" w:rsidRDefault="006E3777">
      <w:pPr>
        <w:spacing w:after="160" w:line="319" w:lineRule="auto"/>
        <w:jc w:val="both"/>
        <w:rPr>
          <w:kern w:val="2"/>
          <w14:ligatures w14:val="standardContextual"/>
        </w:rPr>
      </w:pPr>
      <w:r>
        <w:t xml:space="preserve">A fourth fix worth describing is structural rather than localised to a particular rule. The original resolver design required a build_deps() pass to construct the explicit dependency dictionary that fed the topological sorter, plus a separate promote_mirrors() post-pass after the main loop to fill in latent relational variables whose paired direction had resolved. Each of those </w:t>
      </w:r>
      <w:r>
        <w:lastRenderedPageBreak/>
        <w:t>secondary structures had its own subtle failure modes — cycle false positives in build_deps(), reverse-mirror promotion missing the source-attribution label in promote_mirrors(). The current resolver retires the topological sort. The dependency graph becomes implicit in the fixed-point loop's per-iteration check that all inputs are in the resolved set, and the mirror promotion remains as a post-pass for the moment but is on a path to becoming a regular formula kind. The harness code/compare_resolvers.py verifies equivalence: 291,564 rows match exactly between the two implementations on the starter scenario.</w:t>
      </w:r>
    </w:p>
    <w:p w14:paraId="36BCFC92" w14:textId="77777777" w:rsidR="008E1B31" w:rsidRDefault="005C5514">
      <w:pPr>
        <w:pStyle w:val="Heading2"/>
      </w:pPr>
      <w:r>
        <w:t>6.7 Latent versus unresolved</w:t>
      </w:r>
    </w:p>
    <w:p w14:paraId="36BCFC93" w14:textId="77777777" w:rsidR="008E1B31" w:rsidRDefault="005C5514">
      <w:pPr>
        <w:spacing w:after="160" w:line="320" w:lineRule="auto"/>
        <w:jc w:val="both"/>
      </w:pPr>
      <w:r>
        <w:t xml:space="preserve">Both </w:t>
      </w:r>
      <w:r>
        <w:rPr>
          <w:rFonts w:ascii="Consolas" w:eastAsia="Consolas" w:hAnsi="Consolas" w:cs="Consolas"/>
        </w:rPr>
        <w:t>latent</w:t>
      </w:r>
      <w:r>
        <w:t xml:space="preserve"> and </w:t>
      </w:r>
      <w:r>
        <w:rPr>
          <w:rFonts w:ascii="Consolas" w:eastAsia="Consolas" w:hAnsi="Consolas" w:cs="Consolas"/>
        </w:rPr>
        <w:t>unresolved</w:t>
      </w:r>
      <w:r>
        <w:t xml:space="preserve"> rows carry </w:t>
      </w:r>
      <w:r>
        <w:rPr>
          <w:rFonts w:ascii="Consolas" w:eastAsia="Consolas" w:hAnsi="Consolas" w:cs="Consolas"/>
        </w:rPr>
        <w:t>value = NULL</w:t>
      </w:r>
      <w:r>
        <w:t xml:space="preserve"> in the resolved table, but they mean different things and the framework treats them differently. The distinction is the closing commitment of the framework's missing-value treatment, and it is worth restating in concrete terms because it determines how the LP downstream consumer (Chapter 8) and any future GNN consumer (Chapter 10) should interpret the NULLs they encounter.</w:t>
      </w:r>
    </w:p>
    <w:p w14:paraId="36BCFC94" w14:textId="77777777" w:rsidR="008E1B31" w:rsidRDefault="005C5514">
      <w:pPr>
        <w:spacing w:after="160" w:line="320" w:lineRule="auto"/>
        <w:jc w:val="both"/>
      </w:pPr>
      <w:r>
        <w:t xml:space="preserve">A </w:t>
      </w:r>
      <w:r>
        <w:rPr>
          <w:rFonts w:ascii="Consolas" w:eastAsia="Consolas" w:hAnsi="Consolas" w:cs="Consolas"/>
        </w:rPr>
        <w:t>latent</w:t>
      </w:r>
      <w:r>
        <w:t xml:space="preserve"> row is the assignment </w:t>
      </w:r>
      <w:r>
        <w:rPr>
          <w:rFonts w:ascii="Consolas" w:eastAsia="Consolas" w:hAnsi="Consolas" w:cs="Consolas"/>
        </w:rPr>
        <w:t>formula = 'latent()'</w:t>
      </w:r>
      <w:r>
        <w:t>, with the reverse-mirror promotion not having fired. The variable is declared but its value is unknown by design. The typical case is the per-route flow at a fan-out junction, where the framework knows the routing topology and the aggregate constraint but not the per-route values. Downstream, the row should be treated as a free variable in an optimisation, constrained by mass balance, capacity, and any observation that references it. Bounds come from node configuration: refinery throughput capacity, pipeline maximum daily throughput, terminal storage capacity.</w:t>
      </w:r>
    </w:p>
    <w:p w14:paraId="36BCFC95" w14:textId="77777777" w:rsidR="008E1B31" w:rsidRDefault="005C5514">
      <w:pPr>
        <w:spacing w:after="160" w:line="320" w:lineRule="auto"/>
        <w:jc w:val="both"/>
      </w:pPr>
      <w:r>
        <w:t xml:space="preserve">An </w:t>
      </w:r>
      <w:r>
        <w:rPr>
          <w:rFonts w:ascii="Consolas" w:eastAsia="Consolas" w:hAnsi="Consolas" w:cs="Consolas"/>
        </w:rPr>
        <w:t>unresolved</w:t>
      </w:r>
      <w:r>
        <w:t xml:space="preserve"> row is a resolver failure. A formula was given but could not be evaluated. The typical cause is a referenced variable being missing from the assignment set, or the formula matching no rule pattern. Downstream, an unresolved row is a bug. The expected operator response is to fix the assignment (correct the reference) or extend the resolver (add a rule for the new pattern). Silent treatment as latent is explicitly prohibited.</w:t>
      </w:r>
    </w:p>
    <w:p w14:paraId="36BCFC96" w14:textId="77777777" w:rsidR="008E1B31" w:rsidRDefault="005C5514">
      <w:pPr>
        <w:spacing w:after="160" w:line="320" w:lineRule="auto"/>
        <w:jc w:val="both"/>
      </w:pPr>
      <w:r>
        <w:t>The starter scenario at the time of writing has 767 latents and zero unresolved. The 767 latents are concentrated where the framework already expects them to be: junction fan-outs in the Permian and Bakken gathering systems, the multiple offshore Gulf production routes, and the per-pipeline splits inside each inter-PADD aggregate. The zero unresolved is the guarantee that the framework has no unmodelled cases under the current assignment set.</w:t>
      </w:r>
    </w:p>
    <w:p w14:paraId="36BCFC97" w14:textId="77777777" w:rsidR="008E1B31" w:rsidRDefault="005C5514">
      <w:pPr>
        <w:pStyle w:val="Heading2"/>
      </w:pPr>
      <w:r>
        <w:t>6.8 The layered view structure</w:t>
      </w:r>
    </w:p>
    <w:p w14:paraId="36BCFC98" w14:textId="77777777" w:rsidR="008E1B31" w:rsidRDefault="005C5514">
      <w:pPr>
        <w:spacing w:after="160" w:line="320" w:lineRule="auto"/>
        <w:jc w:val="both"/>
      </w:pPr>
      <w:r>
        <w:t xml:space="preserve">Once </w:t>
      </w:r>
      <w:r>
        <w:rPr>
          <w:rFonts w:ascii="Consolas" w:eastAsia="Consolas" w:hAnsi="Consolas" w:cs="Consolas"/>
        </w:rPr>
        <w:t>variable_assignments</w:t>
      </w:r>
      <w:r>
        <w:t xml:space="preserve"> is consistent and the resolver has run, the rest of the framework is a stack of views derived from the resolved table and the assignment table. Renderers, audits, and the LP exporter read from these views; none of them re-derives structure from the base tables. The layer structure makes the dependency chain explicit and keeps each refresh cheap.</w:t>
      </w:r>
    </w:p>
    <w:tbl>
      <w:tblPr>
        <w:tblStyle w:val="TableGrid"/>
        <w:tblW w:w="9067" w:type="dxa"/>
        <w:tblLook w:val="04A0" w:firstRow="1" w:lastRow="0" w:firstColumn="1" w:lastColumn="0" w:noHBand="0" w:noVBand="1"/>
      </w:tblPr>
      <w:tblGrid>
        <w:gridCol w:w="1359"/>
        <w:gridCol w:w="2883"/>
        <w:gridCol w:w="2760"/>
        <w:gridCol w:w="2065"/>
      </w:tblGrid>
      <w:tr w:rsidR="00537923" w14:paraId="745B830C" w14:textId="77777777">
        <w:trPr>
          <w:tblHeader/>
        </w:trPr>
        <w:tc>
          <w:tcPr>
            <w:tcW w:w="2266" w:type="dxa"/>
            <w:shd w:val="clear" w:color="auto" w:fill="D9E2F3"/>
            <w:vAlign w:val="center"/>
          </w:tcPr>
          <w:p w14:paraId="13355682" w14:textId="77777777" w:rsidR="00537923" w:rsidRDefault="005C5514">
            <w:pPr>
              <w:rPr>
                <w:b/>
              </w:rPr>
            </w:pPr>
            <w:r>
              <w:rPr>
                <w:b/>
              </w:rPr>
              <w:lastRenderedPageBreak/>
              <w:t>Layer</w:t>
            </w:r>
          </w:p>
        </w:tc>
        <w:tc>
          <w:tcPr>
            <w:tcW w:w="2266" w:type="dxa"/>
            <w:shd w:val="clear" w:color="auto" w:fill="D9E2F3"/>
            <w:vAlign w:val="center"/>
          </w:tcPr>
          <w:p w14:paraId="00447626" w14:textId="77777777" w:rsidR="00537923" w:rsidRDefault="005C5514">
            <w:pPr>
              <w:rPr>
                <w:b/>
              </w:rPr>
            </w:pPr>
            <w:r>
              <w:rPr>
                <w:b/>
              </w:rPr>
              <w:t>View</w:t>
            </w:r>
          </w:p>
        </w:tc>
        <w:tc>
          <w:tcPr>
            <w:tcW w:w="2266" w:type="dxa"/>
            <w:shd w:val="clear" w:color="auto" w:fill="D9E2F3"/>
            <w:vAlign w:val="center"/>
          </w:tcPr>
          <w:p w14:paraId="5D7536C4" w14:textId="77777777" w:rsidR="00537923" w:rsidRDefault="005C5514">
            <w:pPr>
              <w:rPr>
                <w:b/>
              </w:rPr>
            </w:pPr>
            <w:r>
              <w:rPr>
                <w:b/>
              </w:rPr>
              <w:t>Reads from</w:t>
            </w:r>
          </w:p>
        </w:tc>
        <w:tc>
          <w:tcPr>
            <w:tcW w:w="2269" w:type="dxa"/>
            <w:shd w:val="clear" w:color="auto" w:fill="D9E2F3"/>
            <w:vAlign w:val="center"/>
          </w:tcPr>
          <w:p w14:paraId="74C2E86D" w14:textId="77777777" w:rsidR="00537923" w:rsidRDefault="005C5514">
            <w:pPr>
              <w:rPr>
                <w:b/>
              </w:rPr>
            </w:pPr>
            <w:r>
              <w:rPr>
                <w:b/>
              </w:rPr>
              <w:t>Provides</w:t>
            </w:r>
          </w:p>
        </w:tc>
      </w:tr>
      <w:tr w:rsidR="00537923" w14:paraId="349EB306" w14:textId="77777777">
        <w:tc>
          <w:tcPr>
            <w:tcW w:w="2266" w:type="dxa"/>
            <w:vAlign w:val="center"/>
          </w:tcPr>
          <w:p w14:paraId="75BF6176" w14:textId="77777777" w:rsidR="00537923" w:rsidRDefault="005C5514">
            <w:r>
              <w:t>L1</w:t>
            </w:r>
          </w:p>
        </w:tc>
        <w:tc>
          <w:tcPr>
            <w:tcW w:w="2266" w:type="dxa"/>
            <w:vAlign w:val="center"/>
          </w:tcPr>
          <w:p w14:paraId="4A0AE0AE" w14:textId="77777777" w:rsidR="00537923" w:rsidRDefault="005C5514">
            <w:r>
              <w:t>v_effective_assignments</w:t>
            </w:r>
          </w:p>
        </w:tc>
        <w:tc>
          <w:tcPr>
            <w:tcW w:w="2266" w:type="dxa"/>
            <w:vAlign w:val="center"/>
          </w:tcPr>
          <w:p w14:paraId="1E5A53F2" w14:textId="77777777" w:rsidR="00537923" w:rsidRDefault="005C5514">
            <w:r>
              <w:t>variable_assignments + defaults</w:t>
            </w:r>
          </w:p>
        </w:tc>
        <w:tc>
          <w:tcPr>
            <w:tcW w:w="2269" w:type="dxa"/>
            <w:vAlign w:val="center"/>
          </w:tcPr>
          <w:p w14:paraId="0A533180" w14:textId="77777777" w:rsidR="00537923" w:rsidRDefault="005C5514">
            <w:r>
              <w:t>One row per (scenario, variable) with the layered recipe and an audit tag for where the formula came from</w:t>
            </w:r>
          </w:p>
        </w:tc>
      </w:tr>
      <w:tr w:rsidR="00537923" w14:paraId="4A476737" w14:textId="77777777">
        <w:tc>
          <w:tcPr>
            <w:tcW w:w="2266" w:type="dxa"/>
            <w:vAlign w:val="center"/>
          </w:tcPr>
          <w:p w14:paraId="4746B782" w14:textId="77777777" w:rsidR="00537923" w:rsidRDefault="005C5514">
            <w:r>
              <w:t>L2a</w:t>
            </w:r>
          </w:p>
        </w:tc>
        <w:tc>
          <w:tcPr>
            <w:tcW w:w="2266" w:type="dxa"/>
            <w:vAlign w:val="center"/>
          </w:tcPr>
          <w:p w14:paraId="7EFAD741" w14:textId="77777777" w:rsidR="00537923" w:rsidRDefault="005C5514">
            <w:r>
              <w:t>v_formula_input_links</w:t>
            </w:r>
          </w:p>
        </w:tc>
        <w:tc>
          <w:tcPr>
            <w:tcW w:w="2266" w:type="dxa"/>
            <w:vAlign w:val="center"/>
          </w:tcPr>
          <w:p w14:paraId="7820E16E" w14:textId="77777777" w:rsidR="00537923" w:rsidRDefault="005C5514">
            <w:r>
              <w:t>L1</w:t>
            </w:r>
          </w:p>
        </w:tc>
        <w:tc>
          <w:tcPr>
            <w:tcW w:w="2269" w:type="dxa"/>
            <w:vAlign w:val="center"/>
          </w:tcPr>
          <w:p w14:paraId="20752CE1" w14:textId="77777777" w:rsidR="00537923" w:rsidRDefault="005C5514">
            <w:r>
              <w:t>One row per arrow in formula_inputs — the atomic (parent, child) pair, scenario-tagged</w:t>
            </w:r>
          </w:p>
        </w:tc>
      </w:tr>
      <w:tr w:rsidR="00537923" w14:paraId="2FA4E6ED" w14:textId="77777777">
        <w:tc>
          <w:tcPr>
            <w:tcW w:w="2266" w:type="dxa"/>
            <w:vAlign w:val="center"/>
          </w:tcPr>
          <w:p w14:paraId="304F7AA7" w14:textId="77777777" w:rsidR="00537923" w:rsidRDefault="005C5514">
            <w:r>
              <w:t>L2b</w:t>
            </w:r>
          </w:p>
        </w:tc>
        <w:tc>
          <w:tcPr>
            <w:tcW w:w="2266" w:type="dxa"/>
            <w:vAlign w:val="center"/>
          </w:tcPr>
          <w:p w14:paraId="7421320E" w14:textId="77777777" w:rsidR="00537923" w:rsidRDefault="005C5514">
            <w:r>
              <w:t>v_aggregation_edges</w:t>
            </w:r>
          </w:p>
        </w:tc>
        <w:tc>
          <w:tcPr>
            <w:tcW w:w="2266" w:type="dxa"/>
            <w:vAlign w:val="center"/>
          </w:tcPr>
          <w:p w14:paraId="388A37AD" w14:textId="77777777" w:rsidR="00537923" w:rsidRDefault="005C5514">
            <w:r>
              <w:t>L2a + variables</w:t>
            </w:r>
          </w:p>
        </w:tc>
        <w:tc>
          <w:tcPr>
            <w:tcW w:w="2269" w:type="dxa"/>
            <w:vAlign w:val="center"/>
          </w:tcPr>
          <w:p w14:paraId="2986B39A" w14:textId="77777777" w:rsidR="00537923" w:rsidRDefault="005C5514">
            <w:r>
              <w:t>The aggregation graph: every cross-node reference, annotated with the parent's formula and time-series-bound flag</w:t>
            </w:r>
          </w:p>
        </w:tc>
      </w:tr>
      <w:tr w:rsidR="00537923" w14:paraId="348DD58C" w14:textId="77777777">
        <w:tc>
          <w:tcPr>
            <w:tcW w:w="2266" w:type="dxa"/>
            <w:vAlign w:val="center"/>
          </w:tcPr>
          <w:p w14:paraId="643BCC9D" w14:textId="77777777" w:rsidR="00537923" w:rsidRDefault="005C5514">
            <w:r>
              <w:t>L2c</w:t>
            </w:r>
          </w:p>
        </w:tc>
        <w:tc>
          <w:tcPr>
            <w:tcW w:w="2266" w:type="dxa"/>
            <w:vAlign w:val="center"/>
          </w:tcPr>
          <w:p w14:paraId="65259DEA" w14:textId="77777777" w:rsidR="00537923" w:rsidRDefault="005C5514">
            <w:r>
              <w:t>v_flow_edges</w:t>
            </w:r>
          </w:p>
        </w:tc>
        <w:tc>
          <w:tcPr>
            <w:tcW w:w="2266" w:type="dxa"/>
            <w:vAlign w:val="center"/>
          </w:tcPr>
          <w:p w14:paraId="6F281603" w14:textId="77777777" w:rsidR="00537923" w:rsidRDefault="005C5514">
            <w:r>
              <w:t>variables</w:t>
            </w:r>
          </w:p>
        </w:tc>
        <w:tc>
          <w:tcPr>
            <w:tcW w:w="2269" w:type="dxa"/>
            <w:vAlign w:val="center"/>
          </w:tcPr>
          <w:p w14:paraId="6FE16287" w14:textId="77777777" w:rsidR="00537923" w:rsidRDefault="005C5514">
            <w:r>
              <w:t>The physical flow topology: one row per outflow variable with a related node, interpreted as (source → target)</w:t>
            </w:r>
          </w:p>
        </w:tc>
      </w:tr>
      <w:tr w:rsidR="00537923" w14:paraId="45508753" w14:textId="77777777">
        <w:tc>
          <w:tcPr>
            <w:tcW w:w="2266" w:type="dxa"/>
            <w:vAlign w:val="center"/>
          </w:tcPr>
          <w:p w14:paraId="4046231E" w14:textId="77777777" w:rsidR="00537923" w:rsidRDefault="005C5514">
            <w:r>
              <w:t>L3a</w:t>
            </w:r>
          </w:p>
        </w:tc>
        <w:tc>
          <w:tcPr>
            <w:tcW w:w="2266" w:type="dxa"/>
            <w:vAlign w:val="center"/>
          </w:tcPr>
          <w:p w14:paraId="5DBE05C5" w14:textId="77777777" w:rsidR="00537923" w:rsidRDefault="005C5514">
            <w:r>
              <w:t>v_partition_tree</w:t>
            </w:r>
          </w:p>
        </w:tc>
        <w:tc>
          <w:tcPr>
            <w:tcW w:w="2266" w:type="dxa"/>
            <w:vAlign w:val="center"/>
          </w:tcPr>
          <w:p w14:paraId="5DF04888" w14:textId="77777777" w:rsidR="00537923" w:rsidRDefault="005C5514">
            <w:r>
              <w:t>v_aggregation_edges</w:t>
            </w:r>
          </w:p>
        </w:tc>
        <w:tc>
          <w:tcPr>
            <w:tcW w:w="2269" w:type="dxa"/>
            <w:vAlign w:val="center"/>
          </w:tcPr>
          <w:p w14:paraId="661B6DCF" w14:textId="77777777" w:rsidR="00537923" w:rsidRDefault="005C5514">
            <w:r>
              <w:t>The partition spine: same-type, same-commodity, same-related-node aggregation edges, with arithmetic residuals excluded</w:t>
            </w:r>
          </w:p>
        </w:tc>
      </w:tr>
      <w:tr w:rsidR="00537923" w14:paraId="734BBF2C" w14:textId="77777777">
        <w:tc>
          <w:tcPr>
            <w:tcW w:w="2266" w:type="dxa"/>
            <w:vAlign w:val="center"/>
          </w:tcPr>
          <w:p w14:paraId="3D644EEC" w14:textId="77777777" w:rsidR="00537923" w:rsidRDefault="005C5514">
            <w:r>
              <w:t>L3b</w:t>
            </w:r>
          </w:p>
        </w:tc>
        <w:tc>
          <w:tcPr>
            <w:tcW w:w="2266" w:type="dxa"/>
            <w:vAlign w:val="center"/>
          </w:tcPr>
          <w:p w14:paraId="4C34906C" w14:textId="77777777" w:rsidR="00537923" w:rsidRDefault="005C5514">
            <w:r>
              <w:t>v_node_status</w:t>
            </w:r>
          </w:p>
        </w:tc>
        <w:tc>
          <w:tcPr>
            <w:tcW w:w="2266" w:type="dxa"/>
            <w:vAlign w:val="center"/>
          </w:tcPr>
          <w:p w14:paraId="17954D2A" w14:textId="77777777" w:rsidR="00537923" w:rsidRDefault="005C5514">
            <w:r>
              <w:t>L1</w:t>
            </w:r>
          </w:p>
        </w:tc>
        <w:tc>
          <w:tcPr>
            <w:tcW w:w="2269" w:type="dxa"/>
            <w:vAlign w:val="center"/>
          </w:tcPr>
          <w:p w14:paraId="55BDF423" w14:textId="77777777" w:rsidR="00537923" w:rsidRDefault="005C5514">
            <w:r>
              <w:t>The per-(scenario, node) status from Section 4.5: authoritative, derived, or inactive</w:t>
            </w:r>
          </w:p>
        </w:tc>
      </w:tr>
      <w:tr w:rsidR="00537923" w14:paraId="58BD4265" w14:textId="77777777">
        <w:tc>
          <w:tcPr>
            <w:tcW w:w="2266" w:type="dxa"/>
            <w:vAlign w:val="center"/>
          </w:tcPr>
          <w:p w14:paraId="3BF200BB" w14:textId="77777777" w:rsidR="00537923" w:rsidRDefault="005C5514">
            <w:r>
              <w:t>L4a</w:t>
            </w:r>
          </w:p>
        </w:tc>
        <w:tc>
          <w:tcPr>
            <w:tcW w:w="2266" w:type="dxa"/>
            <w:vAlign w:val="center"/>
          </w:tcPr>
          <w:p w14:paraId="4E12E89D" w14:textId="77777777" w:rsidR="00537923" w:rsidRDefault="005C5514">
            <w:r>
              <w:t>v_node_balance_check</w:t>
            </w:r>
          </w:p>
        </w:tc>
        <w:tc>
          <w:tcPr>
            <w:tcW w:w="2266" w:type="dxa"/>
            <w:vAlign w:val="center"/>
          </w:tcPr>
          <w:p w14:paraId="4672B157" w14:textId="77777777" w:rsidR="00537923" w:rsidRDefault="005C5514">
            <w:r>
              <w:t>scenario_resolved_values + v_flow_edges</w:t>
            </w:r>
          </w:p>
        </w:tc>
        <w:tc>
          <w:tcPr>
            <w:tcW w:w="2269" w:type="dxa"/>
            <w:vAlign w:val="center"/>
          </w:tcPr>
          <w:p w14:paraId="390A3C6F" w14:textId="77777777" w:rsidR="00537923" w:rsidRDefault="005C5514">
            <w:r>
              <w:t>Per-(node, date) mass-balance closure: sum_in, sum_out_obs, sum_out_implied, gap_kbd</w:t>
            </w:r>
          </w:p>
        </w:tc>
      </w:tr>
      <w:tr w:rsidR="00537923" w14:paraId="75607C17" w14:textId="77777777">
        <w:tc>
          <w:tcPr>
            <w:tcW w:w="2266" w:type="dxa"/>
            <w:vAlign w:val="center"/>
          </w:tcPr>
          <w:p w14:paraId="6FA8EEE3" w14:textId="77777777" w:rsidR="00537923" w:rsidRDefault="005C5514">
            <w:r>
              <w:t>L4b</w:t>
            </w:r>
          </w:p>
        </w:tc>
        <w:tc>
          <w:tcPr>
            <w:tcW w:w="2266" w:type="dxa"/>
            <w:vAlign w:val="center"/>
          </w:tcPr>
          <w:p w14:paraId="3EE15E45" w14:textId="77777777" w:rsidR="00537923" w:rsidRDefault="005C5514">
            <w:r>
              <w:t>v_aggregation_consistency</w:t>
            </w:r>
          </w:p>
        </w:tc>
        <w:tc>
          <w:tcPr>
            <w:tcW w:w="2266" w:type="dxa"/>
            <w:vAlign w:val="center"/>
          </w:tcPr>
          <w:p w14:paraId="66EA54CE" w14:textId="77777777" w:rsidR="00537923" w:rsidRDefault="005C5514">
            <w:r>
              <w:t>v_partition_tree + scenario_resolved_values</w:t>
            </w:r>
          </w:p>
        </w:tc>
        <w:tc>
          <w:tcPr>
            <w:tcW w:w="2269" w:type="dxa"/>
            <w:vAlign w:val="center"/>
          </w:tcPr>
          <w:p w14:paraId="46C45793" w14:textId="77777777" w:rsidR="00537923" w:rsidRDefault="005C5514">
            <w:r>
              <w:t xml:space="preserve">For every time-series-observed aggregate, the cross-check abs(TS value − Σ constituents) — </w:t>
            </w:r>
            <w:r>
              <w:lastRenderedPageBreak/>
              <w:t>flagged ok / partial / inconsistent</w:t>
            </w:r>
          </w:p>
        </w:tc>
      </w:tr>
      <w:tr w:rsidR="00537923" w14:paraId="0243FC98" w14:textId="77777777">
        <w:tc>
          <w:tcPr>
            <w:tcW w:w="2266" w:type="dxa"/>
            <w:vAlign w:val="center"/>
          </w:tcPr>
          <w:p w14:paraId="11856875" w14:textId="77777777" w:rsidR="00537923" w:rsidRDefault="005C5514">
            <w:r>
              <w:lastRenderedPageBreak/>
              <w:t>L4c</w:t>
            </w:r>
          </w:p>
        </w:tc>
        <w:tc>
          <w:tcPr>
            <w:tcW w:w="2266" w:type="dxa"/>
            <w:vAlign w:val="center"/>
          </w:tcPr>
          <w:p w14:paraId="46050BC6" w14:textId="77777777" w:rsidR="00537923" w:rsidRDefault="005C5514">
            <w:r>
              <w:t>v_inventory_changes</w:t>
            </w:r>
          </w:p>
        </w:tc>
        <w:tc>
          <w:tcPr>
            <w:tcW w:w="2266" w:type="dxa"/>
            <w:vAlign w:val="center"/>
          </w:tcPr>
          <w:p w14:paraId="4AA17868" w14:textId="77777777" w:rsidR="00537923" w:rsidRDefault="005C5514">
            <w:r>
              <w:t>scenario_resolved_values</w:t>
            </w:r>
          </w:p>
        </w:tc>
        <w:tc>
          <w:tcPr>
            <w:tcW w:w="2269" w:type="dxa"/>
            <w:vAlign w:val="center"/>
          </w:tcPr>
          <w:p w14:paraId="2F950094" w14:textId="77777777" w:rsidR="00537923" w:rsidRDefault="005C5514">
            <w:r>
              <w:t>Per-stock-series ΔS in MBBL and kbd; used by the balance UI to display inventory deltas</w:t>
            </w:r>
          </w:p>
        </w:tc>
      </w:tr>
      <w:tr w:rsidR="00537923" w14:paraId="10358381" w14:textId="77777777">
        <w:tc>
          <w:tcPr>
            <w:tcW w:w="2266" w:type="dxa"/>
            <w:vAlign w:val="center"/>
          </w:tcPr>
          <w:p w14:paraId="053E09FF" w14:textId="77777777" w:rsidR="00537923" w:rsidRDefault="005C5514">
            <w:r>
              <w:t>L4d</w:t>
            </w:r>
          </w:p>
        </w:tc>
        <w:tc>
          <w:tcPr>
            <w:tcW w:w="2266" w:type="dxa"/>
            <w:vAlign w:val="center"/>
          </w:tcPr>
          <w:p w14:paraId="381226A6" w14:textId="77777777" w:rsidR="00537923" w:rsidRDefault="005C5514">
            <w:r>
              <w:t>v_aggregate_balance</w:t>
            </w:r>
          </w:p>
        </w:tc>
        <w:tc>
          <w:tcPr>
            <w:tcW w:w="2266" w:type="dxa"/>
            <w:vAlign w:val="center"/>
          </w:tcPr>
          <w:p w14:paraId="2B6182D1" w14:textId="77777777" w:rsidR="00537923" w:rsidRDefault="005C5514">
            <w:r>
              <w:t>v_partition_tree + L4a</w:t>
            </w:r>
          </w:p>
        </w:tc>
        <w:tc>
          <w:tcPr>
            <w:tcW w:w="2269" w:type="dxa"/>
            <w:vAlign w:val="center"/>
          </w:tcPr>
          <w:p w14:paraId="56E45248" w14:textId="77777777" w:rsidR="00537923" w:rsidRDefault="005C5514">
            <w:r>
              <w:t>Closed mass balance for the active scenario's balance-role aggregates (usa_view plus the five PADD views)</w:t>
            </w:r>
          </w:p>
        </w:tc>
      </w:tr>
      <w:tr w:rsidR="00537923" w14:paraId="4891103A" w14:textId="77777777">
        <w:tc>
          <w:tcPr>
            <w:tcW w:w="2266" w:type="dxa"/>
            <w:vAlign w:val="center"/>
          </w:tcPr>
          <w:p w14:paraId="70029C30" w14:textId="77777777" w:rsidR="00537923" w:rsidRDefault="005C5514">
            <w:r>
              <w:t>L4e</w:t>
            </w:r>
          </w:p>
        </w:tc>
        <w:tc>
          <w:tcPr>
            <w:tcW w:w="2266" w:type="dxa"/>
            <w:vAlign w:val="center"/>
          </w:tcPr>
          <w:p w14:paraId="2F2EE3B6" w14:textId="77777777" w:rsidR="00537923" w:rsidRDefault="005C5514">
            <w:r>
              <w:t>v_node_pcisob</w:t>
            </w:r>
          </w:p>
        </w:tc>
        <w:tc>
          <w:tcPr>
            <w:tcW w:w="2266" w:type="dxa"/>
            <w:vAlign w:val="center"/>
          </w:tcPr>
          <w:p w14:paraId="34E283C7" w14:textId="77777777" w:rsidR="00537923" w:rsidRDefault="005C5514">
            <w:r>
              <w:t>scenario_resolved_values</w:t>
            </w:r>
          </w:p>
        </w:tc>
        <w:tc>
          <w:tcPr>
            <w:tcW w:w="2269" w:type="dxa"/>
            <w:vAlign w:val="center"/>
          </w:tcPr>
          <w:p w14:paraId="70E627C8" w14:textId="77777777" w:rsidR="00537923" w:rsidRDefault="005C5514">
            <w:r>
              <w:t>Per-(node, date) totals for the six variable types, pre-aggregated so renderers do not redo the GROUP BY at every page load</w:t>
            </w:r>
          </w:p>
        </w:tc>
      </w:tr>
    </w:tbl>
    <w:p w14:paraId="36BCFCA6" w14:textId="77777777" w:rsidR="008E1B31" w:rsidRDefault="005C5514">
      <w:pPr>
        <w:spacing w:after="160" w:line="320" w:lineRule="auto"/>
        <w:jc w:val="both"/>
      </w:pPr>
      <w:r>
        <w:t xml:space="preserve">The refresh discipline is straightforward. The L2 and L3 views are refreshed only when </w:t>
      </w:r>
      <w:r>
        <w:rPr>
          <w:rFonts w:ascii="Consolas" w:eastAsia="Consolas" w:hAnsi="Consolas" w:cs="Consolas"/>
        </w:rPr>
        <w:t>variable_assignments</w:t>
      </w:r>
      <w:r>
        <w:t xml:space="preserve"> or </w:t>
      </w:r>
      <w:r>
        <w:rPr>
          <w:rFonts w:ascii="Consolas" w:eastAsia="Consolas" w:hAnsi="Consolas" w:cs="Consolas"/>
        </w:rPr>
        <w:t>variables</w:t>
      </w:r>
      <w:r>
        <w:t xml:space="preserve"> changes — rare events tied to deliberate migrations. The L4 views are refreshed after each resolver run, since they depend on </w:t>
      </w:r>
      <w:r>
        <w:rPr>
          <w:rFonts w:ascii="Consolas" w:eastAsia="Consolas" w:hAnsi="Consolas" w:cs="Consolas"/>
        </w:rPr>
        <w:t>scenario_resolved_values</w:t>
      </w:r>
      <w:r>
        <w:t xml:space="preserve">. The resolver script calls </w:t>
      </w:r>
      <w:r>
        <w:rPr>
          <w:rFonts w:ascii="Consolas" w:eastAsia="Consolas" w:hAnsi="Consolas" w:cs="Consolas"/>
        </w:rPr>
        <w:t>refresh_analytic()</w:t>
      </w:r>
      <w:r>
        <w:t xml:space="preserve"> automatically after a successful run.</w:t>
      </w:r>
    </w:p>
    <w:p w14:paraId="36BCFCA7" w14:textId="77777777" w:rsidR="008E1B31" w:rsidRDefault="005C5514">
      <w:pPr>
        <w:pStyle w:val="Heading2"/>
      </w:pPr>
      <w:r>
        <w:t>6.9 Persistence and the audit trail</w:t>
      </w:r>
    </w:p>
    <w:p w14:paraId="36BCFCA8" w14:textId="77777777" w:rsidR="008E1B31" w:rsidRDefault="005C5514">
      <w:pPr>
        <w:spacing w:after="160" w:line="320" w:lineRule="auto"/>
        <w:jc w:val="both"/>
      </w:pPr>
      <w:r>
        <w:t xml:space="preserve">After the dispatch loop finishes, the resolver clears the scenario's existing rows in </w:t>
      </w:r>
      <w:r>
        <w:rPr>
          <w:rFonts w:ascii="Consolas" w:eastAsia="Consolas" w:hAnsi="Consolas" w:cs="Consolas"/>
        </w:rPr>
        <w:t>scenario_resolved_values</w:t>
      </w:r>
      <w:r>
        <w:t xml:space="preserve"> and writes the new ones via </w:t>
      </w:r>
      <w:r>
        <w:rPr>
          <w:rFonts w:ascii="Consolas" w:eastAsia="Consolas" w:hAnsi="Consolas" w:cs="Consolas"/>
        </w:rPr>
        <w:t>execute_values</w:t>
      </w:r>
      <w:r>
        <w:t xml:space="preserve"> in batches of 5,000. The audit row in </w:t>
      </w:r>
      <w:r>
        <w:rPr>
          <w:rFonts w:ascii="Consolas" w:eastAsia="Consolas" w:hAnsi="Consolas" w:cs="Consolas"/>
        </w:rPr>
        <w:t>scenario_resolver_runs</w:t>
      </w:r>
      <w:r>
        <w:t xml:space="preserve"> is updated with the completion timestamp, the elapsed milliseconds, and the dispatch counts as JSONB.</w:t>
      </w:r>
    </w:p>
    <w:p w14:paraId="36BCFCA9" w14:textId="77777777" w:rsidR="008E1B31" w:rsidRDefault="005C5514">
      <w:pPr>
        <w:spacing w:after="160" w:line="320" w:lineRule="auto"/>
        <w:jc w:val="both"/>
      </w:pPr>
      <w:r>
        <w:t xml:space="preserve">If the resolver crashes mid-way, the open audit row with </w:t>
      </w:r>
      <w:r>
        <w:rPr>
          <w:rFonts w:ascii="Consolas" w:eastAsia="Consolas" w:hAnsi="Consolas" w:cs="Consolas"/>
        </w:rPr>
        <w:t>NULL</w:t>
      </w:r>
      <w:r>
        <w:t xml:space="preserve"> in </w:t>
      </w:r>
      <w:r>
        <w:rPr>
          <w:rFonts w:ascii="Consolas" w:eastAsia="Consolas" w:hAnsi="Consolas" w:cs="Consolas"/>
        </w:rPr>
        <w:t>completed_at</w:t>
      </w:r>
      <w:r>
        <w:t xml:space="preserve"> is itself a useful signal: it tells the next operator that a run was started but did not finish. The resolved-values table is unaffected by a crash because the </w:t>
      </w:r>
      <w:r>
        <w:rPr>
          <w:rFonts w:ascii="Consolas" w:eastAsia="Consolas" w:hAnsi="Consolas" w:cs="Consolas"/>
        </w:rPr>
        <w:t>DELETE</w:t>
      </w:r>
      <w:r>
        <w:t>/</w:t>
      </w:r>
      <w:r>
        <w:rPr>
          <w:rFonts w:ascii="Consolas" w:eastAsia="Consolas" w:hAnsi="Consolas" w:cs="Consolas"/>
        </w:rPr>
        <w:t>INSERT</w:t>
      </w:r>
      <w:r>
        <w:t xml:space="preserve"> pair runs inside a transaction. There is no half-written intermediate state to clean up.</w:t>
      </w:r>
    </w:p>
    <w:p w14:paraId="36BCFCAA" w14:textId="77777777" w:rsidR="008E1B31" w:rsidRDefault="005C5514">
      <w:pPr>
        <w:spacing w:after="160" w:line="320" w:lineRule="auto"/>
        <w:jc w:val="both"/>
      </w:pPr>
      <w:r>
        <w:t>The resolver and the layered views together provide the foundation for the consistency claims developed in the next chapter. Every claim made about the framework's behaviour is in principle reproducible from a single resolver run and a small number of SQL queries against the L4 views. This is the design property that makes the framework auditable, and it is what distinguishes the schema from a pure modelling exercise.</w:t>
      </w:r>
    </w:p>
    <w:p w14:paraId="6918CDA7" w14:textId="77777777" w:rsidR="008E1B31" w:rsidRDefault="005C5514">
      <w:pPr>
        <w:pStyle w:val="Heading2"/>
      </w:pPr>
      <w:r>
        <w:lastRenderedPageBreak/>
        <w:t>6.10 Last-observation-carried-forward</w:t>
      </w:r>
    </w:p>
    <w:p w14:paraId="77967B85" w14:textId="77777777" w:rsidR="008E1B31" w:rsidRDefault="005C5514">
      <w:pPr>
        <w:spacing w:after="160" w:line="320" w:lineRule="auto"/>
        <w:jc w:val="both"/>
      </w:pPr>
      <w:r>
        <w:t>Rule 1 (observed) implements the temporal convention introduced as Corollary D-bis: last-observation-carried-forward, or LOCF. Concretely: if a series reports 1,200 kbd on 2024-06-01 and the next observation lands on 2024-09-01 at 1,250 kbd, the resolver returns 1,200 kbd for every date from 2024-06-01 through 2024-08-31, and 1,250 kbd from 2024-09-01 onwards. The value at any date is the most recently observed value at or before that date. There is no interpolation between observations; the time series is a step function. Dates earlier than the first observation receive no row. Section 4.11 sets out why LOCF is the right convention; this section covers how the resolver records it and what to look for in the audit trail.</w:t>
      </w:r>
    </w:p>
    <w:p w14:paraId="630DA72F" w14:textId="77777777" w:rsidR="008E1B31" w:rsidRDefault="005C5514">
      <w:pPr>
        <w:spacing w:after="160" w:line="320" w:lineRule="auto"/>
        <w:jc w:val="both"/>
      </w:pPr>
      <w:r>
        <w:t>Every resolved row records LOCF in the formula_used column on scenario_resolved_values. Fresh observations carry formula_used = NULL. Carried-forward rows record the source date as formula_used = 'locf(YYYY-MM-DD)'. A downstream consumer can therefore tell freshly published values from carried-over ones. A frequency-gap audit can also flag long LOCF runs against the expected publication cadence, which is useful when a series has lapsed without a fresh release.</w:t>
      </w:r>
    </w:p>
    <w:p w14:paraId="1DD3984F" w14:textId="77777777" w:rsidR="008E1B31" w:rsidRDefault="005C5514">
      <w:pPr>
        <w:spacing w:after="160" w:line="320" w:lineRule="auto"/>
        <w:jc w:val="both"/>
      </w:pPr>
      <w:r>
        <w:t>A live example illustrates the temporal convention at work. The variable montana_other.production is defined as montana_state.production minus bakken_mt.production. The state-level series MCRFPMT2 ends earlier than the STEO basin forecast COPRBK. LOCF holds the Montana state value flat from MCRFPMT2's last observation onward, while Bakken-MT keeps forecasting upward, so the residual jumps downward and goes negative for the months between the two horizons. The discontinuity is the point. The framework's temporal convention does not interpolate across granularities, and when two source publications with different update cadences feed the same residual the gap between them surfaces in the resolved data as an honest jump rather than as a quiet drift. The v_resolution_anomalies view tags the pattern as a low-severity anomaly for review. The analyst's response then becomes a choice — find a more granular source, accept the LOCF gap until the next state-level publication lands, or note the divergence in their downstream model. The framework's job is to surface the discontinuity, not to hide it.</w:t>
      </w:r>
    </w:p>
    <w:p w14:paraId="036ECAA8" w14:textId="77777777" w:rsidR="006E3777" w:rsidRDefault="006E3777">
      <w:pPr>
        <w:spacing w:after="160" w:line="319" w:lineRule="auto"/>
        <w:jc w:val="both"/>
        <w:rPr>
          <w:kern w:val="2"/>
          <w14:ligatures w14:val="standardContextual"/>
        </w:rPr>
      </w:pPr>
      <w:r>
        <w:t>LOCF is the convention most commercial data providers follow as well. Kpler reports vessel positions and cargo manifests by carrying forward the most recent observation until a new AIS ping or manifest update arrives; Genscape's tank-level imagery is taken at a daily cadence and held flat between captures; Wood Mackenzie's IIR holds refinery status flat between successive surveys. Adopting LOCF in the framework therefore keeps the temporal convention identical to what downstream consumers already expect from their commercial feeds, and the formula_used audit trail makes the convention auditable in a way that most providers' downstream data delivery does not.</w:t>
      </w:r>
    </w:p>
    <w:p w14:paraId="36BCFCAB" w14:textId="77777777" w:rsidR="008E1B31" w:rsidRDefault="005C5514">
      <w:pPr>
        <w:pStyle w:val="Heading1"/>
        <w:pageBreakBefore/>
      </w:pPr>
      <w:r>
        <w:lastRenderedPageBreak/>
        <w:t>7. Consistency Guarantees</w:t>
      </w:r>
    </w:p>
    <w:p w14:paraId="36BCFCAC" w14:textId="77777777" w:rsidR="008E1B31" w:rsidRDefault="005C5514">
      <w:pPr>
        <w:spacing w:after="160" w:line="320" w:lineRule="auto"/>
        <w:jc w:val="both"/>
      </w:pPr>
      <w:r>
        <w:t>The framework's claim to be a contribution rests on the consistency properties it provides to downstream consumers. A linear programme that reads from the resolved table assumes that mass balance holds. A graph neural network that consumes the node features assumes that aggregate values match the sum of their constituents. A human analyst inspecting the balance UI assumes that the numbers add up. Each of these consumers is entitled to those assumptions only if the schema enforces them, the resolver respects them, and the audits demonstrate them on real data.</w:t>
      </w:r>
    </w:p>
    <w:p w14:paraId="36BCFCAD" w14:textId="77777777" w:rsidR="008E1B31" w:rsidRDefault="005C5514">
      <w:pPr>
        <w:spacing w:after="160" w:line="320" w:lineRule="auto"/>
        <w:jc w:val="both"/>
      </w:pPr>
      <w:r>
        <w:t>This chapter sets out the four consistency claims the framework supports, the queries that test each one, and the numerical state of each claim under the active starter scenario at the time of writing.</w:t>
      </w:r>
    </w:p>
    <w:p w14:paraId="36BCFCAE" w14:textId="77777777" w:rsidR="008E1B31" w:rsidRDefault="005C5514">
      <w:pPr>
        <w:pStyle w:val="Heading2"/>
      </w:pPr>
      <w:r>
        <w:t>7.1 Claim 1: Schema-level single attribution</w:t>
      </w:r>
    </w:p>
    <w:p w14:paraId="36BCFCAF" w14:textId="77777777" w:rsidR="008E1B31" w:rsidRDefault="005C5514">
      <w:pPr>
        <w:spacing w:after="160" w:line="320" w:lineRule="auto"/>
        <w:jc w:val="both"/>
      </w:pPr>
      <w:r>
        <w:t>The first claim concerns the source of value for each variable assignment and is enforced at the database schema level rather than verified after the fact. For each (scenario, variable, commodity, timestamp), the value of the variable comes from exactly one source. Either the variable is bound to a time series, or it is bound to a formula. It cannot be both and it cannot be neither. Aggregation relationships declared in formula_inputs are independent of the value source and are not affected by this constraint (the dual role is explained in Section 4.8). The CHECK constraint on variable_assignments is:</w:t>
      </w:r>
    </w:p>
    <w:p w14:paraId="36BCFCB0" w14:textId="77777777" w:rsidR="008E1B31" w:rsidRDefault="005C5514">
      <w:pPr>
        <w:shd w:val="clear" w:color="auto" w:fill="F4F4F4"/>
      </w:pPr>
      <w:r>
        <w:rPr>
          <w:rFonts w:ascii="Consolas" w:eastAsia="Consolas" w:hAnsi="Consolas" w:cs="Consolas"/>
          <w:sz w:val="20"/>
          <w:szCs w:val="20"/>
        </w:rPr>
        <w:t>CHECK (num_nonnulls(timeseries_id, formula) = 1)</w:t>
      </w:r>
    </w:p>
    <w:p w14:paraId="36BCFCB1" w14:textId="77777777" w:rsidR="008E1B31" w:rsidRDefault="005C5514">
      <w:pPr>
        <w:spacing w:after="120"/>
      </w:pPr>
      <w:r>
        <w:rPr>
          <w:sz w:val="12"/>
          <w:szCs w:val="12"/>
        </w:rPr>
        <w:t xml:space="preserve"> </w:t>
      </w:r>
    </w:p>
    <w:p w14:paraId="36BCFCB2" w14:textId="77777777" w:rsidR="008E1B31" w:rsidRDefault="005C5514">
      <w:pPr>
        <w:spacing w:after="160" w:line="320" w:lineRule="auto"/>
        <w:jc w:val="both"/>
      </w:pPr>
      <w:r>
        <w:t>This constraint cannot be violated by an INSERT. Any attempt to write an assignment row that fails the test is rejected by the database before the data can propagate anywhere. Schema-level enforcement is the strongest form of consistency guarantee the framework provides: rather than detecting inconsistent state after the fact, it makes inconsistent state unrepresentable.</w:t>
      </w:r>
    </w:p>
    <w:p w14:paraId="36BCFCB3" w14:textId="77777777" w:rsidR="008E1B31" w:rsidRDefault="005C5514">
      <w:pPr>
        <w:spacing w:after="160" w:line="320" w:lineRule="auto"/>
        <w:jc w:val="both"/>
      </w:pPr>
      <w:r>
        <w:t>A complementary audit at the time-series attribution level enforces single-attribution from the other direction. For each scenario, each time series is bound to exactly one variable. The audit query is:</w:t>
      </w:r>
    </w:p>
    <w:p w14:paraId="36BCFCB4" w14:textId="77777777" w:rsidR="008E1B31" w:rsidRDefault="005C5514">
      <w:pPr>
        <w:shd w:val="clear" w:color="auto" w:fill="F4F4F4"/>
      </w:pPr>
      <w:r>
        <w:rPr>
          <w:rFonts w:ascii="Consolas" w:eastAsia="Consolas" w:hAnsi="Consolas" w:cs="Consolas"/>
          <w:sz w:val="20"/>
          <w:szCs w:val="20"/>
        </w:rPr>
        <w:t>SELECT timeseries_id, COUNT(*) AS n_bindings</w:t>
      </w:r>
    </w:p>
    <w:p w14:paraId="36BCFCB5" w14:textId="77777777" w:rsidR="008E1B31" w:rsidRDefault="005C5514">
      <w:pPr>
        <w:shd w:val="clear" w:color="auto" w:fill="F4F4F4"/>
      </w:pPr>
      <w:r>
        <w:rPr>
          <w:rFonts w:ascii="Consolas" w:eastAsia="Consolas" w:hAnsi="Consolas" w:cs="Consolas"/>
          <w:sz w:val="20"/>
          <w:szCs w:val="20"/>
        </w:rPr>
        <w:t>FROM variable_assignments</w:t>
      </w:r>
    </w:p>
    <w:p w14:paraId="36BCFCB6" w14:textId="77777777" w:rsidR="008E1B31" w:rsidRDefault="005C5514">
      <w:pPr>
        <w:shd w:val="clear" w:color="auto" w:fill="F4F4F4"/>
      </w:pPr>
      <w:r>
        <w:rPr>
          <w:rFonts w:ascii="Consolas" w:eastAsia="Consolas" w:hAnsi="Consolas" w:cs="Consolas"/>
          <w:sz w:val="20"/>
          <w:szCs w:val="20"/>
        </w:rPr>
        <w:t>WHERE scenario_id = 'starter_us_crude_2015_2025'</w:t>
      </w:r>
    </w:p>
    <w:p w14:paraId="36BCFCB7" w14:textId="77777777" w:rsidR="008E1B31" w:rsidRDefault="005C5514">
      <w:pPr>
        <w:shd w:val="clear" w:color="auto" w:fill="F4F4F4"/>
      </w:pPr>
      <w:r>
        <w:rPr>
          <w:rFonts w:ascii="Consolas" w:eastAsia="Consolas" w:hAnsi="Consolas" w:cs="Consolas"/>
          <w:sz w:val="20"/>
          <w:szCs w:val="20"/>
        </w:rPr>
        <w:t xml:space="preserve">  AND timeseries_id IS NOT NULL</w:t>
      </w:r>
    </w:p>
    <w:p w14:paraId="36BCFCB8" w14:textId="77777777" w:rsidR="008E1B31" w:rsidRDefault="005C5514">
      <w:pPr>
        <w:shd w:val="clear" w:color="auto" w:fill="F4F4F4"/>
      </w:pPr>
      <w:r>
        <w:rPr>
          <w:rFonts w:ascii="Consolas" w:eastAsia="Consolas" w:hAnsi="Consolas" w:cs="Consolas"/>
          <w:sz w:val="20"/>
          <w:szCs w:val="20"/>
        </w:rPr>
        <w:t>GROUP BY timeseries_id</w:t>
      </w:r>
    </w:p>
    <w:p w14:paraId="36BCFCB9" w14:textId="77777777" w:rsidR="008E1B31" w:rsidRDefault="005C5514">
      <w:pPr>
        <w:shd w:val="clear" w:color="auto" w:fill="F4F4F4"/>
      </w:pPr>
      <w:r>
        <w:rPr>
          <w:rFonts w:ascii="Consolas" w:eastAsia="Consolas" w:hAnsi="Consolas" w:cs="Consolas"/>
          <w:sz w:val="20"/>
          <w:szCs w:val="20"/>
        </w:rPr>
        <w:t>HAVING COUNT(*) &gt; 1;</w:t>
      </w:r>
    </w:p>
    <w:p w14:paraId="36BCFCBA" w14:textId="77777777" w:rsidR="008E1B31" w:rsidRDefault="005C5514">
      <w:pPr>
        <w:spacing w:after="120"/>
      </w:pPr>
      <w:r>
        <w:rPr>
          <w:sz w:val="12"/>
          <w:szCs w:val="12"/>
        </w:rPr>
        <w:t xml:space="preserve"> </w:t>
      </w:r>
    </w:p>
    <w:p w14:paraId="36BCFCBB" w14:textId="77777777" w:rsidR="008E1B31" w:rsidRDefault="005C5514">
      <w:pPr>
        <w:spacing w:after="160" w:line="320" w:lineRule="auto"/>
        <w:jc w:val="both"/>
      </w:pPr>
      <w:r>
        <w:t>Under the active scenario, this query returns zero rows: 90 distinct time series are bound across 90 assignment rows, in a strict 1:1 attribution. The same time series is never used as the authoritative source for two different variables within the same scenario.</w:t>
      </w:r>
    </w:p>
    <w:p w14:paraId="36BCFCBC" w14:textId="77777777" w:rsidR="008E1B31" w:rsidRDefault="005C5514">
      <w:pPr>
        <w:spacing w:after="160" w:line="320" w:lineRule="auto"/>
        <w:jc w:val="both"/>
      </w:pPr>
      <w:r>
        <w:lastRenderedPageBreak/>
        <w:t>Together, the schema-level CHECK and the time-series attribution audit give the framework its central consistency property: every value in the resolved table is traceable to exactly one source, and no source contributes to more than one variable.</w:t>
      </w:r>
    </w:p>
    <w:p w14:paraId="36BCFCBD" w14:textId="77777777" w:rsidR="008E1B31" w:rsidRDefault="005C5514">
      <w:pPr>
        <w:pStyle w:val="Heading2"/>
      </w:pPr>
      <w:r>
        <w:t>7.2 Claim 2: Partition closure</w:t>
      </w:r>
    </w:p>
    <w:p w14:paraId="36BCFCBE" w14:textId="77777777" w:rsidR="008E1B31" w:rsidRDefault="005C5514">
      <w:pPr>
        <w:spacing w:after="160" w:line="320" w:lineRule="auto"/>
        <w:jc w:val="both"/>
      </w:pPr>
      <w:r>
        <w:t>The second claim is algebraic. For every parent node N in the partition tree and every variable type T (production, consumption, inventory, balancing item), the own value of N's T variable equals the sum of N's partition children's T variables, within rounding tolerance.</w:t>
      </w:r>
    </w:p>
    <w:p w14:paraId="36BCFCBF" w14:textId="77777777" w:rsidR="008E1B31" w:rsidRDefault="005C5514">
      <w:pPr>
        <w:spacing w:after="160" w:line="320" w:lineRule="auto"/>
        <w:jc w:val="both"/>
      </w:pPr>
      <w:r>
        <w:t xml:space="preserve">The partition closure test is implemented in the view </w:t>
      </w:r>
      <w:r>
        <w:rPr>
          <w:rFonts w:ascii="Consolas" w:eastAsia="Consolas" w:hAnsi="Consolas" w:cs="Consolas"/>
        </w:rPr>
        <w:t>v_node_balance_check</w:t>
      </w:r>
      <w:r>
        <w:t xml:space="preserve"> (the inflow and outflow sides are tested separately, since aggregation works the same way in both directions) and the per-variable-type aggregation is in </w:t>
      </w:r>
      <w:r>
        <w:rPr>
          <w:rFonts w:ascii="Consolas" w:eastAsia="Consolas" w:hAnsi="Consolas" w:cs="Consolas"/>
        </w:rPr>
        <w:t>v_aggregation_consistency</w:t>
      </w:r>
      <w:r>
        <w:t>. The audit query for the inflow side at a representative aggregate is:</w:t>
      </w:r>
    </w:p>
    <w:p w14:paraId="36BCFCC0" w14:textId="77777777" w:rsidR="008E1B31" w:rsidRDefault="005C5514">
      <w:pPr>
        <w:shd w:val="clear" w:color="auto" w:fill="F4F4F4"/>
      </w:pPr>
      <w:r>
        <w:rPr>
          <w:rFonts w:ascii="Consolas" w:eastAsia="Consolas" w:hAnsi="Consolas" w:cs="Consolas"/>
          <w:sz w:val="20"/>
          <w:szCs w:val="20"/>
        </w:rPr>
        <w:t>SELECT</w:t>
      </w:r>
    </w:p>
    <w:p w14:paraId="36BCFCC1" w14:textId="77777777" w:rsidR="008E1B31" w:rsidRDefault="005C5514">
      <w:pPr>
        <w:shd w:val="clear" w:color="auto" w:fill="F4F4F4"/>
      </w:pPr>
      <w:r>
        <w:rPr>
          <w:rFonts w:ascii="Consolas" w:eastAsia="Consolas" w:hAnsi="Consolas" w:cs="Consolas"/>
          <w:sz w:val="20"/>
          <w:szCs w:val="20"/>
        </w:rPr>
        <w:t xml:space="preserve">    node_id,</w:t>
      </w:r>
    </w:p>
    <w:p w14:paraId="36BCFCC2" w14:textId="77777777" w:rsidR="008E1B31" w:rsidRDefault="005C5514">
      <w:pPr>
        <w:shd w:val="clear" w:color="auto" w:fill="F4F4F4"/>
      </w:pPr>
      <w:r>
        <w:rPr>
          <w:rFonts w:ascii="Consolas" w:eastAsia="Consolas" w:hAnsi="Consolas" w:cs="Consolas"/>
          <w:sz w:val="20"/>
          <w:szCs w:val="20"/>
        </w:rPr>
        <w:t xml:space="preserve">    sum_in   AS own_value,</w:t>
      </w:r>
    </w:p>
    <w:p w14:paraId="36BCFCC3" w14:textId="77777777" w:rsidR="008E1B31" w:rsidRDefault="005C5514">
      <w:pPr>
        <w:shd w:val="clear" w:color="auto" w:fill="F4F4F4"/>
      </w:pPr>
      <w:r>
        <w:rPr>
          <w:rFonts w:ascii="Consolas" w:eastAsia="Consolas" w:hAnsi="Consolas" w:cs="Consolas"/>
          <w:sz w:val="20"/>
          <w:szCs w:val="20"/>
        </w:rPr>
        <w:t xml:space="preserve">    bdy_in   AS sum_of_children,</w:t>
      </w:r>
    </w:p>
    <w:p w14:paraId="36BCFCC4" w14:textId="77777777" w:rsidR="008E1B31" w:rsidRDefault="005C5514">
      <w:pPr>
        <w:shd w:val="clear" w:color="auto" w:fill="F4F4F4"/>
      </w:pPr>
      <w:r>
        <w:rPr>
          <w:rFonts w:ascii="Consolas" w:eastAsia="Consolas" w:hAnsi="Consolas" w:cs="Consolas"/>
          <w:sz w:val="20"/>
          <w:szCs w:val="20"/>
        </w:rPr>
        <w:t xml:space="preserve">    abs(sum_in - bdy_in) AS gap</w:t>
      </w:r>
    </w:p>
    <w:p w14:paraId="36BCFCC5" w14:textId="77777777" w:rsidR="008E1B31" w:rsidRDefault="005C5514">
      <w:pPr>
        <w:shd w:val="clear" w:color="auto" w:fill="F4F4F4"/>
      </w:pPr>
      <w:r>
        <w:rPr>
          <w:rFonts w:ascii="Consolas" w:eastAsia="Consolas" w:hAnsi="Consolas" w:cs="Consolas"/>
          <w:sz w:val="20"/>
          <w:szCs w:val="20"/>
        </w:rPr>
        <w:t>FROM v_node_balance_check</w:t>
      </w:r>
    </w:p>
    <w:p w14:paraId="36BCFCC6" w14:textId="77777777" w:rsidR="008E1B31" w:rsidRDefault="005C5514">
      <w:pPr>
        <w:shd w:val="clear" w:color="auto" w:fill="F4F4F4"/>
      </w:pPr>
      <w:r>
        <w:rPr>
          <w:rFonts w:ascii="Consolas" w:eastAsia="Consolas" w:hAnsi="Consolas" w:cs="Consolas"/>
          <w:sz w:val="20"/>
          <w:szCs w:val="20"/>
        </w:rPr>
        <w:t>WHERE scenario_id = 'starter_us_crude_2015_2025'</w:t>
      </w:r>
    </w:p>
    <w:p w14:paraId="36BCFCC7" w14:textId="77777777" w:rsidR="008E1B31" w:rsidRDefault="005C5514">
      <w:pPr>
        <w:shd w:val="clear" w:color="auto" w:fill="F4F4F4"/>
      </w:pPr>
      <w:r>
        <w:rPr>
          <w:rFonts w:ascii="Consolas" w:eastAsia="Consolas" w:hAnsi="Consolas" w:cs="Consolas"/>
          <w:sz w:val="20"/>
          <w:szCs w:val="20"/>
        </w:rPr>
        <w:t xml:space="preserve">  AND node_id IN ('usa_view', 'padd1_view', 'padd2_view',</w:t>
      </w:r>
    </w:p>
    <w:p w14:paraId="36BCFCC8" w14:textId="77777777" w:rsidR="008E1B31" w:rsidRDefault="005C5514">
      <w:pPr>
        <w:shd w:val="clear" w:color="auto" w:fill="F4F4F4"/>
      </w:pPr>
      <w:r>
        <w:rPr>
          <w:rFonts w:ascii="Consolas" w:eastAsia="Consolas" w:hAnsi="Consolas" w:cs="Consolas"/>
          <w:sz w:val="20"/>
          <w:szCs w:val="20"/>
        </w:rPr>
        <w:t xml:space="preserve">                  'padd3_view', 'padd4_view', 'padd5_view')</w:t>
      </w:r>
    </w:p>
    <w:p w14:paraId="36BCFCC9" w14:textId="77777777" w:rsidR="008E1B31" w:rsidRDefault="005C5514">
      <w:pPr>
        <w:shd w:val="clear" w:color="auto" w:fill="F4F4F4"/>
      </w:pPr>
      <w:r>
        <w:rPr>
          <w:rFonts w:ascii="Consolas" w:eastAsia="Consolas" w:hAnsi="Consolas" w:cs="Consolas"/>
          <w:sz w:val="20"/>
          <w:szCs w:val="20"/>
        </w:rPr>
        <w:t xml:space="preserve">  AND observation_date = '2024-06-01';</w:t>
      </w:r>
    </w:p>
    <w:p w14:paraId="36BCFCCA" w14:textId="77777777" w:rsidR="008E1B31" w:rsidRDefault="005C5514">
      <w:pPr>
        <w:spacing w:after="120"/>
      </w:pPr>
      <w:r>
        <w:rPr>
          <w:sz w:val="12"/>
          <w:szCs w:val="12"/>
        </w:rPr>
        <w:t xml:space="preserve"> </w:t>
      </w:r>
    </w:p>
    <w:p w14:paraId="36BCFCCB" w14:textId="77777777" w:rsidR="008E1B31" w:rsidRDefault="005C5514">
      <w:pPr>
        <w:spacing w:after="160" w:line="320" w:lineRule="auto"/>
        <w:jc w:val="both"/>
      </w:pPr>
      <w:r>
        <w:t>The result of this query, averaged across all 156 monthly observation dates in the scenario, is:</w:t>
      </w:r>
    </w:p>
    <w:tbl>
      <w:tblPr>
        <w:tblStyle w:val="TableGrid"/>
        <w:tblW w:w="9067" w:type="dxa"/>
        <w:tblLook w:val="04A0" w:firstRow="1" w:lastRow="0" w:firstColumn="1" w:lastColumn="0" w:noHBand="0" w:noVBand="1"/>
      </w:tblPr>
      <w:tblGrid>
        <w:gridCol w:w="1391"/>
        <w:gridCol w:w="1276"/>
        <w:gridCol w:w="1286"/>
        <w:gridCol w:w="1272"/>
        <w:gridCol w:w="1282"/>
        <w:gridCol w:w="1286"/>
        <w:gridCol w:w="1274"/>
      </w:tblGrid>
      <w:tr w:rsidR="00537923" w14:paraId="77ADF685" w14:textId="77777777">
        <w:trPr>
          <w:tblHeader/>
        </w:trPr>
        <w:tc>
          <w:tcPr>
            <w:tcW w:w="1295" w:type="dxa"/>
            <w:shd w:val="clear" w:color="auto" w:fill="D9E2F3"/>
            <w:vAlign w:val="center"/>
          </w:tcPr>
          <w:p w14:paraId="0028628E" w14:textId="77777777" w:rsidR="00537923" w:rsidRDefault="005C5514">
            <w:pPr>
              <w:rPr>
                <w:b/>
              </w:rPr>
            </w:pPr>
            <w:r>
              <w:rPr>
                <w:b/>
              </w:rPr>
              <w:t>Node</w:t>
            </w:r>
          </w:p>
        </w:tc>
        <w:tc>
          <w:tcPr>
            <w:tcW w:w="1295" w:type="dxa"/>
            <w:shd w:val="clear" w:color="auto" w:fill="D9E2F3"/>
            <w:vAlign w:val="center"/>
          </w:tcPr>
          <w:p w14:paraId="2859A120" w14:textId="77777777" w:rsidR="00537923" w:rsidRDefault="005C5514">
            <w:pPr>
              <w:rPr>
                <w:b/>
              </w:rPr>
            </w:pPr>
            <w:r>
              <w:rPr>
                <w:b/>
              </w:rPr>
              <w:t>Own inflow (kbd)</w:t>
            </w:r>
          </w:p>
        </w:tc>
        <w:tc>
          <w:tcPr>
            <w:tcW w:w="1295" w:type="dxa"/>
            <w:shd w:val="clear" w:color="auto" w:fill="D9E2F3"/>
            <w:vAlign w:val="center"/>
          </w:tcPr>
          <w:p w14:paraId="118723AB" w14:textId="77777777" w:rsidR="00537923" w:rsidRDefault="005C5514">
            <w:pPr>
              <w:rPr>
                <w:b/>
              </w:rPr>
            </w:pPr>
            <w:r>
              <w:rPr>
                <w:b/>
              </w:rPr>
              <w:t>Σ children inflow (kbd)</w:t>
            </w:r>
          </w:p>
        </w:tc>
        <w:tc>
          <w:tcPr>
            <w:tcW w:w="1295" w:type="dxa"/>
            <w:shd w:val="clear" w:color="auto" w:fill="D9E2F3"/>
            <w:vAlign w:val="center"/>
          </w:tcPr>
          <w:p w14:paraId="08700D39" w14:textId="77777777" w:rsidR="00537923" w:rsidRDefault="005C5514">
            <w:pPr>
              <w:rPr>
                <w:b/>
              </w:rPr>
            </w:pPr>
            <w:r>
              <w:rPr>
                <w:b/>
              </w:rPr>
              <w:t>Gap (kbd)</w:t>
            </w:r>
          </w:p>
        </w:tc>
        <w:tc>
          <w:tcPr>
            <w:tcW w:w="1295" w:type="dxa"/>
            <w:shd w:val="clear" w:color="auto" w:fill="D9E2F3"/>
            <w:vAlign w:val="center"/>
          </w:tcPr>
          <w:p w14:paraId="4DB7FCBA" w14:textId="77777777" w:rsidR="00537923" w:rsidRDefault="005C5514">
            <w:pPr>
              <w:rPr>
                <w:b/>
              </w:rPr>
            </w:pPr>
            <w:r>
              <w:rPr>
                <w:b/>
              </w:rPr>
              <w:t>Own outflow (kbd)</w:t>
            </w:r>
          </w:p>
        </w:tc>
        <w:tc>
          <w:tcPr>
            <w:tcW w:w="1295" w:type="dxa"/>
            <w:shd w:val="clear" w:color="auto" w:fill="D9E2F3"/>
            <w:vAlign w:val="center"/>
          </w:tcPr>
          <w:p w14:paraId="26674E2E" w14:textId="77777777" w:rsidR="00537923" w:rsidRDefault="005C5514">
            <w:pPr>
              <w:rPr>
                <w:b/>
              </w:rPr>
            </w:pPr>
            <w:r>
              <w:rPr>
                <w:b/>
              </w:rPr>
              <w:t>Σ children outflow (kbd)</w:t>
            </w:r>
          </w:p>
        </w:tc>
        <w:tc>
          <w:tcPr>
            <w:tcW w:w="1297" w:type="dxa"/>
            <w:shd w:val="clear" w:color="auto" w:fill="D9E2F3"/>
            <w:vAlign w:val="center"/>
          </w:tcPr>
          <w:p w14:paraId="642EEFAF" w14:textId="77777777" w:rsidR="00537923" w:rsidRDefault="005C5514">
            <w:pPr>
              <w:rPr>
                <w:b/>
              </w:rPr>
            </w:pPr>
            <w:r>
              <w:rPr>
                <w:b/>
              </w:rPr>
              <w:t>Gap (kbd)</w:t>
            </w:r>
          </w:p>
        </w:tc>
      </w:tr>
      <w:tr w:rsidR="00537923" w14:paraId="4EC5DBC7" w14:textId="77777777">
        <w:tc>
          <w:tcPr>
            <w:tcW w:w="1295" w:type="dxa"/>
            <w:vAlign w:val="center"/>
          </w:tcPr>
          <w:p w14:paraId="67D7465F" w14:textId="77777777" w:rsidR="00537923" w:rsidRDefault="005C5514">
            <w:r>
              <w:t>usa_view</w:t>
            </w:r>
          </w:p>
        </w:tc>
        <w:tc>
          <w:tcPr>
            <w:tcW w:w="1295" w:type="dxa"/>
            <w:vAlign w:val="center"/>
          </w:tcPr>
          <w:p w14:paraId="48B3A6AB" w14:textId="77777777" w:rsidR="00537923" w:rsidRDefault="005C5514">
            <w:r>
              <w:t>6,557</w:t>
            </w:r>
          </w:p>
        </w:tc>
        <w:tc>
          <w:tcPr>
            <w:tcW w:w="1295" w:type="dxa"/>
            <w:vAlign w:val="center"/>
          </w:tcPr>
          <w:p w14:paraId="2F0DC723" w14:textId="77777777" w:rsidR="00537923" w:rsidRDefault="005C5514">
            <w:r>
              <w:t>6,557</w:t>
            </w:r>
          </w:p>
        </w:tc>
        <w:tc>
          <w:tcPr>
            <w:tcW w:w="1295" w:type="dxa"/>
            <w:vAlign w:val="center"/>
          </w:tcPr>
          <w:p w14:paraId="3E9D5B76" w14:textId="77777777" w:rsidR="00537923" w:rsidRDefault="005C5514">
            <w:r>
              <w:t>0</w:t>
            </w:r>
          </w:p>
        </w:tc>
        <w:tc>
          <w:tcPr>
            <w:tcW w:w="1295" w:type="dxa"/>
            <w:vAlign w:val="center"/>
          </w:tcPr>
          <w:p w14:paraId="35CA9E3A" w14:textId="77777777" w:rsidR="00537923" w:rsidRDefault="005C5514">
            <w:r>
              <w:t>3,752</w:t>
            </w:r>
          </w:p>
        </w:tc>
        <w:tc>
          <w:tcPr>
            <w:tcW w:w="1295" w:type="dxa"/>
            <w:vAlign w:val="center"/>
          </w:tcPr>
          <w:p w14:paraId="3924E12D" w14:textId="77777777" w:rsidR="00537923" w:rsidRDefault="005C5514">
            <w:r>
              <w:t>3,752</w:t>
            </w:r>
          </w:p>
        </w:tc>
        <w:tc>
          <w:tcPr>
            <w:tcW w:w="1297" w:type="dxa"/>
            <w:vAlign w:val="center"/>
          </w:tcPr>
          <w:p w14:paraId="56DF4779" w14:textId="77777777" w:rsidR="00537923" w:rsidRDefault="005C5514">
            <w:r>
              <w:t>0</w:t>
            </w:r>
          </w:p>
        </w:tc>
      </w:tr>
      <w:tr w:rsidR="00537923" w14:paraId="4EB0421D" w14:textId="77777777">
        <w:tc>
          <w:tcPr>
            <w:tcW w:w="1295" w:type="dxa"/>
            <w:vAlign w:val="center"/>
          </w:tcPr>
          <w:p w14:paraId="178D2D93" w14:textId="77777777" w:rsidR="00537923" w:rsidRDefault="005C5514">
            <w:r>
              <w:t>padd1_view</w:t>
            </w:r>
          </w:p>
        </w:tc>
        <w:tc>
          <w:tcPr>
            <w:tcW w:w="1295" w:type="dxa"/>
            <w:vAlign w:val="center"/>
          </w:tcPr>
          <w:p w14:paraId="1E1A106F" w14:textId="77777777" w:rsidR="00537923" w:rsidRDefault="005C5514">
            <w:r>
              <w:t>705</w:t>
            </w:r>
          </w:p>
        </w:tc>
        <w:tc>
          <w:tcPr>
            <w:tcW w:w="1295" w:type="dxa"/>
            <w:vAlign w:val="center"/>
          </w:tcPr>
          <w:p w14:paraId="68F5365B" w14:textId="77777777" w:rsidR="00537923" w:rsidRDefault="005C5514">
            <w:r>
              <w:t>705</w:t>
            </w:r>
          </w:p>
        </w:tc>
        <w:tc>
          <w:tcPr>
            <w:tcW w:w="1295" w:type="dxa"/>
            <w:vAlign w:val="center"/>
          </w:tcPr>
          <w:p w14:paraId="22333E91" w14:textId="77777777" w:rsidR="00537923" w:rsidRDefault="005C5514">
            <w:r>
              <w:t>0</w:t>
            </w:r>
          </w:p>
        </w:tc>
        <w:tc>
          <w:tcPr>
            <w:tcW w:w="1295" w:type="dxa"/>
            <w:vAlign w:val="center"/>
          </w:tcPr>
          <w:p w14:paraId="22F3FDAB" w14:textId="77777777" w:rsidR="00537923" w:rsidRDefault="005C5514">
            <w:r>
              <w:t>92.2</w:t>
            </w:r>
          </w:p>
        </w:tc>
        <w:tc>
          <w:tcPr>
            <w:tcW w:w="1295" w:type="dxa"/>
            <w:vAlign w:val="center"/>
          </w:tcPr>
          <w:p w14:paraId="05575D6B" w14:textId="77777777" w:rsidR="00537923" w:rsidRDefault="005C5514">
            <w:r>
              <w:t>92.2</w:t>
            </w:r>
          </w:p>
        </w:tc>
        <w:tc>
          <w:tcPr>
            <w:tcW w:w="1297" w:type="dxa"/>
            <w:vAlign w:val="center"/>
          </w:tcPr>
          <w:p w14:paraId="03A7929D" w14:textId="77777777" w:rsidR="00537923" w:rsidRDefault="005C5514">
            <w:r>
              <w:t>0</w:t>
            </w:r>
          </w:p>
        </w:tc>
      </w:tr>
      <w:tr w:rsidR="00537923" w14:paraId="47A58927" w14:textId="77777777">
        <w:tc>
          <w:tcPr>
            <w:tcW w:w="1295" w:type="dxa"/>
            <w:vAlign w:val="center"/>
          </w:tcPr>
          <w:p w14:paraId="5AE52B66" w14:textId="77777777" w:rsidR="00537923" w:rsidRDefault="005C5514">
            <w:r>
              <w:t>padd2_view</w:t>
            </w:r>
          </w:p>
        </w:tc>
        <w:tc>
          <w:tcPr>
            <w:tcW w:w="1295" w:type="dxa"/>
            <w:vAlign w:val="center"/>
          </w:tcPr>
          <w:p w14:paraId="24BED23B" w14:textId="77777777" w:rsidR="00537923" w:rsidRDefault="005C5514">
            <w:r>
              <w:t>4,503</w:t>
            </w:r>
          </w:p>
        </w:tc>
        <w:tc>
          <w:tcPr>
            <w:tcW w:w="1295" w:type="dxa"/>
            <w:vAlign w:val="center"/>
          </w:tcPr>
          <w:p w14:paraId="4793E3AC" w14:textId="77777777" w:rsidR="00537923" w:rsidRDefault="005C5514">
            <w:r>
              <w:t>4,503</w:t>
            </w:r>
          </w:p>
        </w:tc>
        <w:tc>
          <w:tcPr>
            <w:tcW w:w="1295" w:type="dxa"/>
            <w:vAlign w:val="center"/>
          </w:tcPr>
          <w:p w14:paraId="0F9206D8" w14:textId="77777777" w:rsidR="00537923" w:rsidRDefault="005C5514">
            <w:r>
              <w:t>0</w:t>
            </w:r>
          </w:p>
        </w:tc>
        <w:tc>
          <w:tcPr>
            <w:tcW w:w="1295" w:type="dxa"/>
            <w:vAlign w:val="center"/>
          </w:tcPr>
          <w:p w14:paraId="701D3946" w14:textId="77777777" w:rsidR="00537923" w:rsidRDefault="005C5514">
            <w:r>
              <w:t>2,426</w:t>
            </w:r>
          </w:p>
        </w:tc>
        <w:tc>
          <w:tcPr>
            <w:tcW w:w="1295" w:type="dxa"/>
            <w:vAlign w:val="center"/>
          </w:tcPr>
          <w:p w14:paraId="2C2B2419" w14:textId="77777777" w:rsidR="00537923" w:rsidRDefault="005C5514">
            <w:r>
              <w:t>2,426</w:t>
            </w:r>
          </w:p>
        </w:tc>
        <w:tc>
          <w:tcPr>
            <w:tcW w:w="1297" w:type="dxa"/>
            <w:vAlign w:val="center"/>
          </w:tcPr>
          <w:p w14:paraId="0E149BB1" w14:textId="77777777" w:rsidR="00537923" w:rsidRDefault="005C5514">
            <w:r>
              <w:t>0</w:t>
            </w:r>
          </w:p>
        </w:tc>
      </w:tr>
      <w:tr w:rsidR="00537923" w14:paraId="36D39875" w14:textId="77777777">
        <w:tc>
          <w:tcPr>
            <w:tcW w:w="1295" w:type="dxa"/>
            <w:vAlign w:val="center"/>
          </w:tcPr>
          <w:p w14:paraId="348B6B52" w14:textId="77777777" w:rsidR="00537923" w:rsidRDefault="005C5514">
            <w:r>
              <w:t>padd3_view</w:t>
            </w:r>
          </w:p>
        </w:tc>
        <w:tc>
          <w:tcPr>
            <w:tcW w:w="1295" w:type="dxa"/>
            <w:vAlign w:val="center"/>
          </w:tcPr>
          <w:p w14:paraId="63A0ED92" w14:textId="77777777" w:rsidR="00537923" w:rsidRDefault="005C5514">
            <w:r>
              <w:t>3,631</w:t>
            </w:r>
          </w:p>
        </w:tc>
        <w:tc>
          <w:tcPr>
            <w:tcW w:w="1295" w:type="dxa"/>
            <w:vAlign w:val="center"/>
          </w:tcPr>
          <w:p w14:paraId="2FC6F081" w14:textId="77777777" w:rsidR="00537923" w:rsidRDefault="005C5514">
            <w:r>
              <w:t>3,631</w:t>
            </w:r>
          </w:p>
        </w:tc>
        <w:tc>
          <w:tcPr>
            <w:tcW w:w="1295" w:type="dxa"/>
            <w:vAlign w:val="center"/>
          </w:tcPr>
          <w:p w14:paraId="7E053F01" w14:textId="77777777" w:rsidR="00537923" w:rsidRDefault="005C5514">
            <w:r>
              <w:t>0</w:t>
            </w:r>
          </w:p>
        </w:tc>
        <w:tc>
          <w:tcPr>
            <w:tcW w:w="1295" w:type="dxa"/>
            <w:vAlign w:val="center"/>
          </w:tcPr>
          <w:p w14:paraId="2A4F07C5" w14:textId="77777777" w:rsidR="00537923" w:rsidRDefault="005C5514">
            <w:r>
              <w:t>4,264</w:t>
            </w:r>
          </w:p>
        </w:tc>
        <w:tc>
          <w:tcPr>
            <w:tcW w:w="1295" w:type="dxa"/>
            <w:vAlign w:val="center"/>
          </w:tcPr>
          <w:p w14:paraId="34E9D487" w14:textId="77777777" w:rsidR="00537923" w:rsidRDefault="005C5514">
            <w:r>
              <w:t>4,264</w:t>
            </w:r>
          </w:p>
        </w:tc>
        <w:tc>
          <w:tcPr>
            <w:tcW w:w="1297" w:type="dxa"/>
            <w:vAlign w:val="center"/>
          </w:tcPr>
          <w:p w14:paraId="098B0F38" w14:textId="77777777" w:rsidR="00537923" w:rsidRDefault="005C5514">
            <w:r>
              <w:t>0</w:t>
            </w:r>
          </w:p>
        </w:tc>
      </w:tr>
      <w:tr w:rsidR="00537923" w14:paraId="31A9E49B" w14:textId="77777777">
        <w:tc>
          <w:tcPr>
            <w:tcW w:w="1295" w:type="dxa"/>
            <w:vAlign w:val="center"/>
          </w:tcPr>
          <w:p w14:paraId="6E8C946C" w14:textId="77777777" w:rsidR="00537923" w:rsidRDefault="005C5514">
            <w:r>
              <w:t>padd4_view</w:t>
            </w:r>
          </w:p>
        </w:tc>
        <w:tc>
          <w:tcPr>
            <w:tcW w:w="1295" w:type="dxa"/>
            <w:vAlign w:val="center"/>
          </w:tcPr>
          <w:p w14:paraId="2226DDDC" w14:textId="77777777" w:rsidR="00537923" w:rsidRDefault="005C5514">
            <w:r>
              <w:t>552.7</w:t>
            </w:r>
          </w:p>
        </w:tc>
        <w:tc>
          <w:tcPr>
            <w:tcW w:w="1295" w:type="dxa"/>
            <w:vAlign w:val="center"/>
          </w:tcPr>
          <w:p w14:paraId="481A06AE" w14:textId="77777777" w:rsidR="00537923" w:rsidRDefault="005C5514">
            <w:r>
              <w:t>552.7</w:t>
            </w:r>
          </w:p>
        </w:tc>
        <w:tc>
          <w:tcPr>
            <w:tcW w:w="1295" w:type="dxa"/>
            <w:vAlign w:val="center"/>
          </w:tcPr>
          <w:p w14:paraId="297F1F2C" w14:textId="77777777" w:rsidR="00537923" w:rsidRDefault="005C5514">
            <w:r>
              <w:t>0</w:t>
            </w:r>
          </w:p>
        </w:tc>
        <w:tc>
          <w:tcPr>
            <w:tcW w:w="1295" w:type="dxa"/>
            <w:vAlign w:val="center"/>
          </w:tcPr>
          <w:p w14:paraId="0CDBAC49" w14:textId="77777777" w:rsidR="00537923" w:rsidRDefault="005C5514">
            <w:r>
              <w:t>987.5</w:t>
            </w:r>
          </w:p>
        </w:tc>
        <w:tc>
          <w:tcPr>
            <w:tcW w:w="1295" w:type="dxa"/>
            <w:vAlign w:val="center"/>
          </w:tcPr>
          <w:p w14:paraId="626D2311" w14:textId="77777777" w:rsidR="00537923" w:rsidRDefault="005C5514">
            <w:r>
              <w:t>987.5</w:t>
            </w:r>
          </w:p>
        </w:tc>
        <w:tc>
          <w:tcPr>
            <w:tcW w:w="1297" w:type="dxa"/>
            <w:vAlign w:val="center"/>
          </w:tcPr>
          <w:p w14:paraId="0FE72602" w14:textId="77777777" w:rsidR="00537923" w:rsidRDefault="005C5514">
            <w:r>
              <w:t>0</w:t>
            </w:r>
          </w:p>
        </w:tc>
      </w:tr>
      <w:tr w:rsidR="00537923" w14:paraId="4EAF0270" w14:textId="77777777">
        <w:tc>
          <w:tcPr>
            <w:tcW w:w="1295" w:type="dxa"/>
            <w:vAlign w:val="center"/>
          </w:tcPr>
          <w:p w14:paraId="5DB3EBE4" w14:textId="77777777" w:rsidR="00537923" w:rsidRDefault="005C5514">
            <w:r>
              <w:t>padd5_view</w:t>
            </w:r>
          </w:p>
        </w:tc>
        <w:tc>
          <w:tcPr>
            <w:tcW w:w="1295" w:type="dxa"/>
            <w:vAlign w:val="center"/>
          </w:tcPr>
          <w:p w14:paraId="5A6D8502" w14:textId="77777777" w:rsidR="00537923" w:rsidRDefault="005C5514">
            <w:r>
              <w:t>1,183</w:t>
            </w:r>
          </w:p>
        </w:tc>
        <w:tc>
          <w:tcPr>
            <w:tcW w:w="1295" w:type="dxa"/>
            <w:vAlign w:val="center"/>
          </w:tcPr>
          <w:p w14:paraId="36948F3E" w14:textId="77777777" w:rsidR="00537923" w:rsidRDefault="005C5514">
            <w:r>
              <w:t>1,183</w:t>
            </w:r>
          </w:p>
        </w:tc>
        <w:tc>
          <w:tcPr>
            <w:tcW w:w="1295" w:type="dxa"/>
            <w:vAlign w:val="center"/>
          </w:tcPr>
          <w:p w14:paraId="7C481E7A" w14:textId="77777777" w:rsidR="00537923" w:rsidRDefault="005C5514">
            <w:r>
              <w:t>0</w:t>
            </w:r>
          </w:p>
        </w:tc>
        <w:tc>
          <w:tcPr>
            <w:tcW w:w="1295" w:type="dxa"/>
            <w:vAlign w:val="center"/>
          </w:tcPr>
          <w:p w14:paraId="75C6302B" w14:textId="77777777" w:rsidR="00537923" w:rsidRDefault="005C5514">
            <w:r>
              <w:t>—</w:t>
            </w:r>
          </w:p>
        </w:tc>
        <w:tc>
          <w:tcPr>
            <w:tcW w:w="1295" w:type="dxa"/>
            <w:vAlign w:val="center"/>
          </w:tcPr>
          <w:p w14:paraId="4F32D995" w14:textId="77777777" w:rsidR="00537923" w:rsidRDefault="005C5514">
            <w:r>
              <w:t>0</w:t>
            </w:r>
          </w:p>
        </w:tc>
        <w:tc>
          <w:tcPr>
            <w:tcW w:w="1297" w:type="dxa"/>
            <w:vAlign w:val="center"/>
          </w:tcPr>
          <w:p w14:paraId="6CD1FB9F" w14:textId="77777777" w:rsidR="00537923" w:rsidRDefault="005C5514">
            <w:r>
              <w:t>0</w:t>
            </w:r>
          </w:p>
        </w:tc>
      </w:tr>
    </w:tbl>
    <w:p w14:paraId="36BCFCD4" w14:textId="77777777" w:rsidR="008E1B31" w:rsidRDefault="005C5514">
      <w:pPr>
        <w:spacing w:after="160" w:line="320" w:lineRule="auto"/>
        <w:jc w:val="both"/>
      </w:pPr>
      <w:r>
        <w:t>Partition closure holds at every PADD aggregate and at the USA aggregate, in both the inflow and outflow directions, after twenty-three passes of refinement to the assignment set. The closure is exact (gap = 0 to the rounding precision of the underlying data) rather than approximate, because the same-type aggregation links in the partition tree are exact algebraic sums, not estimates.</w:t>
      </w:r>
    </w:p>
    <w:p w14:paraId="36BCFCD5" w14:textId="77777777" w:rsidR="008E1B31" w:rsidRDefault="005C5514">
      <w:pPr>
        <w:spacing w:after="160" w:line="320" w:lineRule="auto"/>
        <w:jc w:val="both"/>
      </w:pPr>
      <w:r>
        <w:t>The "—" entry for PADD 5 own outflow reflects that PADD 5 (the West Coast, comprising California, Washington, Oregon, Alaska, and Hawaii) is a net importer with negligible inter-PADD outflow in the modelled period. The own value is recorded as zero and the children's sum is zero; the test passes trivially.</w:t>
      </w:r>
    </w:p>
    <w:p w14:paraId="5986C732" w14:textId="77777777" w:rsidR="008E1B31" w:rsidRDefault="005C5514">
      <w:pPr>
        <w:spacing w:after="160" w:line="320" w:lineRule="auto"/>
        <w:jc w:val="both"/>
      </w:pPr>
      <w:r>
        <w:lastRenderedPageBreak/>
        <w:t>The audit distinguishes two failure modes for a partition row. In the first, every declared constituent has a value and the sum disagrees with the observed parent: a genuine inconsistency in the underlying data. In the second, one or more constituents are missing or latent; the sum is necessarily incomplete and the comparison cannot be made. The framework reports only the first as a true inconsistency. The second is reported as partial_coverage. Without external knowledge, the framework cannot reliably distinguish 'the partition is wrong' from 'the partition is incomplete', so the inconsistent label is not applied in practice; every non-conforming row is reported as partial_coverage, and the user interface separates them visually. A red cell indicates that every constituent is present and the gap exceeds tolerance; a yellow cell indicates that at least one constituent is missing or latent and the gap is unverifiable. At the time of writing, no cell is red at the USA or PADD level; all open partition gaps are partial_coverage attributable to documented latent constituents.</w:t>
      </w:r>
    </w:p>
    <w:p w14:paraId="36BCFCD6" w14:textId="77777777" w:rsidR="008E1B31" w:rsidRDefault="005C5514">
      <w:pPr>
        <w:pStyle w:val="Heading2"/>
      </w:pPr>
      <w:r>
        <w:t>7.3 Claim 3: Mass balance at every node</w:t>
      </w:r>
    </w:p>
    <w:p w14:paraId="36BCFCD7" w14:textId="77777777" w:rsidR="008E1B31" w:rsidRDefault="005C5514">
      <w:pPr>
        <w:spacing w:after="160" w:line="320" w:lineRule="auto"/>
        <w:jc w:val="both"/>
      </w:pPr>
      <w:r>
        <w:t>The third claim is per-node and per-date. For every node i, every commodity g, and every observation date t:</w:t>
      </w:r>
    </w:p>
    <w:p w14:paraId="36BCFCD8" w14:textId="77777777" w:rsidR="008E1B31" w:rsidRDefault="005C5514">
      <w:pPr>
        <w:spacing w:after="160" w:line="320" w:lineRule="auto"/>
        <w:jc w:val="both"/>
      </w:pPr>
      <w:r>
        <w:t>ΔS(i, g, t) = P(i, g, t) + F_in(i, g, t) − C(i, g, t) − F_out(i, g, t) + B(i, g, t)</w:t>
      </w:r>
    </w:p>
    <w:p w14:paraId="36BCFCD9" w14:textId="77777777" w:rsidR="008E1B31" w:rsidRDefault="005C5514">
      <w:pPr>
        <w:spacing w:after="160" w:line="320" w:lineRule="auto"/>
        <w:jc w:val="both"/>
      </w:pPr>
      <w:r>
        <w:t>This is Corollary A made operational. The check is implemented in v_node_balance_check, which produces one row per (node, observation_date) with the four flow totals, the stock delta, the balancing item, and the residual that the closure should satisfy.</w:t>
      </w:r>
    </w:p>
    <w:p w14:paraId="36BCFCDA" w14:textId="77777777" w:rsidR="008E1B31" w:rsidRDefault="005C5514">
      <w:pPr>
        <w:spacing w:after="160" w:line="320" w:lineRule="auto"/>
        <w:jc w:val="both"/>
      </w:pPr>
      <w:r>
        <w:t xml:space="preserve">The mass-balance check is universal: it applies to every node type, with pass-through nodes (gathering, pipelines, terminals) inheriting P = C = ΔS = B = 0 from </w:t>
      </w:r>
      <w:r>
        <w:rPr>
          <w:rFonts w:ascii="Consolas" w:eastAsia="Consolas" w:hAnsi="Consolas" w:cs="Consolas"/>
        </w:rPr>
        <w:t>node_type_default_formulas</w:t>
      </w:r>
      <w:r>
        <w:t>, so that for pass-through nodes the constraint reduces to ΣF_in = ΣF_out. The constraint is enforced as a validation rather than as a construction rule. The variables are assigned independently from time series and formulas; the mass balance is a property that emerges from the assignments and is checked after the resolver has run.</w:t>
      </w:r>
    </w:p>
    <w:p w14:paraId="36BCFCDB" w14:textId="77777777" w:rsidR="008E1B31" w:rsidRDefault="005C5514">
      <w:pPr>
        <w:spacing w:after="160" w:line="320" w:lineRule="auto"/>
        <w:jc w:val="both"/>
      </w:pPr>
      <w:r>
        <w:t>Where the mass balance does not close exactly at a node — typically a node with both an observed stock series and observed flow series, where measurement timing and rounding produce a small residual — the residual is absorbed into B(i, g, t). At the USA aggregate, B is itself time-series-observed (the EIA MCRUA series), so its value at every date is an independently published quantity. The framework's mass balance therefore reduces, at the USA level, to a check that EIA's published balancing item matches the closure-derived balancing item that the framework would compute if it were not observed.</w:t>
      </w:r>
    </w:p>
    <w:p w14:paraId="36BCFCDC" w14:textId="77777777" w:rsidR="008E1B31" w:rsidRDefault="005C5514">
      <w:pPr>
        <w:spacing w:after="160" w:line="320" w:lineRule="auto"/>
        <w:jc w:val="both"/>
      </w:pPr>
      <w:r>
        <w:t>That comparison is the subject of the next claim.</w:t>
      </w:r>
    </w:p>
    <w:p w14:paraId="36BCFCDD" w14:textId="77777777" w:rsidR="008E1B31" w:rsidRDefault="005C5514">
      <w:pPr>
        <w:pStyle w:val="Heading2"/>
      </w:pPr>
      <w:r>
        <w:t>7.4 Claim 4: Observed B versus closure-derived B</w:t>
      </w:r>
    </w:p>
    <w:p w14:paraId="36BCFCDE" w14:textId="77777777" w:rsidR="008E1B31" w:rsidRDefault="005C5514">
      <w:pPr>
        <w:spacing w:after="160" w:line="320" w:lineRule="auto"/>
        <w:jc w:val="both"/>
      </w:pPr>
      <w:r>
        <w:t xml:space="preserve">The fourth claim is a richer one. Because the balancing item is independently time-series-observed at the PADD and USA levels (via the MCRUA series, promoted to authoritative in </w:t>
      </w:r>
      <w:r>
        <w:lastRenderedPageBreak/>
        <w:t>the sixth migration pass), the framework can run two computations of B in parallel: the observed value from MCRUA, and the closure-derived value computed from the mass balance equation as though B were unknown.</w:t>
      </w:r>
    </w:p>
    <w:p w14:paraId="36BCFCDF" w14:textId="77777777" w:rsidR="008E1B31" w:rsidRDefault="005C5514">
      <w:pPr>
        <w:spacing w:after="160" w:line="320" w:lineRule="auto"/>
        <w:jc w:val="both"/>
      </w:pPr>
      <w:r>
        <w:t>In a perfectly consistent framework — one in which every flow at every level is observed without error, every stock is reported precisely, and every measurement is timed identically — the two values of B would coincide at every date. In a real framework operating on real public data, they differ. The magnitude and timing of the difference is operationally informative.</w:t>
      </w:r>
    </w:p>
    <w:p w14:paraId="36BCFCE0" w14:textId="77777777" w:rsidR="008E1B31" w:rsidRDefault="005C5514">
      <w:pPr>
        <w:spacing w:after="160" w:line="320" w:lineRule="auto"/>
        <w:jc w:val="both"/>
      </w:pPr>
      <w:r>
        <w:t xml:space="preserve">The view </w:t>
      </w:r>
      <w:r>
        <w:rPr>
          <w:rFonts w:ascii="Consolas" w:eastAsia="Consolas" w:hAnsi="Consolas" w:cs="Consolas"/>
        </w:rPr>
        <w:t>v_aggregation_consistency</w:t>
      </w:r>
      <w:r>
        <w:t xml:space="preserve"> computes the difference at the USA aggregate, and a downstream chart (the "Claim 4 chart" in the renderer code) plots it monthly from 2015 onwards. The signal that emerges is striking: the difference is small and unsigned in normal periods (a few tens of kbd around a mean of zero), and sharply spiked around named disruption events.</w:t>
      </w:r>
    </w:p>
    <w:p w14:paraId="36BCFCE1" w14:textId="77777777" w:rsidR="008E1B31" w:rsidRDefault="005C5514">
      <w:pPr>
        <w:spacing w:after="160" w:line="320" w:lineRule="auto"/>
        <w:jc w:val="both"/>
      </w:pPr>
      <w:r>
        <w:t>The specific events that appear as spikes in the chart are:</w:t>
      </w:r>
    </w:p>
    <w:tbl>
      <w:tblPr>
        <w:tblStyle w:val="TableGrid"/>
        <w:tblW w:w="9067" w:type="dxa"/>
        <w:tblLook w:val="04A0" w:firstRow="1" w:lastRow="0" w:firstColumn="1" w:lastColumn="0" w:noHBand="0" w:noVBand="1"/>
      </w:tblPr>
      <w:tblGrid>
        <w:gridCol w:w="3022"/>
        <w:gridCol w:w="3022"/>
        <w:gridCol w:w="3023"/>
      </w:tblGrid>
      <w:tr w:rsidR="00537923" w14:paraId="1B6137C5" w14:textId="77777777">
        <w:trPr>
          <w:tblHeader/>
        </w:trPr>
        <w:tc>
          <w:tcPr>
            <w:tcW w:w="3022" w:type="dxa"/>
            <w:shd w:val="clear" w:color="auto" w:fill="D9E2F3"/>
            <w:vAlign w:val="center"/>
          </w:tcPr>
          <w:p w14:paraId="2AFD704F" w14:textId="77777777" w:rsidR="00537923" w:rsidRDefault="005C5514">
            <w:pPr>
              <w:rPr>
                <w:b/>
              </w:rPr>
            </w:pPr>
            <w:r>
              <w:rPr>
                <w:b/>
              </w:rPr>
              <w:t>Period</w:t>
            </w:r>
          </w:p>
        </w:tc>
        <w:tc>
          <w:tcPr>
            <w:tcW w:w="3022" w:type="dxa"/>
            <w:shd w:val="clear" w:color="auto" w:fill="D9E2F3"/>
            <w:vAlign w:val="center"/>
          </w:tcPr>
          <w:p w14:paraId="57CA5692" w14:textId="77777777" w:rsidR="00537923" w:rsidRDefault="005C5514">
            <w:pPr>
              <w:rPr>
                <w:b/>
              </w:rPr>
            </w:pPr>
            <w:r>
              <w:rPr>
                <w:b/>
              </w:rPr>
              <w:t>Event</w:t>
            </w:r>
          </w:p>
        </w:tc>
        <w:tc>
          <w:tcPr>
            <w:tcW w:w="3023" w:type="dxa"/>
            <w:shd w:val="clear" w:color="auto" w:fill="D9E2F3"/>
            <w:vAlign w:val="center"/>
          </w:tcPr>
          <w:p w14:paraId="08681102" w14:textId="77777777" w:rsidR="00537923" w:rsidRDefault="005C5514">
            <w:pPr>
              <w:rPr>
                <w:b/>
              </w:rPr>
            </w:pPr>
            <w:r>
              <w:rPr>
                <w:b/>
              </w:rPr>
              <w:t>Approximate magnitude</w:t>
            </w:r>
          </w:p>
        </w:tc>
      </w:tr>
      <w:tr w:rsidR="00537923" w14:paraId="5AF680EB" w14:textId="77777777">
        <w:tc>
          <w:tcPr>
            <w:tcW w:w="3022" w:type="dxa"/>
            <w:vAlign w:val="center"/>
          </w:tcPr>
          <w:p w14:paraId="7BA54353" w14:textId="77777777" w:rsidR="00537923" w:rsidRDefault="005C5514">
            <w:r>
              <w:t>August–September 2017</w:t>
            </w:r>
          </w:p>
        </w:tc>
        <w:tc>
          <w:tcPr>
            <w:tcW w:w="3022" w:type="dxa"/>
            <w:vAlign w:val="center"/>
          </w:tcPr>
          <w:p w14:paraId="0E14C14A" w14:textId="77777777" w:rsidR="00537923" w:rsidRDefault="005C5514">
            <w:r>
              <w:t>Hurricane Harvey</w:t>
            </w:r>
          </w:p>
        </w:tc>
        <w:tc>
          <w:tcPr>
            <w:tcW w:w="3023" w:type="dxa"/>
            <w:vAlign w:val="center"/>
          </w:tcPr>
          <w:p w14:paraId="4D47EA5B" w14:textId="77777777" w:rsidR="00537923" w:rsidRDefault="005C5514">
            <w:r>
              <w:t>400–600 kbd spike in observed-minus-closure B</w:t>
            </w:r>
          </w:p>
        </w:tc>
      </w:tr>
      <w:tr w:rsidR="00537923" w14:paraId="23572970" w14:textId="77777777">
        <w:tc>
          <w:tcPr>
            <w:tcW w:w="3022" w:type="dxa"/>
            <w:vAlign w:val="center"/>
          </w:tcPr>
          <w:p w14:paraId="3DBCABBC" w14:textId="77777777" w:rsidR="00537923" w:rsidRDefault="005C5514">
            <w:r>
              <w:t>March–May 2020</w:t>
            </w:r>
          </w:p>
        </w:tc>
        <w:tc>
          <w:tcPr>
            <w:tcW w:w="3022" w:type="dxa"/>
            <w:vAlign w:val="center"/>
          </w:tcPr>
          <w:p w14:paraId="0A152883" w14:textId="77777777" w:rsidR="00537923" w:rsidRDefault="005C5514">
            <w:r>
              <w:t>COVID-19 demand collapse</w:t>
            </w:r>
          </w:p>
        </w:tc>
        <w:tc>
          <w:tcPr>
            <w:tcW w:w="3023" w:type="dxa"/>
            <w:vAlign w:val="center"/>
          </w:tcPr>
          <w:p w14:paraId="68BFDB91" w14:textId="77777777" w:rsidR="00537923" w:rsidRDefault="005C5514">
            <w:r>
              <w:t>300–500 kbd persistent residual</w:t>
            </w:r>
          </w:p>
        </w:tc>
      </w:tr>
      <w:tr w:rsidR="00537923" w14:paraId="27E4DF9E" w14:textId="77777777">
        <w:tc>
          <w:tcPr>
            <w:tcW w:w="3022" w:type="dxa"/>
            <w:vAlign w:val="center"/>
          </w:tcPr>
          <w:p w14:paraId="61DD6668" w14:textId="77777777" w:rsidR="00537923" w:rsidRDefault="005C5514">
            <w:r>
              <w:t>May 2021</w:t>
            </w:r>
          </w:p>
        </w:tc>
        <w:tc>
          <w:tcPr>
            <w:tcW w:w="3022" w:type="dxa"/>
            <w:vAlign w:val="center"/>
          </w:tcPr>
          <w:p w14:paraId="05AE90E1" w14:textId="77777777" w:rsidR="00537923" w:rsidRDefault="005C5514">
            <w:r>
              <w:t>Colonial Pipeline ransomware shutdown</w:t>
            </w:r>
          </w:p>
        </w:tc>
        <w:tc>
          <w:tcPr>
            <w:tcW w:w="3023" w:type="dxa"/>
            <w:vAlign w:val="center"/>
          </w:tcPr>
          <w:p w14:paraId="14F8CD33" w14:textId="77777777" w:rsidR="00537923" w:rsidRDefault="005C5514">
            <w:r>
              <w:t>200–300 kbd spike</w:t>
            </w:r>
          </w:p>
        </w:tc>
      </w:tr>
      <w:tr w:rsidR="00537923" w14:paraId="075E6479" w14:textId="77777777">
        <w:tc>
          <w:tcPr>
            <w:tcW w:w="3022" w:type="dxa"/>
            <w:vAlign w:val="center"/>
          </w:tcPr>
          <w:p w14:paraId="12636BD2" w14:textId="77777777" w:rsidR="00537923" w:rsidRDefault="005C5514">
            <w:r>
              <w:t>April–November 2022</w:t>
            </w:r>
          </w:p>
        </w:tc>
        <w:tc>
          <w:tcPr>
            <w:tcW w:w="3022" w:type="dxa"/>
            <w:vAlign w:val="center"/>
          </w:tcPr>
          <w:p w14:paraId="0B2C0C58" w14:textId="77777777" w:rsidR="00537923" w:rsidRDefault="005C5514">
            <w:r>
              <w:t>SPR strategic release</w:t>
            </w:r>
          </w:p>
        </w:tc>
        <w:tc>
          <w:tcPr>
            <w:tcW w:w="3023" w:type="dxa"/>
            <w:vAlign w:val="center"/>
          </w:tcPr>
          <w:p w14:paraId="33E23029" w14:textId="77777777" w:rsidR="00537923" w:rsidRDefault="005C5514">
            <w:r>
              <w:t>100–250 kbd persistent residual matching the release schedule</w:t>
            </w:r>
          </w:p>
        </w:tc>
      </w:tr>
    </w:tbl>
    <w:p w14:paraId="36BCFCE8" w14:textId="77777777" w:rsidR="008E1B31" w:rsidRDefault="005C5514">
      <w:pPr>
        <w:spacing w:after="160" w:line="320" w:lineRule="auto"/>
        <w:jc w:val="both"/>
      </w:pPr>
      <w:r>
        <w:t>Each spike has a credible mechanical explanation. Hurricane Harvey shut Gulf Coast production and refining for weeks, and during that period the EIA's monthly aggregate flow series were unable to capture intra-month operational disruptions at the daily granularity the underlying movements required. COVID produced sudden inventory builds across the system as demand collapsed faster than production could throttle back, and the data infrastructure had not been designed for movements of that magnitude in a single month. Colonial introduced a discontinuity in the East Coast supply chain that took several months of reporting to fully reconcile. The SPR release deliberately introduced a persistent flow that the framework can see in the stock change at the SPR sites but that the inter-PADD flow series did not always reflect with matching timing.</w:t>
      </w:r>
    </w:p>
    <w:p w14:paraId="36BCFCE9" w14:textId="77777777" w:rsidR="008E1B31" w:rsidRDefault="005C5514">
      <w:pPr>
        <w:spacing w:after="160" w:line="320" w:lineRule="auto"/>
        <w:jc w:val="both"/>
      </w:pPr>
      <w:r>
        <w:t>The interpretation the framework supports is that the difference between observed and closure-derived B at the USA level is, to a first approximation, a measure of partition-internal latent flow that the public data does not directly report. The magnitude of the difference at each date is therefore a measure of how much information the framework is currently unable to resolve. This is itself a useful diagnostic: when the difference is small, the framework's representation closely matches the data; when the difference spikes, there is real movement happening that the available time series cannot fully capture, and the latent variables become correspondingly more important.</w:t>
      </w:r>
    </w:p>
    <w:p w14:paraId="36BCFCEA" w14:textId="77777777" w:rsidR="008E1B31" w:rsidRDefault="005C5514">
      <w:pPr>
        <w:pStyle w:val="Heading2"/>
      </w:pPr>
      <w:r>
        <w:lastRenderedPageBreak/>
        <w:t>7.5 Cross-scenario consistency</w:t>
      </w:r>
    </w:p>
    <w:p w14:paraId="36BCFCEB" w14:textId="77777777" w:rsidR="008E1B31" w:rsidRDefault="005C5514">
      <w:pPr>
        <w:spacing w:after="160" w:line="320" w:lineRule="auto"/>
        <w:jc w:val="both"/>
      </w:pPr>
      <w:r>
        <w:t>The four claims above hold under the framework as committed. A fifth, cross-scenario consistency, asks whether a second scenario binding the same underlying time series at a different resolution would produce aggregate values that agree with the first wherever the two scenarios overlap. The schema and the resolver admit such a test without modification; executing it is future work.</w:t>
      </w:r>
    </w:p>
    <w:p w14:paraId="36BCFCEE" w14:textId="77777777" w:rsidR="008E1B31" w:rsidRDefault="005C5514">
      <w:pPr>
        <w:pStyle w:val="Heading2"/>
      </w:pPr>
      <w:r>
        <w:t>7.6 Operational consistency of the resolver</w:t>
      </w:r>
    </w:p>
    <w:p w14:paraId="36BCFCEF" w14:textId="77777777" w:rsidR="008E1B31" w:rsidRDefault="005C5514">
      <w:pPr>
        <w:spacing w:after="160" w:line="320" w:lineRule="auto"/>
        <w:jc w:val="both"/>
      </w:pPr>
      <w:r>
        <w:t>A separate class of consistency claim concerns the resolver itself. Two properties hold by construction:</w:t>
      </w:r>
    </w:p>
    <w:p w14:paraId="36BCFCF0" w14:textId="77777777" w:rsidR="008E1B31" w:rsidRDefault="005C5514">
      <w:pPr>
        <w:spacing w:after="160" w:line="320" w:lineRule="auto"/>
        <w:jc w:val="both"/>
      </w:pPr>
      <w:r>
        <w:rPr>
          <w:b/>
          <w:bCs/>
        </w:rPr>
        <w:t>No unresolved rows.</w:t>
      </w:r>
      <w:r>
        <w:t xml:space="preserve"> In a healthy run of the resolver on the starter scenario, the unresolved count is zero. This is the load-bearing invariant from Section 6.4: every declared variable either has a value or has an explicit latent marker. Downstream consumers can rely on the presence of a row for every (scenario, variable, observation_date) tuple.</w:t>
      </w:r>
    </w:p>
    <w:p w14:paraId="36BCFCF1" w14:textId="77777777" w:rsidR="008E1B31" w:rsidRDefault="005C5514">
      <w:pPr>
        <w:spacing w:after="160" w:line="320" w:lineRule="auto"/>
        <w:jc w:val="both"/>
      </w:pPr>
      <w:r>
        <w:rPr>
          <w:b/>
          <w:bCs/>
        </w:rPr>
        <w:t>Deterministic dispatch.</w:t>
      </w:r>
      <w:r>
        <w:t xml:space="preserve"> Given the same assignment set and the same time-series data, the resolver produces identical dispatch counts across runs. The dispatch counts are recorded in the audit JSONB column of </w:t>
      </w:r>
      <w:r>
        <w:rPr>
          <w:rFonts w:ascii="Consolas" w:eastAsia="Consolas" w:hAnsi="Consolas" w:cs="Consolas"/>
        </w:rPr>
        <w:t>scenario_resolver_runs</w:t>
      </w:r>
      <w:r>
        <w:t xml:space="preserve"> and can be cross-checked between runs. The current dispatch counts (from Section 6.4) are stable across repeated runs of the same scenario.</w:t>
      </w:r>
    </w:p>
    <w:p w14:paraId="36BCFCF2" w14:textId="77777777" w:rsidR="008E1B31" w:rsidRDefault="005C5514">
      <w:pPr>
        <w:spacing w:after="160" w:line="320" w:lineRule="auto"/>
        <w:jc w:val="both"/>
      </w:pPr>
      <w:r>
        <w:t>These properties matter because they let the framework be used as the data layer for downstream analyses without re-running the upstream computation each time. A consistency audit run today, an LP solve run tomorrow, and a renderer run next week all see the same values from the same resolver run, because the audit row records which run produced which values.</w:t>
      </w:r>
    </w:p>
    <w:p w14:paraId="36BCFCF3" w14:textId="77777777" w:rsidR="008E1B31" w:rsidRDefault="005C5514">
      <w:pPr>
        <w:pStyle w:val="Heading2"/>
      </w:pPr>
      <w:r>
        <w:t>7.7 What the consistency claims do not cover</w:t>
      </w:r>
    </w:p>
    <w:p w14:paraId="36BCFCF4" w14:textId="77777777" w:rsidR="008E1B31" w:rsidRDefault="005C5514">
      <w:pPr>
        <w:spacing w:after="160" w:line="320" w:lineRule="auto"/>
        <w:jc w:val="both"/>
      </w:pPr>
      <w:r>
        <w:t>The framework's consistency claims are about internal coherence, not about external correctness. Specifically, the claims do not establish:</w:t>
      </w:r>
    </w:p>
    <w:p w14:paraId="36BCFCF5" w14:textId="77777777" w:rsidR="008E1B31" w:rsidRDefault="005C5514">
      <w:pPr>
        <w:spacing w:after="160" w:line="320" w:lineRule="auto"/>
        <w:jc w:val="both"/>
      </w:pPr>
      <w:r>
        <w:t>The accuracy of the underlying EIA data. If the EIA's MCRUA series is itself biased or noisy, the framework will faithfully reproduce that bias. The framework's role is to make the bias visible and traceable, not to correct it.</w:t>
      </w:r>
    </w:p>
    <w:p w14:paraId="36BCFCF6" w14:textId="77777777" w:rsidR="008E1B31" w:rsidRDefault="005C5514">
      <w:pPr>
        <w:spacing w:after="160" w:line="320" w:lineRule="auto"/>
        <w:jc w:val="both"/>
      </w:pPr>
      <w:r>
        <w:t>The completeness of the modelled topology. If a real physical flow is not represented as an edge in the asset graph, the framework will not detect its absence. Topological completeness depends on the construction passes (Chapter 5) and is a matter for review.</w:t>
      </w:r>
    </w:p>
    <w:p w14:paraId="36BCFCF7" w14:textId="77777777" w:rsidR="008E1B31" w:rsidRDefault="005C5514">
      <w:pPr>
        <w:spacing w:after="160" w:line="320" w:lineRule="auto"/>
        <w:jc w:val="both"/>
      </w:pPr>
      <w:r>
        <w:t xml:space="preserve">The realism of the latent allocations. The framework leaves per-edge flows latent at junctions and does not commit to specific values for them. Whether the eventual LP or GNN allocation matches what is physically happening on the ground is a question for the consumer model, </w:t>
      </w:r>
      <w:r>
        <w:lastRenderedPageBreak/>
        <w:t>not for the schema. The framework guarantees only that the aggregate constraint is satisfied, not that the per-edge split is correct.</w:t>
      </w:r>
    </w:p>
    <w:p w14:paraId="36BCFCF8" w14:textId="77777777" w:rsidR="008E1B31" w:rsidRDefault="005C5514">
      <w:pPr>
        <w:spacing w:after="160" w:line="320" w:lineRule="auto"/>
        <w:jc w:val="both"/>
      </w:pPr>
      <w:r>
        <w:t>These three areas correspond directly to the future work outlined in Chapter 10. The Chapter 7 claims are about the schema and the resolver; the question of whether the values they produce reflect reality is downstream of those claims.</w:t>
      </w:r>
    </w:p>
    <w:p w14:paraId="36BCFCF9" w14:textId="77777777" w:rsidR="008E1B31" w:rsidRDefault="005C5514">
      <w:pPr>
        <w:pStyle w:val="Heading2"/>
      </w:pPr>
      <w:r>
        <w:t>7.8 Summary</w:t>
      </w:r>
    </w:p>
    <w:p w14:paraId="36BCFCFA" w14:textId="77777777" w:rsidR="008E1B31" w:rsidRDefault="005C5514">
      <w:pPr>
        <w:spacing w:after="160" w:line="320" w:lineRule="auto"/>
        <w:jc w:val="both"/>
      </w:pPr>
      <w:r>
        <w:t>The framework supports four numerical consistency claims: schema-level single attribution, partition closure, per-node mass balance, and observed-versus-closure B. A fifth claim, cross-scenario consistency, is admissible by construction but is left to future work. Each claim corresponds to a specific audit query and a specific view in the live system.</w:t>
      </w:r>
    </w:p>
    <w:p w14:paraId="36BCFCFB" w14:textId="77777777" w:rsidR="008E1B31" w:rsidRDefault="005C5514">
      <w:pPr>
        <w:spacing w:after="160" w:line="320" w:lineRule="auto"/>
        <w:jc w:val="both"/>
      </w:pPr>
      <w:r>
        <w:t>The numerical state of the framework at the time of writing is clean: 80 time-series bindings in 1:1 attribution, partition closure within rounding tolerance at every PADD and at the USA aggregate, mass balance respected at every node, and the observed-versus-closure B difference confined to known disruption events. The framework is ready to be consumed by downstream models, beginning with the linear programme described in the next chapter.</w:t>
      </w:r>
    </w:p>
    <w:p w14:paraId="4C614BB9" w14:textId="77777777" w:rsidR="008E1B31" w:rsidRDefault="005C5514">
      <w:pPr>
        <w:pStyle w:val="Heading2"/>
      </w:pPr>
      <w:r>
        <w:t>7.9 Where each axiom is enforced</w:t>
      </w:r>
    </w:p>
    <w:p w14:paraId="4BA2D6FE" w14:textId="77777777" w:rsidR="006E3777" w:rsidRDefault="006E3777">
      <w:pPr>
        <w:spacing w:after="160" w:line="319" w:lineRule="auto"/>
        <w:jc w:val="both"/>
        <w:rPr>
          <w:kern w:val="2"/>
          <w14:ligatures w14:val="standardContextual"/>
        </w:rPr>
      </w:pPr>
      <w:r>
        <w:t>A useful way to take stock of the framework is to walk through the build pipeline step by step and, at each step, name the axioms and corollaries that step embodies together with the database design, the view, or the audit that actually enforces them. The table below is that walk-through. It is the same content as Sections 4.1–4.13 and 5.1–5.9 of the thesis, projected onto the operational pipeline rather than onto the framework's design vocabulary. Repeated process-step cells are blank for visual grouping; each row carries a single (axiom-or-corollary, enforcement) pair.</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3000"/>
        <w:gridCol w:w="3002"/>
        <w:gridCol w:w="3008"/>
      </w:tblGrid>
      <w:tr w:rsidR="006A63D0" w14:paraId="7FBC24D8" w14:textId="77777777">
        <w:tc>
          <w:tcPr>
            <w:tcW w:w="3009" w:type="dxa"/>
            <w:shd w:val="clear" w:color="auto" w:fill="E6EEF5"/>
            <w:vAlign w:val="center"/>
          </w:tcPr>
          <w:p w14:paraId="411E9F7F" w14:textId="77777777" w:rsidR="006A63D0" w:rsidRDefault="005C5514">
            <w:r>
              <w:rPr>
                <w:b/>
                <w:sz w:val="19"/>
              </w:rPr>
              <w:t>Process step</w:t>
            </w:r>
          </w:p>
        </w:tc>
        <w:tc>
          <w:tcPr>
            <w:tcW w:w="3009" w:type="dxa"/>
            <w:shd w:val="clear" w:color="auto" w:fill="E6EEF5"/>
            <w:vAlign w:val="center"/>
          </w:tcPr>
          <w:p w14:paraId="4ED9A114" w14:textId="77777777" w:rsidR="006A63D0" w:rsidRDefault="005C5514">
            <w:r>
              <w:rPr>
                <w:b/>
                <w:sz w:val="19"/>
              </w:rPr>
              <w:t>Axiom or Corollary</w:t>
            </w:r>
          </w:p>
        </w:tc>
        <w:tc>
          <w:tcPr>
            <w:tcW w:w="3009" w:type="dxa"/>
            <w:shd w:val="clear" w:color="auto" w:fill="E6EEF5"/>
            <w:vAlign w:val="center"/>
          </w:tcPr>
          <w:p w14:paraId="0E056338" w14:textId="77777777" w:rsidR="006A63D0" w:rsidRDefault="005C5514">
            <w:r>
              <w:rPr>
                <w:b/>
                <w:sz w:val="19"/>
              </w:rPr>
              <w:t>Enforcement mechanism</w:t>
            </w:r>
          </w:p>
        </w:tc>
      </w:tr>
      <w:tr w:rsidR="006A63D0" w14:paraId="22CD1C80" w14:textId="77777777">
        <w:tc>
          <w:tcPr>
            <w:tcW w:w="3009" w:type="dxa"/>
          </w:tcPr>
          <w:p w14:paraId="6FDE79F0" w14:textId="77777777" w:rsidR="006A63D0" w:rsidRDefault="005C5514">
            <w:r>
              <w:rPr>
                <w:b/>
                <w:sz w:val="17"/>
              </w:rPr>
              <w:t>Load asset graph</w:t>
            </w:r>
          </w:p>
        </w:tc>
        <w:tc>
          <w:tcPr>
            <w:tcW w:w="3009" w:type="dxa"/>
          </w:tcPr>
          <w:p w14:paraId="44F8D59D" w14:textId="77777777" w:rsidR="006A63D0" w:rsidRDefault="005C5514">
            <w:r>
              <w:rPr>
                <w:sz w:val="17"/>
              </w:rPr>
              <w:t>Axiom 1: asset-centric representation</w:t>
            </w:r>
          </w:p>
        </w:tc>
        <w:tc>
          <w:tcPr>
            <w:tcW w:w="3009" w:type="dxa"/>
          </w:tcPr>
          <w:p w14:paraId="1927B165" w14:textId="77777777" w:rsidR="006A63D0" w:rsidRDefault="005C5514">
            <w:r>
              <w:rPr>
                <w:sz w:val="17"/>
              </w:rPr>
              <w:t>kind flag on assets (physical | abstract); physical assets carry capacity, geography, and flow edges</w:t>
            </w:r>
          </w:p>
        </w:tc>
      </w:tr>
      <w:tr w:rsidR="006A63D0" w14:paraId="47E971F6" w14:textId="77777777">
        <w:tc>
          <w:tcPr>
            <w:tcW w:w="3009" w:type="dxa"/>
          </w:tcPr>
          <w:p w14:paraId="31CB25CE" w14:textId="77777777" w:rsidR="006A63D0" w:rsidRDefault="006A63D0"/>
        </w:tc>
        <w:tc>
          <w:tcPr>
            <w:tcW w:w="3009" w:type="dxa"/>
          </w:tcPr>
          <w:p w14:paraId="5976185E" w14:textId="77777777" w:rsidR="006A63D0" w:rsidRDefault="005C5514">
            <w:r>
              <w:rPr>
                <w:sz w:val="17"/>
              </w:rPr>
              <w:t>Axiom 4: persistent graph vs scenario state</w:t>
            </w:r>
          </w:p>
        </w:tc>
        <w:tc>
          <w:tcPr>
            <w:tcW w:w="3009" w:type="dxa"/>
          </w:tcPr>
          <w:p w14:paraId="2291A165" w14:textId="77777777" w:rsidR="006A63D0" w:rsidRDefault="005C5514">
            <w:r>
              <w:rPr>
                <w:sz w:val="17"/>
              </w:rPr>
              <w:t>Two-layer schema: assets / nodes / locations persist; variable_assignments is per-scenario</w:t>
            </w:r>
          </w:p>
        </w:tc>
      </w:tr>
      <w:tr w:rsidR="006A63D0" w14:paraId="5D614689" w14:textId="77777777">
        <w:tc>
          <w:tcPr>
            <w:tcW w:w="3009" w:type="dxa"/>
          </w:tcPr>
          <w:p w14:paraId="61C5D523" w14:textId="77777777" w:rsidR="006A63D0" w:rsidRDefault="006A63D0"/>
        </w:tc>
        <w:tc>
          <w:tcPr>
            <w:tcW w:w="3009" w:type="dxa"/>
          </w:tcPr>
          <w:p w14:paraId="7D8E99B2" w14:textId="77777777" w:rsidR="006A63D0" w:rsidRDefault="005C5514">
            <w:r>
              <w:rPr>
                <w:sz w:val="17"/>
              </w:rPr>
              <w:t>Axiom 6: bidirectional flows as two directed edges</w:t>
            </w:r>
          </w:p>
        </w:tc>
        <w:tc>
          <w:tcPr>
            <w:tcW w:w="3009" w:type="dxa"/>
          </w:tcPr>
          <w:p w14:paraId="62AB36C6" w14:textId="77777777" w:rsidR="006A63D0" w:rsidRDefault="005C5514">
            <w:r>
              <w:rPr>
                <w:sz w:val="17"/>
              </w:rPr>
              <w:t>Each direction is a separate inflow / outflow variable with its own related_node_id</w:t>
            </w:r>
          </w:p>
        </w:tc>
      </w:tr>
      <w:tr w:rsidR="006A63D0" w14:paraId="48B0009D" w14:textId="77777777">
        <w:tc>
          <w:tcPr>
            <w:tcW w:w="3009" w:type="dxa"/>
          </w:tcPr>
          <w:p w14:paraId="77DBD23A" w14:textId="77777777" w:rsidR="006A63D0" w:rsidRDefault="005C5514">
            <w:r>
              <w:rPr>
                <w:b/>
                <w:sz w:val="17"/>
              </w:rPr>
              <w:t>Load EIA timeseries</w:t>
            </w:r>
          </w:p>
        </w:tc>
        <w:tc>
          <w:tcPr>
            <w:tcW w:w="3009" w:type="dxa"/>
          </w:tcPr>
          <w:p w14:paraId="471D00D1" w14:textId="77777777" w:rsidR="006A63D0" w:rsidRDefault="005C5514">
            <w:r>
              <w:rPr>
                <w:sz w:val="17"/>
              </w:rPr>
              <w:t>Source provenance (Corollary D-bis precondition)</w:t>
            </w:r>
          </w:p>
        </w:tc>
        <w:tc>
          <w:tcPr>
            <w:tcW w:w="3009" w:type="dxa"/>
          </w:tcPr>
          <w:p w14:paraId="3EB5349B" w14:textId="77777777" w:rsidR="006A63D0" w:rsidRDefault="005C5514">
            <w:r>
              <w:rPr>
                <w:sz w:val="17"/>
              </w:rPr>
              <w:t>Separate staging schema (oil_network_data_loader) feeds the live tables; timeseries / timeseries_data hold catalogue + facts</w:t>
            </w:r>
          </w:p>
        </w:tc>
      </w:tr>
      <w:tr w:rsidR="006A63D0" w14:paraId="5994406B" w14:textId="77777777">
        <w:tc>
          <w:tcPr>
            <w:tcW w:w="3009" w:type="dxa"/>
          </w:tcPr>
          <w:p w14:paraId="23146CDD" w14:textId="77777777" w:rsidR="006A63D0" w:rsidRDefault="005C5514">
            <w:r>
              <w:rPr>
                <w:b/>
                <w:sz w:val="17"/>
              </w:rPr>
              <w:t>Assign variables</w:t>
            </w:r>
          </w:p>
        </w:tc>
        <w:tc>
          <w:tcPr>
            <w:tcW w:w="3009" w:type="dxa"/>
          </w:tcPr>
          <w:p w14:paraId="61A12E5A" w14:textId="77777777" w:rsidR="006A63D0" w:rsidRDefault="005C5514">
            <w:r>
              <w:rPr>
                <w:sz w:val="17"/>
              </w:rPr>
              <w:t>Axiom 5: observed XOR derived</w:t>
            </w:r>
          </w:p>
        </w:tc>
        <w:tc>
          <w:tcPr>
            <w:tcW w:w="3009" w:type="dxa"/>
          </w:tcPr>
          <w:p w14:paraId="7F7C2B40" w14:textId="77777777" w:rsidR="006A63D0" w:rsidRDefault="005C5514">
            <w:r>
              <w:rPr>
                <w:sz w:val="17"/>
              </w:rPr>
              <w:t>CHECK (num_nonnulls(timeseries_id, formula) = 1) on variable_assignments</w:t>
            </w:r>
          </w:p>
        </w:tc>
      </w:tr>
      <w:tr w:rsidR="006A63D0" w14:paraId="3E4D537A" w14:textId="77777777">
        <w:tc>
          <w:tcPr>
            <w:tcW w:w="3009" w:type="dxa"/>
          </w:tcPr>
          <w:p w14:paraId="2778209D" w14:textId="77777777" w:rsidR="006A63D0" w:rsidRDefault="006A63D0"/>
        </w:tc>
        <w:tc>
          <w:tcPr>
            <w:tcW w:w="3009" w:type="dxa"/>
          </w:tcPr>
          <w:p w14:paraId="4687F569" w14:textId="77777777" w:rsidR="006A63D0" w:rsidRDefault="005C5514">
            <w:r>
              <w:rPr>
                <w:sz w:val="17"/>
              </w:rPr>
              <w:t>Axiom 5: TS-binding uniqueness</w:t>
            </w:r>
          </w:p>
        </w:tc>
        <w:tc>
          <w:tcPr>
            <w:tcW w:w="3009" w:type="dxa"/>
          </w:tcPr>
          <w:p w14:paraId="68DE96D5" w14:textId="77777777" w:rsidR="006A63D0" w:rsidRDefault="005C5514">
            <w:r>
              <w:rPr>
                <w:sz w:val="17"/>
              </w:rPr>
              <w:t>audit_ts_binding_uniqueness — one TS bound to at most one variable per scenario</w:t>
            </w:r>
          </w:p>
        </w:tc>
      </w:tr>
      <w:tr w:rsidR="006A63D0" w14:paraId="74CA467C" w14:textId="77777777">
        <w:tc>
          <w:tcPr>
            <w:tcW w:w="3009" w:type="dxa"/>
          </w:tcPr>
          <w:p w14:paraId="378850F4" w14:textId="77777777" w:rsidR="006A63D0" w:rsidRDefault="006A63D0"/>
        </w:tc>
        <w:tc>
          <w:tcPr>
            <w:tcW w:w="3009" w:type="dxa"/>
          </w:tcPr>
          <w:p w14:paraId="03966E1F" w14:textId="77777777" w:rsidR="006A63D0" w:rsidRDefault="005C5514">
            <w:r>
              <w:rPr>
                <w:sz w:val="17"/>
              </w:rPr>
              <w:t>Corollary D: latent allocation at junctions</w:t>
            </w:r>
          </w:p>
        </w:tc>
        <w:tc>
          <w:tcPr>
            <w:tcW w:w="3009" w:type="dxa"/>
          </w:tcPr>
          <w:p w14:paraId="3D0B47B2" w14:textId="77777777" w:rsidR="006A63D0" w:rsidRDefault="005C5514">
            <w:r>
              <w:rPr>
                <w:sz w:val="17"/>
              </w:rPr>
              <w:t>formula = 'latent()' declarations on un-observable per-route splits</w:t>
            </w:r>
          </w:p>
        </w:tc>
      </w:tr>
      <w:tr w:rsidR="006A63D0" w14:paraId="08D67EAB" w14:textId="77777777">
        <w:tc>
          <w:tcPr>
            <w:tcW w:w="3009" w:type="dxa"/>
          </w:tcPr>
          <w:p w14:paraId="0EFF068D" w14:textId="77777777" w:rsidR="006A63D0" w:rsidRDefault="006A63D0"/>
        </w:tc>
        <w:tc>
          <w:tcPr>
            <w:tcW w:w="3009" w:type="dxa"/>
          </w:tcPr>
          <w:p w14:paraId="68AAFA4E" w14:textId="77777777" w:rsidR="006A63D0" w:rsidRDefault="005C5514">
            <w:r>
              <w:rPr>
                <w:sz w:val="17"/>
              </w:rPr>
              <w:t>Axiom 2: stable topology via zero-flow</w:t>
            </w:r>
          </w:p>
        </w:tc>
        <w:tc>
          <w:tcPr>
            <w:tcW w:w="3009" w:type="dxa"/>
          </w:tcPr>
          <w:p w14:paraId="02516D30" w14:textId="77777777" w:rsidR="006A63D0" w:rsidRDefault="005C5514">
            <w:r>
              <w:rPr>
                <w:sz w:val="17"/>
              </w:rPr>
              <w:t>formula = '0' defaults via node_type_default_formulas for pass-through node types</w:t>
            </w:r>
          </w:p>
        </w:tc>
      </w:tr>
      <w:tr w:rsidR="006A63D0" w14:paraId="394B35A5" w14:textId="77777777">
        <w:tc>
          <w:tcPr>
            <w:tcW w:w="3009" w:type="dxa"/>
          </w:tcPr>
          <w:p w14:paraId="27C60A64" w14:textId="77777777" w:rsidR="006A63D0" w:rsidRDefault="005C5514">
            <w:r>
              <w:rPr>
                <w:b/>
                <w:sz w:val="17"/>
              </w:rPr>
              <w:t>Build views (L2–L4)</w:t>
            </w:r>
          </w:p>
        </w:tc>
        <w:tc>
          <w:tcPr>
            <w:tcW w:w="3009" w:type="dxa"/>
          </w:tcPr>
          <w:p w14:paraId="7389657F" w14:textId="77777777" w:rsidR="006A63D0" w:rsidRDefault="005C5514">
            <w:r>
              <w:rPr>
                <w:sz w:val="17"/>
              </w:rPr>
              <w:t>Axiom 3: variables are the single source of truth</w:t>
            </w:r>
          </w:p>
        </w:tc>
        <w:tc>
          <w:tcPr>
            <w:tcW w:w="3009" w:type="dxa"/>
          </w:tcPr>
          <w:p w14:paraId="7907BF84" w14:textId="77777777" w:rsidR="006A63D0" w:rsidRDefault="005C5514">
            <w:r>
              <w:rPr>
                <w:sz w:val="17"/>
              </w:rPr>
              <w:t>v_flow_edges, v_aggregation_edges, v_partition_tree, v_node_pcisob — every structural fact computed from the variables collection</w:t>
            </w:r>
          </w:p>
        </w:tc>
      </w:tr>
      <w:tr w:rsidR="006A63D0" w14:paraId="0151BA38" w14:textId="77777777">
        <w:tc>
          <w:tcPr>
            <w:tcW w:w="3009" w:type="dxa"/>
          </w:tcPr>
          <w:p w14:paraId="1555DD2D" w14:textId="77777777" w:rsidR="006A63D0" w:rsidRDefault="006A63D0"/>
        </w:tc>
        <w:tc>
          <w:tcPr>
            <w:tcW w:w="3009" w:type="dxa"/>
          </w:tcPr>
          <w:p w14:paraId="1A12BFD9" w14:textId="77777777" w:rsidR="006A63D0" w:rsidRDefault="005C5514">
            <w:r>
              <w:rPr>
                <w:sz w:val="17"/>
              </w:rPr>
              <w:t>Corollary B: observational layer has no edges</w:t>
            </w:r>
          </w:p>
        </w:tc>
        <w:tc>
          <w:tcPr>
            <w:tcW w:w="3009" w:type="dxa"/>
          </w:tcPr>
          <w:p w14:paraId="5C5699A8" w14:textId="77777777" w:rsidR="006A63D0" w:rsidRDefault="005C5514">
            <w:r>
              <w:rPr>
                <w:sz w:val="17"/>
              </w:rPr>
              <w:t>v_flow_edges filters relational variables only; abstract aggregates are absent by construction</w:t>
            </w:r>
          </w:p>
        </w:tc>
      </w:tr>
      <w:tr w:rsidR="006A63D0" w14:paraId="5B37CD69" w14:textId="77777777">
        <w:tc>
          <w:tcPr>
            <w:tcW w:w="3009" w:type="dxa"/>
          </w:tcPr>
          <w:p w14:paraId="3761B74F" w14:textId="77777777" w:rsidR="006A63D0" w:rsidRDefault="006A63D0"/>
        </w:tc>
        <w:tc>
          <w:tcPr>
            <w:tcW w:w="3009" w:type="dxa"/>
          </w:tcPr>
          <w:p w14:paraId="3AC217AF" w14:textId="77777777" w:rsidR="006A63D0" w:rsidRDefault="005C5514">
            <w:r>
              <w:rPr>
                <w:sz w:val="17"/>
              </w:rPr>
              <w:t>Corollary C: labels distinct from hierarchies</w:t>
            </w:r>
          </w:p>
        </w:tc>
        <w:tc>
          <w:tcPr>
            <w:tcW w:w="3009" w:type="dxa"/>
          </w:tcPr>
          <w:p w14:paraId="43136C8A" w14:textId="77777777" w:rsidR="006A63D0" w:rsidRDefault="005C5514">
            <w:r>
              <w:rPr>
                <w:sz w:val="17"/>
              </w:rPr>
              <w:t>v_partition_tree filters same-type, same-related-node; geography labels do not enter the partition spine</w:t>
            </w:r>
          </w:p>
        </w:tc>
      </w:tr>
      <w:tr w:rsidR="006A63D0" w14:paraId="1F7E7CA1" w14:textId="77777777">
        <w:tc>
          <w:tcPr>
            <w:tcW w:w="3009" w:type="dxa"/>
          </w:tcPr>
          <w:p w14:paraId="06D028D6" w14:textId="77777777" w:rsidR="006A63D0" w:rsidRDefault="006A63D0"/>
        </w:tc>
        <w:tc>
          <w:tcPr>
            <w:tcW w:w="3009" w:type="dxa"/>
          </w:tcPr>
          <w:p w14:paraId="7ABB5E99" w14:textId="77777777" w:rsidR="006A63D0" w:rsidRDefault="005C5514">
            <w:r>
              <w:rPr>
                <w:sz w:val="17"/>
              </w:rPr>
              <w:t>Corollary E: node status as a view</w:t>
            </w:r>
          </w:p>
        </w:tc>
        <w:tc>
          <w:tcPr>
            <w:tcW w:w="3009" w:type="dxa"/>
          </w:tcPr>
          <w:p w14:paraId="01291104" w14:textId="77777777" w:rsidR="006A63D0" w:rsidRDefault="005C5514">
            <w:r>
              <w:rPr>
                <w:sz w:val="17"/>
              </w:rPr>
              <w:t>v_node_status derives authoritative / derived / inactive per (scenario, node) from variable_assignments</w:t>
            </w:r>
          </w:p>
        </w:tc>
      </w:tr>
      <w:tr w:rsidR="006A63D0" w14:paraId="4C3CD370" w14:textId="77777777">
        <w:tc>
          <w:tcPr>
            <w:tcW w:w="3009" w:type="dxa"/>
          </w:tcPr>
          <w:p w14:paraId="527FEC7A" w14:textId="77777777" w:rsidR="006A63D0" w:rsidRDefault="005C5514">
            <w:r>
              <w:rPr>
                <w:b/>
                <w:sz w:val="17"/>
              </w:rPr>
              <w:t>Run resolver</w:t>
            </w:r>
          </w:p>
        </w:tc>
        <w:tc>
          <w:tcPr>
            <w:tcW w:w="3009" w:type="dxa"/>
          </w:tcPr>
          <w:p w14:paraId="109FEE4F" w14:textId="77777777" w:rsidR="006A63D0" w:rsidRDefault="005C5514">
            <w:r>
              <w:rPr>
                <w:sz w:val="17"/>
              </w:rPr>
              <w:t>Corollary D-bis: last-observation-carried-forward</w:t>
            </w:r>
          </w:p>
        </w:tc>
        <w:tc>
          <w:tcPr>
            <w:tcW w:w="3009" w:type="dxa"/>
          </w:tcPr>
          <w:p w14:paraId="628610BB" w14:textId="77777777" w:rsidR="006A63D0" w:rsidRDefault="005C5514">
            <w:r>
              <w:rPr>
                <w:sz w:val="17"/>
              </w:rPr>
              <w:t>eval_observed() in resolve_scenario.py / recursive_resolver.py; formula_used column records 'locf(YYYY-MM-DD)' on carried rows</w:t>
            </w:r>
          </w:p>
        </w:tc>
      </w:tr>
      <w:tr w:rsidR="006A63D0" w14:paraId="0768ECFE" w14:textId="77777777">
        <w:tc>
          <w:tcPr>
            <w:tcW w:w="3009" w:type="dxa"/>
          </w:tcPr>
          <w:p w14:paraId="5488530B" w14:textId="77777777" w:rsidR="006A63D0" w:rsidRDefault="006A63D0"/>
        </w:tc>
        <w:tc>
          <w:tcPr>
            <w:tcW w:w="3009" w:type="dxa"/>
          </w:tcPr>
          <w:p w14:paraId="0CE6A14B" w14:textId="77777777" w:rsidR="006A63D0" w:rsidRDefault="005C5514">
            <w:r>
              <w:rPr>
                <w:sz w:val="17"/>
              </w:rPr>
              <w:t>Axiom 3: derived side of the source of truth</w:t>
            </w:r>
          </w:p>
        </w:tc>
        <w:tc>
          <w:tcPr>
            <w:tcW w:w="3009" w:type="dxa"/>
          </w:tcPr>
          <w:p w14:paraId="06C67AFD" w14:textId="77777777" w:rsidR="006A63D0" w:rsidRDefault="005C5514">
            <w:r>
              <w:rPr>
                <w:sz w:val="17"/>
              </w:rPr>
              <w:t>Dispatch rules sum, alias, arithmetic consume formula_inputs at evaluation time</w:t>
            </w:r>
          </w:p>
        </w:tc>
      </w:tr>
      <w:tr w:rsidR="006A63D0" w14:paraId="7715A7B6" w14:textId="77777777">
        <w:tc>
          <w:tcPr>
            <w:tcW w:w="3009" w:type="dxa"/>
          </w:tcPr>
          <w:p w14:paraId="5F587EC6" w14:textId="77777777" w:rsidR="006A63D0" w:rsidRDefault="006A63D0"/>
        </w:tc>
        <w:tc>
          <w:tcPr>
            <w:tcW w:w="3009" w:type="dxa"/>
          </w:tcPr>
          <w:p w14:paraId="61045C1A" w14:textId="77777777" w:rsidR="006A63D0" w:rsidRDefault="005C5514">
            <w:r>
              <w:rPr>
                <w:sz w:val="17"/>
              </w:rPr>
              <w:t>Resolver output invariants</w:t>
            </w:r>
          </w:p>
        </w:tc>
        <w:tc>
          <w:tcPr>
            <w:tcW w:w="3009" w:type="dxa"/>
          </w:tcPr>
          <w:p w14:paraId="7F4E3A0B" w14:textId="77777777" w:rsidR="006A63D0" w:rsidRDefault="005C5514">
            <w:r>
              <w:rPr>
                <w:sz w:val="17"/>
              </w:rPr>
              <w:t>CHECK constraint on scenario_resolved_values.source restricts to {observed, derived, zero, latent, partial, unresolved}</w:t>
            </w:r>
          </w:p>
        </w:tc>
      </w:tr>
      <w:tr w:rsidR="006A63D0" w14:paraId="3D65DA40" w14:textId="77777777">
        <w:tc>
          <w:tcPr>
            <w:tcW w:w="3009" w:type="dxa"/>
          </w:tcPr>
          <w:p w14:paraId="14CFEABB" w14:textId="77777777" w:rsidR="006A63D0" w:rsidRDefault="005C5514">
            <w:r>
              <w:rPr>
                <w:b/>
                <w:sz w:val="17"/>
              </w:rPr>
              <w:t>Post-resolve audits</w:t>
            </w:r>
          </w:p>
        </w:tc>
        <w:tc>
          <w:tcPr>
            <w:tcW w:w="3009" w:type="dxa"/>
          </w:tcPr>
          <w:p w14:paraId="076CB3EC" w14:textId="77777777" w:rsidR="006A63D0" w:rsidRDefault="005C5514">
            <w:r>
              <w:rPr>
                <w:sz w:val="17"/>
              </w:rPr>
              <w:t>Corollary A: mass balance at physical nodes</w:t>
            </w:r>
          </w:p>
        </w:tc>
        <w:tc>
          <w:tcPr>
            <w:tcW w:w="3009" w:type="dxa"/>
          </w:tcPr>
          <w:p w14:paraId="703F09BF" w14:textId="77777777" w:rsidR="006A63D0" w:rsidRDefault="005C5514">
            <w:r>
              <w:rPr>
                <w:sz w:val="17"/>
              </w:rPr>
              <w:t>v_node_balance_check flags any node where ΔS ≠ P + ΣF_in − C − ΣF_out + B</w:t>
            </w:r>
          </w:p>
        </w:tc>
      </w:tr>
      <w:tr w:rsidR="006A63D0" w14:paraId="3674E642" w14:textId="77777777">
        <w:tc>
          <w:tcPr>
            <w:tcW w:w="3009" w:type="dxa"/>
          </w:tcPr>
          <w:p w14:paraId="07729874" w14:textId="77777777" w:rsidR="006A63D0" w:rsidRDefault="006A63D0"/>
        </w:tc>
        <w:tc>
          <w:tcPr>
            <w:tcW w:w="3009" w:type="dxa"/>
          </w:tcPr>
          <w:p w14:paraId="524F4D64" w14:textId="77777777" w:rsidR="006A63D0" w:rsidRDefault="005C5514">
            <w:r>
              <w:rPr>
                <w:sz w:val="17"/>
              </w:rPr>
              <w:t>Corollary A: cross-check at aggregate level</w:t>
            </w:r>
          </w:p>
        </w:tc>
        <w:tc>
          <w:tcPr>
            <w:tcW w:w="3009" w:type="dxa"/>
          </w:tcPr>
          <w:p w14:paraId="4758D875" w14:textId="77777777" w:rsidR="006A63D0" w:rsidRDefault="005C5514">
            <w:r>
              <w:rPr>
                <w:sz w:val="17"/>
              </w:rPr>
              <w:t>v_aggregation_consistency flags |TS_value − Σ children| over tolerance</w:t>
            </w:r>
          </w:p>
        </w:tc>
      </w:tr>
      <w:tr w:rsidR="006A63D0" w14:paraId="6E79BC49" w14:textId="77777777">
        <w:tc>
          <w:tcPr>
            <w:tcW w:w="3009" w:type="dxa"/>
          </w:tcPr>
          <w:p w14:paraId="3DB23F14" w14:textId="77777777" w:rsidR="006A63D0" w:rsidRDefault="006A63D0"/>
        </w:tc>
        <w:tc>
          <w:tcPr>
            <w:tcW w:w="3009" w:type="dxa"/>
          </w:tcPr>
          <w:p w14:paraId="7A2AB894" w14:textId="77777777" w:rsidR="006A63D0" w:rsidRDefault="005C5514">
            <w:r>
              <w:rPr>
                <w:sz w:val="17"/>
              </w:rPr>
              <w:t>Corollary D-bis: temporal anomalies</w:t>
            </w:r>
          </w:p>
        </w:tc>
        <w:tc>
          <w:tcPr>
            <w:tcW w:w="3009" w:type="dxa"/>
          </w:tcPr>
          <w:p w14:paraId="53F80F8F" w14:textId="77777777" w:rsidR="006A63D0" w:rsidRDefault="005C5514">
            <w:r>
              <w:rPr>
                <w:sz w:val="17"/>
              </w:rPr>
              <w:t>v_resolution_anomalies tags long_locf_run and negative_derived rows for review</w:t>
            </w:r>
          </w:p>
        </w:tc>
      </w:tr>
      <w:tr w:rsidR="006A63D0" w14:paraId="5B3ABAC6" w14:textId="77777777">
        <w:tc>
          <w:tcPr>
            <w:tcW w:w="3009" w:type="dxa"/>
          </w:tcPr>
          <w:p w14:paraId="4F392678" w14:textId="77777777" w:rsidR="006A63D0" w:rsidRDefault="006A63D0"/>
        </w:tc>
        <w:tc>
          <w:tcPr>
            <w:tcW w:w="3009" w:type="dxa"/>
          </w:tcPr>
          <w:p w14:paraId="5E859D70" w14:textId="77777777" w:rsidR="006A63D0" w:rsidRDefault="005C5514">
            <w:r>
              <w:rPr>
                <w:sz w:val="17"/>
              </w:rPr>
              <w:t>Capacity bounds (Section 5.7 extension)</w:t>
            </w:r>
          </w:p>
        </w:tc>
        <w:tc>
          <w:tcPr>
            <w:tcW w:w="3009" w:type="dxa"/>
          </w:tcPr>
          <w:p w14:paraId="46F5B558" w14:textId="77777777" w:rsidR="006A63D0" w:rsidRDefault="005C5514">
            <w:r>
              <w:rPr>
                <w:sz w:val="17"/>
              </w:rPr>
              <w:t>audit_capacity_violations.py compares scenario_resolved_values against v_effective_constraints</w:t>
            </w:r>
          </w:p>
        </w:tc>
      </w:tr>
      <w:tr w:rsidR="006A63D0" w14:paraId="61DC0199" w14:textId="77777777">
        <w:tc>
          <w:tcPr>
            <w:tcW w:w="3009" w:type="dxa"/>
          </w:tcPr>
          <w:p w14:paraId="771C148B" w14:textId="77777777" w:rsidR="006A63D0" w:rsidRDefault="005C5514">
            <w:r>
              <w:rPr>
                <w:b/>
                <w:sz w:val="17"/>
              </w:rPr>
              <w:t>Render HTMLs</w:t>
            </w:r>
          </w:p>
        </w:tc>
        <w:tc>
          <w:tcPr>
            <w:tcW w:w="3009" w:type="dxa"/>
          </w:tcPr>
          <w:p w14:paraId="0B4D17CE" w14:textId="77777777" w:rsidR="006A63D0" w:rsidRDefault="005C5514">
            <w:r>
              <w:rPr>
                <w:sz w:val="17"/>
              </w:rPr>
              <w:t>All axioms and corollaries — read-only verification</w:t>
            </w:r>
          </w:p>
        </w:tc>
        <w:tc>
          <w:tcPr>
            <w:tcW w:w="3009" w:type="dxa"/>
          </w:tcPr>
          <w:p w14:paraId="2796DE54" w14:textId="77777777" w:rsidR="006A63D0" w:rsidRDefault="005C5514">
            <w:r>
              <w:rPr>
                <w:sz w:val="17"/>
              </w:rPr>
              <w:t>NetworkGraph engine + renderers (make_balance_resolver_ui.py and siblings) consume the L4 views directly; no business logic is reimplemented in JS</w:t>
            </w:r>
          </w:p>
        </w:tc>
      </w:tr>
    </w:tbl>
    <w:p w14:paraId="36BCFCFC" w14:textId="77777777" w:rsidR="008E1B31" w:rsidRDefault="005C5514">
      <w:pPr>
        <w:pStyle w:val="Heading1"/>
        <w:pageBreakBefore/>
      </w:pPr>
      <w:r>
        <w:lastRenderedPageBreak/>
        <w:t>8. Linear Programming as a Downstream Consumer</w:t>
      </w:r>
    </w:p>
    <w:p w14:paraId="36BCFCFD" w14:textId="77777777" w:rsidR="008E1B31" w:rsidRDefault="005C5514">
      <w:pPr>
        <w:spacing w:after="160" w:line="320" w:lineRule="auto"/>
        <w:jc w:val="both"/>
      </w:pPr>
      <w:r>
        <w:t>The asset-centric schema, the resolver, and the consistency guarantees of the preceding chapters establish a representational framework. The framework's value depends on what downstream consumers can do with it. This chapter develops one such consumer in detail: a linear programme that takes the resolver's output as input and solves for the latent flows at junction nodes, subject to mass balance, capacity, and the observed values that the framework has resolved.</w:t>
      </w:r>
    </w:p>
    <w:p w14:paraId="36BCFCFE" w14:textId="77777777" w:rsidR="008E1B31" w:rsidRDefault="005C5514">
      <w:pPr>
        <w:spacing w:after="160" w:line="320" w:lineRule="auto"/>
        <w:jc w:val="both"/>
      </w:pPr>
      <w:r>
        <w:t>The choice of linear programming as the lead consumer reflects three considerations. First, LP is the natural model for the latents the framework leaves explicit (Corollary D): junction flows are decision variables, the aggregate constraints are equality rows, and node capacities are inequality rows. Second, LP is well understood, mature, and supported by robust solver infrastructure, so the framework's value can be demonstrated without depending on speculative modelling choices. Third, LP shares its data structure with a broad family of related consumers (multi-period LP, mixed-integer LP, network simplex, and ultimately graph neural networks for forecasting), so the design choices made for LP transfer to those consumers with minimal modification. The last point is developed in Chapter 10 as part of the future-work discussion.</w:t>
      </w:r>
    </w:p>
    <w:p w14:paraId="36BCFCFF" w14:textId="77777777" w:rsidR="008E1B31" w:rsidRDefault="005C5514">
      <w:pPr>
        <w:pStyle w:val="Heading2"/>
      </w:pPr>
      <w:r>
        <w:t>8.1 What the LP takes as input</w:t>
      </w:r>
    </w:p>
    <w:p w14:paraId="36BCFD00" w14:textId="77777777" w:rsidR="008E1B31" w:rsidRDefault="005C5514">
      <w:pPr>
        <w:spacing w:after="160" w:line="320" w:lineRule="auto"/>
        <w:jc w:val="both"/>
      </w:pPr>
      <w:r>
        <w:t>The LP reads from the resolved table and the structural views. Specifically, it consumes four tensors:</w:t>
      </w:r>
    </w:p>
    <w:p w14:paraId="36BCFD01" w14:textId="77777777" w:rsidR="008E1B31" w:rsidRDefault="005C5514">
      <w:pPr>
        <w:spacing w:after="160" w:line="320" w:lineRule="auto"/>
        <w:jc w:val="both"/>
      </w:pPr>
      <w:r>
        <w:rPr>
          <w:b/>
          <w:bCs/>
        </w:rPr>
        <w:t>The node-by-time value matrix.</w:t>
      </w:r>
      <w:r>
        <w:t xml:space="preserve"> Built from </w:t>
      </w:r>
      <w:r>
        <w:rPr>
          <w:rFonts w:ascii="Consolas" w:eastAsia="Consolas" w:hAnsi="Consolas" w:cs="Consolas"/>
        </w:rPr>
        <w:t>scenario_resolved_values</w:t>
      </w:r>
      <w:r>
        <w:t xml:space="preserve"> by pivoting on (variable_id, observation_date). Each row is a variable; each column is a date. Cells contain the resolved value, with NULL where the value is latent or unresolved.</w:t>
      </w:r>
    </w:p>
    <w:p w14:paraId="36BCFD02" w14:textId="77777777" w:rsidR="008E1B31" w:rsidRDefault="005C5514">
      <w:pPr>
        <w:spacing w:after="160" w:line="320" w:lineRule="auto"/>
        <w:jc w:val="both"/>
      </w:pPr>
      <w:r>
        <w:t>The adjacency structure. Built from v_flow_edges. Each row is a directed edge (source node, target node, edge variable). This is the fixed topology that holds across all dates, in accordance with Axiom 2.</w:t>
      </w:r>
    </w:p>
    <w:p w14:paraId="36BCFD03" w14:textId="77777777" w:rsidR="008E1B31" w:rsidRDefault="005C5514">
      <w:pPr>
        <w:spacing w:after="160" w:line="320" w:lineRule="auto"/>
        <w:jc w:val="both"/>
      </w:pPr>
      <w:r>
        <w:rPr>
          <w:b/>
          <w:bCs/>
        </w:rPr>
        <w:t>The constraint structure.</w:t>
      </w:r>
      <w:r>
        <w:t xml:space="preserve"> Built from </w:t>
      </w:r>
      <w:r>
        <w:rPr>
          <w:rFonts w:ascii="Consolas" w:eastAsia="Consolas" w:hAnsi="Consolas" w:cs="Consolas"/>
        </w:rPr>
        <w:t>v_node_balance_check</w:t>
      </w:r>
      <w:r>
        <w:t xml:space="preserve"> (per-node mass balance) and from node-level capacity attributes (refinery throughput capacity, pipeline maximum daily throughput, terminal storage maximum). Mass balance contributes one equality row per (node, date); capacity contributes one inequality row per (capacity-bearing variable, date).</w:t>
      </w:r>
    </w:p>
    <w:p w14:paraId="36BCFD04" w14:textId="77777777" w:rsidR="008E1B31" w:rsidRDefault="005C5514">
      <w:pPr>
        <w:spacing w:after="160" w:line="320" w:lineRule="auto"/>
        <w:jc w:val="both"/>
      </w:pPr>
      <w:r>
        <w:rPr>
          <w:b/>
          <w:bCs/>
        </w:rPr>
        <w:t>The objective coefficients.</w:t>
      </w:r>
      <w:r>
        <w:t xml:space="preserve"> Supplied by the modeller. Different applications produce different objectives (cost minimisation under a freight-rate matrix, capacity-utilisation maximisation, target-stock pursuit), and the framework is agnostic to which objective is chosen. The LP exporter prepares the data; the modeller specifies the objective.</w:t>
      </w:r>
    </w:p>
    <w:p w14:paraId="36BCFD05" w14:textId="77777777" w:rsidR="008E1B31" w:rsidRDefault="005C5514">
      <w:pPr>
        <w:spacing w:after="160" w:line="320" w:lineRule="auto"/>
        <w:jc w:val="both"/>
      </w:pPr>
      <w:r>
        <w:t xml:space="preserve">The LP's decision variables are the latent rows in the value matrix — the cells where the resolved value is NULL with </w:t>
      </w:r>
      <w:r>
        <w:rPr>
          <w:rFonts w:ascii="Consolas" w:eastAsia="Consolas" w:hAnsi="Consolas" w:cs="Consolas"/>
        </w:rPr>
        <w:t>source = 'latent'</w:t>
      </w:r>
      <w:r>
        <w:t xml:space="preserve">. Observed and derived cells are constants. </w:t>
      </w:r>
      <w:r>
        <w:lastRenderedPageBreak/>
        <w:t>Unresolved cells (which should not occur in a healthy run, by Section 7.6) are treated as errors and halt the export.</w:t>
      </w:r>
    </w:p>
    <w:p w14:paraId="36BCFD06" w14:textId="77777777" w:rsidR="008E1B31" w:rsidRDefault="005C5514">
      <w:pPr>
        <w:pStyle w:val="Heading2"/>
      </w:pPr>
      <w:r>
        <w:t>8.2 Mass balance as LP rows</w:t>
      </w:r>
    </w:p>
    <w:p w14:paraId="36BCFD07" w14:textId="77777777" w:rsidR="008E1B31" w:rsidRDefault="005C5514">
      <w:pPr>
        <w:spacing w:after="160" w:line="320" w:lineRule="auto"/>
        <w:jc w:val="both"/>
      </w:pPr>
      <w:r>
        <w:t>For each node i, each commodity g, and each observation date t, the mass balance equation from Corollary A contributes one equality row to the LP:</w:t>
      </w:r>
    </w:p>
    <w:p w14:paraId="36BCFD08" w14:textId="77777777" w:rsidR="008E1B31" w:rsidRDefault="005C5514">
      <w:pPr>
        <w:spacing w:after="160" w:line="320" w:lineRule="auto"/>
        <w:jc w:val="both"/>
      </w:pPr>
      <w:r>
        <w:t>P(i, g, t) + F_in(i, g, t) − C(i, g, t) − F_out(i, g, t) + B(i, g, t) − ΔS(i, g, t) = 0</w:t>
      </w:r>
    </w:p>
    <w:p w14:paraId="36BCFD09" w14:textId="77777777" w:rsidR="008E1B31" w:rsidRDefault="005C5514">
      <w:pPr>
        <w:spacing w:after="160" w:line="320" w:lineRule="auto"/>
        <w:jc w:val="both"/>
      </w:pPr>
      <w:r>
        <w:t>Substituting the relational variables in terms of their per-edge components:</w:t>
      </w:r>
    </w:p>
    <w:p w14:paraId="36BCFD0A" w14:textId="77777777" w:rsidR="008E1B31" w:rsidRDefault="005C5514">
      <w:pPr>
        <w:spacing w:after="160" w:line="320" w:lineRule="auto"/>
        <w:jc w:val="both"/>
      </w:pPr>
      <w:r>
        <w:t>P(i, g, t) + Σ_{j ∈ N_in(i)} ϕ(j, i, g, t) − C(i, g, t) − Σ_{k ∈ N_out(i)} ϕ(i, k, g, t) + B(i, g, t) − ΔS(i, g, t) = 0</w:t>
      </w:r>
    </w:p>
    <w:p w14:paraId="36BCFD0B" w14:textId="77777777" w:rsidR="008E1B31" w:rsidRDefault="005C5514">
      <w:pPr>
        <w:spacing w:after="160" w:line="320" w:lineRule="auto"/>
        <w:jc w:val="both"/>
      </w:pPr>
      <w:r>
        <w:t>where ϕ(j, i, g, t) is the per-edge flow from j to i on commodity g at date t, and N_in(i), N_out(i) are the predecessor and successor sets of i in the flow topology.</w:t>
      </w:r>
    </w:p>
    <w:p w14:paraId="36BCFD0C" w14:textId="77777777" w:rsidR="008E1B31" w:rsidRDefault="005C5514">
      <w:pPr>
        <w:spacing w:after="160" w:line="320" w:lineRule="auto"/>
        <w:jc w:val="both"/>
      </w:pPr>
      <w:r>
        <w:t xml:space="preserve">The structure of the row depends on which terms are constants (resolved values) and which are decision variables (latents). At a junction node such as </w:t>
      </w:r>
      <w:r>
        <w:rPr>
          <w:rFonts w:ascii="Consolas" w:eastAsia="Consolas" w:hAnsi="Consolas" w:cs="Consolas"/>
        </w:rPr>
        <w:t>permian_tx</w:t>
      </w:r>
      <w:r>
        <w:t xml:space="preserve"> with observed production but latent outflows, the row becomes:</w:t>
      </w:r>
    </w:p>
    <w:p w14:paraId="36BCFD0D" w14:textId="77777777" w:rsidR="008E1B31" w:rsidRDefault="005C5514">
      <w:pPr>
        <w:spacing w:after="160" w:line="320" w:lineRule="auto"/>
        <w:jc w:val="both"/>
      </w:pPr>
      <w:r>
        <w:t>[constant: P_permian_tx] − Σ_k ϕ(permian_tx, k) = 0</w:t>
      </w:r>
    </w:p>
    <w:p w14:paraId="36BCFD0E" w14:textId="77777777" w:rsidR="008E1B31" w:rsidRDefault="005C5514">
      <w:pPr>
        <w:spacing w:after="160" w:line="320" w:lineRule="auto"/>
        <w:jc w:val="both"/>
      </w:pPr>
      <w:r>
        <w:t>with the three ϕ terms (the outflows to Midland, Wink, and Crane terminals) as decision variables. The LP solver finds values for the three ϕ terms that satisfy the equality, subject to the additional constraints described below.</w:t>
      </w:r>
    </w:p>
    <w:p w14:paraId="36BCFD0F" w14:textId="77777777" w:rsidR="008E1B31" w:rsidRDefault="005C5514">
      <w:pPr>
        <w:spacing w:after="160" w:line="320" w:lineRule="auto"/>
        <w:jc w:val="both"/>
      </w:pPr>
      <w:r>
        <w:t xml:space="preserve">For pass-through node types (gathering, pipeline, import and export terminals, foreign aggregates), the defaults from </w:t>
      </w:r>
      <w:r>
        <w:rPr>
          <w:rFonts w:ascii="Consolas" w:eastAsia="Consolas" w:hAnsi="Consolas" w:cs="Consolas"/>
        </w:rPr>
        <w:t>node_type_default_formulas</w:t>
      </w:r>
      <w:r>
        <w:t xml:space="preserve"> give P = C = ΔS = B = 0, and the mass balance reduces to:</w:t>
      </w:r>
    </w:p>
    <w:p w14:paraId="36BCFD10" w14:textId="77777777" w:rsidR="008E1B31" w:rsidRDefault="005C5514">
      <w:pPr>
        <w:spacing w:after="160" w:line="320" w:lineRule="auto"/>
        <w:jc w:val="both"/>
      </w:pPr>
      <w:r>
        <w:t>Σ_{j ∈ N_in(i)} ϕ(j, i, g, t) − Σ_{k ∈ N_out(i)} ϕ(i, k, g, t) = 0</w:t>
      </w:r>
    </w:p>
    <w:p w14:paraId="36BCFD11" w14:textId="77777777" w:rsidR="008E1B31" w:rsidRDefault="005C5514">
      <w:pPr>
        <w:spacing w:after="160" w:line="320" w:lineRule="auto"/>
        <w:jc w:val="both"/>
      </w:pPr>
      <w:r>
        <w:t>This is the conservation-of-flow constraint that network simplex and minimum-cost-flow solvers expect. The framework produces it without special handling, because the pass-through defaults emerge from the node type alone.</w:t>
      </w:r>
    </w:p>
    <w:p w14:paraId="36BCFD12" w14:textId="77777777" w:rsidR="008E1B31" w:rsidRDefault="005C5514">
      <w:pPr>
        <w:pStyle w:val="Heading2"/>
      </w:pPr>
      <w:r>
        <w:t>8.3 Capacity as LP rows</w:t>
      </w:r>
    </w:p>
    <w:p w14:paraId="36BCFD13" w14:textId="77777777" w:rsidR="008E1B31" w:rsidRDefault="005C5514">
      <w:pPr>
        <w:spacing w:after="160" w:line="320" w:lineRule="auto"/>
        <w:jc w:val="both"/>
      </w:pPr>
      <w:r>
        <w:t>For each capacity-bearing variable and each date, the LP includes an inequality row enforcing the variable's value (or sum of values, in the multi-edge case) to be at most the capacity limit:</w:t>
      </w:r>
    </w:p>
    <w:p w14:paraId="36BCFD14" w14:textId="77777777" w:rsidR="008E1B31" w:rsidRDefault="005C5514">
      <w:pPr>
        <w:spacing w:after="160" w:line="320" w:lineRule="auto"/>
        <w:jc w:val="both"/>
      </w:pPr>
      <w:r>
        <w:t>ϕ(i, j, g, t) ≤ capacity(i, j) for each pipeline edge</w:t>
      </w:r>
    </w:p>
    <w:p w14:paraId="36BCFD15" w14:textId="77777777" w:rsidR="008E1B31" w:rsidRDefault="005C5514">
      <w:pPr>
        <w:spacing w:after="160" w:line="320" w:lineRule="auto"/>
        <w:jc w:val="both"/>
      </w:pPr>
      <w:r>
        <w:t>ΣC(i, g, t) over all crude grades ≤ throughput_capacity(i) for each refinery</w:t>
      </w:r>
    </w:p>
    <w:p w14:paraId="36BCFD16" w14:textId="77777777" w:rsidR="008E1B31" w:rsidRDefault="005C5514">
      <w:pPr>
        <w:spacing w:after="160" w:line="320" w:lineRule="auto"/>
        <w:jc w:val="both"/>
      </w:pPr>
      <w:r>
        <w:t>S(i, g, t) ≤ storage_capacity(i) for each storage node</w:t>
      </w:r>
    </w:p>
    <w:p w14:paraId="36BCFD17" w14:textId="77777777" w:rsidR="008E1B31" w:rsidRDefault="005C5514">
      <w:pPr>
        <w:spacing w:after="160" w:line="320" w:lineRule="auto"/>
        <w:jc w:val="both"/>
      </w:pPr>
      <w:r>
        <w:lastRenderedPageBreak/>
        <w:t xml:space="preserve">The capacity values themselves are static attributes on the nodes (in the </w:t>
      </w:r>
      <w:r>
        <w:rPr>
          <w:rFonts w:ascii="Consolas" w:eastAsia="Consolas" w:hAnsi="Consolas" w:cs="Consolas"/>
        </w:rPr>
        <w:t>assets</w:t>
      </w:r>
      <w:r>
        <w:t xml:space="preserve"> table for pipelines and refineries, in node-specific columns for terminals). They are not time-varying in the current scenario; future extensions could re-bind them to time-series sources when capacity-expansion data becomes available, with no schema change required.</w:t>
      </w:r>
    </w:p>
    <w:p w14:paraId="36BCFD18" w14:textId="77777777" w:rsidR="008E1B31" w:rsidRDefault="005C5514">
      <w:pPr>
        <w:spacing w:after="160" w:line="320" w:lineRule="auto"/>
        <w:jc w:val="both"/>
      </w:pPr>
      <w:r>
        <w:t>Lower bounds at zero are implicit for all flow variables (flows are physically non-negative under the directed-edge convention of Axiom 6). The LP solver enforces non-negativity by default.</w:t>
      </w:r>
    </w:p>
    <w:p w14:paraId="36BCFD19" w14:textId="77777777" w:rsidR="008E1B31" w:rsidRDefault="005C5514">
      <w:pPr>
        <w:pStyle w:val="Heading2"/>
      </w:pPr>
      <w:r>
        <w:t>8.4 The Permian fan-out: a worked example</w:t>
      </w:r>
    </w:p>
    <w:p w14:paraId="36BCFD1A" w14:textId="77777777" w:rsidR="008E1B31" w:rsidRDefault="005C5514">
      <w:pPr>
        <w:spacing w:after="160" w:line="320" w:lineRule="auto"/>
        <w:jc w:val="both"/>
      </w:pPr>
      <w:r>
        <w:t xml:space="preserve">The clearest illustration of the LP's role in the framework is the Permian outflow problem. The node </w:t>
      </w:r>
      <w:r>
        <w:rPr>
          <w:rFonts w:ascii="Consolas" w:eastAsia="Consolas" w:hAnsi="Consolas" w:cs="Consolas"/>
        </w:rPr>
        <w:t>permian_tx</w:t>
      </w:r>
      <w:r>
        <w:t xml:space="preserve"> has observed production of approximately 4,300 kbd in a recent month. It connects to three origin terminals (</w:t>
      </w:r>
      <w:r>
        <w:rPr>
          <w:rFonts w:ascii="Consolas" w:eastAsia="Consolas" w:hAnsi="Consolas" w:cs="Consolas"/>
        </w:rPr>
        <w:t>midland_terminal</w:t>
      </w:r>
      <w:r>
        <w:t xml:space="preserve">, </w:t>
      </w:r>
      <w:r>
        <w:rPr>
          <w:rFonts w:ascii="Consolas" w:eastAsia="Consolas" w:hAnsi="Consolas" w:cs="Consolas"/>
        </w:rPr>
        <w:t>wink_terminal</w:t>
      </w:r>
      <w:r>
        <w:t xml:space="preserve">, </w:t>
      </w:r>
      <w:r>
        <w:rPr>
          <w:rFonts w:ascii="Consolas" w:eastAsia="Consolas" w:hAnsi="Consolas" w:cs="Consolas"/>
        </w:rPr>
        <w:t>crane_terminal</w:t>
      </w:r>
      <w:r>
        <w:t xml:space="preserve">) whose individual receipts from Permian are not publicly reported. The three outflow variables are declared latent in the resolved table; their sum is constrained by the observed production at </w:t>
      </w:r>
      <w:r>
        <w:rPr>
          <w:rFonts w:ascii="Consolas" w:eastAsia="Consolas" w:hAnsi="Consolas" w:cs="Consolas"/>
        </w:rPr>
        <w:t>permian_tx</w:t>
      </w:r>
      <w:r>
        <w:t>.</w:t>
      </w:r>
    </w:p>
    <w:p w14:paraId="36BCFD1B" w14:textId="77777777" w:rsidR="008E1B31" w:rsidRDefault="005C5514">
      <w:pPr>
        <w:spacing w:after="160" w:line="320" w:lineRule="auto"/>
        <w:jc w:val="both"/>
      </w:pPr>
      <w:r>
        <w:t>Translating this directly into LP form:</w:t>
      </w:r>
    </w:p>
    <w:p w14:paraId="36BCFD1C" w14:textId="77777777" w:rsidR="008E1B31" w:rsidRDefault="005C5514">
      <w:pPr>
        <w:spacing w:after="160" w:line="320" w:lineRule="auto"/>
        <w:jc w:val="both"/>
      </w:pPr>
      <w:r>
        <w:rPr>
          <w:b/>
          <w:bCs/>
        </w:rPr>
        <w:t>Decision variables:</w:t>
      </w:r>
    </w:p>
    <w:p w14:paraId="36BCFD1D" w14:textId="77777777" w:rsidR="008E1B31" w:rsidRDefault="005C5514">
      <w:pPr>
        <w:pStyle w:val="ListParagraph"/>
        <w:numPr>
          <w:ilvl w:val="0"/>
          <w:numId w:val="2"/>
        </w:numPr>
        <w:spacing w:after="80" w:line="320" w:lineRule="auto"/>
        <w:jc w:val="both"/>
      </w:pPr>
      <w:r>
        <w:t>ϕ_M = outflow from permian_tx to midland_terminal</w:t>
      </w:r>
    </w:p>
    <w:p w14:paraId="36BCFD1E" w14:textId="77777777" w:rsidR="008E1B31" w:rsidRDefault="005C5514">
      <w:pPr>
        <w:pStyle w:val="ListParagraph"/>
        <w:numPr>
          <w:ilvl w:val="0"/>
          <w:numId w:val="2"/>
        </w:numPr>
        <w:spacing w:after="80" w:line="320" w:lineRule="auto"/>
        <w:jc w:val="both"/>
      </w:pPr>
      <w:r>
        <w:t>ϕ_W = outflow from permian_tx to wink_terminal</w:t>
      </w:r>
    </w:p>
    <w:p w14:paraId="36BCFD1F" w14:textId="77777777" w:rsidR="008E1B31" w:rsidRDefault="005C5514">
      <w:pPr>
        <w:pStyle w:val="ListParagraph"/>
        <w:numPr>
          <w:ilvl w:val="0"/>
          <w:numId w:val="2"/>
        </w:numPr>
        <w:spacing w:after="80" w:line="320" w:lineRule="auto"/>
        <w:jc w:val="both"/>
      </w:pPr>
      <w:r>
        <w:t>ϕ_C = outflow from permian_tx to crane_terminal</w:t>
      </w:r>
    </w:p>
    <w:p w14:paraId="36BCFD20" w14:textId="77777777" w:rsidR="008E1B31" w:rsidRDefault="005C5514">
      <w:pPr>
        <w:spacing w:after="80"/>
      </w:pPr>
      <w:r>
        <w:rPr>
          <w:sz w:val="12"/>
          <w:szCs w:val="12"/>
        </w:rPr>
        <w:t xml:space="preserve"> </w:t>
      </w:r>
    </w:p>
    <w:p w14:paraId="36BCFD21" w14:textId="77777777" w:rsidR="008E1B31" w:rsidRDefault="005C5514">
      <w:pPr>
        <w:spacing w:after="160" w:line="320" w:lineRule="auto"/>
        <w:jc w:val="both"/>
      </w:pPr>
      <w:r>
        <w:rPr>
          <w:b/>
          <w:bCs/>
        </w:rPr>
        <w:t>Equality constraint (mass balance at permian_tx):</w:t>
      </w:r>
    </w:p>
    <w:p w14:paraId="36BCFD22" w14:textId="77777777" w:rsidR="008E1B31" w:rsidRDefault="005C5514">
      <w:pPr>
        <w:spacing w:after="160" w:line="320" w:lineRule="auto"/>
        <w:jc w:val="both"/>
      </w:pPr>
      <w:r>
        <w:t>ϕ_M + ϕ_W + ϕ_C = 4,300</w:t>
      </w:r>
    </w:p>
    <w:p w14:paraId="36BCFD23" w14:textId="77777777" w:rsidR="008E1B31" w:rsidRDefault="005C5514">
      <w:pPr>
        <w:spacing w:after="160" w:line="320" w:lineRule="auto"/>
        <w:jc w:val="both"/>
      </w:pPr>
      <w:r>
        <w:t>(The right-hand side is the observed production; for the pass-through node, all other terms in the mass balance are zero.)</w:t>
      </w:r>
    </w:p>
    <w:p w14:paraId="36BCFD24" w14:textId="77777777" w:rsidR="008E1B31" w:rsidRDefault="005C5514">
      <w:pPr>
        <w:spacing w:after="160" w:line="320" w:lineRule="auto"/>
        <w:jc w:val="both"/>
      </w:pPr>
      <w:r>
        <w:rPr>
          <w:b/>
          <w:bCs/>
        </w:rPr>
        <w:t>Inequality constraints (capacity at each origin terminal):</w:t>
      </w:r>
    </w:p>
    <w:p w14:paraId="36BCFD25" w14:textId="77777777" w:rsidR="008E1B31" w:rsidRDefault="005C5514">
      <w:pPr>
        <w:spacing w:after="160" w:line="320" w:lineRule="auto"/>
        <w:jc w:val="both"/>
      </w:pPr>
      <w:r>
        <w:t>ϕ_M ≤ capacity_M (approximately 2,400 kbd inflow capacity at Midland) ϕ_W ≤ capacity_W (approximately 1,500 kbd at Wink) ϕ_C ≤ capacity_C (approximately 800 kbd at Crane)</w:t>
      </w:r>
    </w:p>
    <w:p w14:paraId="36BCFD26" w14:textId="77777777" w:rsidR="008E1B31" w:rsidRDefault="005C5514">
      <w:pPr>
        <w:spacing w:after="160" w:line="320" w:lineRule="auto"/>
        <w:jc w:val="both"/>
      </w:pPr>
      <w:r>
        <w:rPr>
          <w:b/>
          <w:bCs/>
        </w:rPr>
        <w:t>Downstream propagation.</w:t>
      </w:r>
      <w:r>
        <w:t xml:space="preserve"> Each origin terminal is itself a pass-through node with its own outflows to downstream pipelines (Gray Oak, Cactus II, EPIC, Wink-to-Webster, and others), each of which is also latent. The mass-balance equality at each terminal becomes another equality row in the LP, with its incoming flow from Permian as a decision variable and its outgoing flows to the downstream pipelines as further decision variables. The pattern continues down to the destination nodes (Gulf Coast refineries and export terminals), where flows merge back into observed totals.</w:t>
      </w:r>
    </w:p>
    <w:p w14:paraId="36BCFD27" w14:textId="77777777" w:rsidR="008E1B31" w:rsidRDefault="005C5514">
      <w:pPr>
        <w:spacing w:after="160" w:line="320" w:lineRule="auto"/>
        <w:jc w:val="both"/>
      </w:pPr>
      <w:r>
        <w:rPr>
          <w:b/>
          <w:bCs/>
        </w:rPr>
        <w:lastRenderedPageBreak/>
        <w:t>The objective.</w:t>
      </w:r>
      <w:r>
        <w:t xml:space="preserve"> Without an objective function the LP is under-determined: many combinations of (ϕ_M, ϕ_W, ϕ_C) satisfy the equality and capacity constraints. The modeller chooses an objective appropriate to the application. Three illustrative choices:</w:t>
      </w:r>
    </w:p>
    <w:p w14:paraId="36BCFD28" w14:textId="77777777" w:rsidR="008E1B31" w:rsidRDefault="005C5514">
      <w:pPr>
        <w:spacing w:after="160" w:line="320" w:lineRule="auto"/>
        <w:jc w:val="both"/>
      </w:pPr>
      <w:r>
        <w:rPr>
          <w:i/>
          <w:iCs/>
        </w:rPr>
        <w:t>Capacity-proportional allocation as a baseline.</w:t>
      </w:r>
      <w:r>
        <w:t xml:space="preserve"> Minimise the maximum-utilisation deviation across the three terminals, which has the effect of distributing flow proportionally to capacity. This produces a "fair" allocation that respects relative capacities without committing to a specific cost model.</w:t>
      </w:r>
    </w:p>
    <w:p w14:paraId="36BCFD29" w14:textId="77777777" w:rsidR="008E1B31" w:rsidRDefault="005C5514">
      <w:pPr>
        <w:spacing w:after="160" w:line="320" w:lineRule="auto"/>
        <w:jc w:val="both"/>
      </w:pPr>
      <w:r>
        <w:rPr>
          <w:i/>
          <w:iCs/>
        </w:rPr>
        <w:t>Cost minimisation.</w:t>
      </w:r>
      <w:r>
        <w:t xml:space="preserve"> Each terminal-to-destination route carries a tariff. Minimising the sum of (flow × tariff) across all routes produces the lowest-cost flow pattern that satisfies the constraints. The tariff matrix is exogenous data not currently in the framework, so this objective requires an additional data source.</w:t>
      </w:r>
    </w:p>
    <w:p w14:paraId="36BCFD2A" w14:textId="77777777" w:rsidR="008E1B31" w:rsidRDefault="005C5514">
      <w:pPr>
        <w:spacing w:after="160" w:line="320" w:lineRule="auto"/>
        <w:jc w:val="both"/>
      </w:pPr>
      <w:r>
        <w:rPr>
          <w:i/>
          <w:iCs/>
        </w:rPr>
        <w:t>Match-known-aggregates.</w:t>
      </w:r>
      <w:r>
        <w:t xml:space="preserve"> When downstream aggregates are observed (such as Gulf Coast export totals to specific destinations), the objective minimises the distance between predicted and observed downstream values, producing an allocation that is consistent with all observed aggregates simultaneously.</w:t>
      </w:r>
    </w:p>
    <w:p w14:paraId="36BCFD2B" w14:textId="77777777" w:rsidR="008E1B31" w:rsidRDefault="005C5514">
      <w:pPr>
        <w:spacing w:after="160" w:line="320" w:lineRule="auto"/>
        <w:jc w:val="both"/>
      </w:pPr>
      <w:r>
        <w:t>The framework is agnostic to the choice of objective. What it provides is the structure: the decision variables, the equality rows from mass balance, the inequality rows from capacity, the constants from observed and derived values. The objective is the modeller's commitment, not the framework's.</w:t>
      </w:r>
    </w:p>
    <w:p w14:paraId="36BCFD2C" w14:textId="77777777" w:rsidR="008E1B31" w:rsidRDefault="005C5514">
      <w:pPr>
        <w:pStyle w:val="Heading2"/>
      </w:pPr>
      <w:r>
        <w:t>8.5 Multi-period LP</w:t>
      </w:r>
    </w:p>
    <w:p w14:paraId="36BCFD2D" w14:textId="77777777" w:rsidR="008E1B31" w:rsidRDefault="005C5514">
      <w:pPr>
        <w:spacing w:after="160" w:line="320" w:lineRule="auto"/>
        <w:jc w:val="both"/>
      </w:pPr>
      <w:r>
        <w:t>A single-period LP allocates flows for one observation date. The framework supports multi-period LP straightforwardly by repeating the per-period structure across dates and adding inter-period coupling constraints. The dominant coupling is through inventory: the stock at node i at the end of period t equals the stock at the end of period t−1 plus the period's net inflow minus the period's net outflow.</w:t>
      </w:r>
    </w:p>
    <w:p w14:paraId="36BCFD2E" w14:textId="77777777" w:rsidR="008E1B31" w:rsidRDefault="005C5514">
      <w:pPr>
        <w:spacing w:after="160" w:line="320" w:lineRule="auto"/>
        <w:jc w:val="both"/>
      </w:pPr>
      <w:r>
        <w:t>The discrete-time inventory dynamics from Corollary A become an LP equality:</w:t>
      </w:r>
    </w:p>
    <w:p w14:paraId="36BCFD2F" w14:textId="77777777" w:rsidR="008E1B31" w:rsidRDefault="005C5514">
      <w:pPr>
        <w:spacing w:after="160" w:line="320" w:lineRule="auto"/>
        <w:jc w:val="both"/>
      </w:pPr>
      <w:r>
        <w:t>S(i, g, t) = S(i, g, t − 1) + P(i, g, t) + Σ_j ϕ(j, i, g, t − τ(j,i)) − C(i, g, t) − Σ_k ϕ(i, k, g, t) + B(i, g, t)</w:t>
      </w:r>
    </w:p>
    <w:p w14:paraId="36BCFD30" w14:textId="77777777" w:rsidR="008E1B31" w:rsidRDefault="005C5514">
      <w:pPr>
        <w:spacing w:after="160" w:line="320" w:lineRule="auto"/>
        <w:jc w:val="both"/>
      </w:pPr>
      <w:r>
        <w:t>The transit-time terms τ(j, i) make the LP dynamic: a flow that leaves node j at date t arrives at node i at date t + τ. For pipelines with multi-day transit (most U.S. inter-PADD pipelines have transit times of three to seven days; vessel routes are longer), this lag is operationally meaningful. The current framework stores τ as an edge attribute; the multi-period LP consumes it directly.</w:t>
      </w:r>
    </w:p>
    <w:p w14:paraId="36BCFD31" w14:textId="77777777" w:rsidR="008E1B31" w:rsidRDefault="005C5514">
      <w:pPr>
        <w:spacing w:after="160" w:line="320" w:lineRule="auto"/>
        <w:jc w:val="both"/>
      </w:pPr>
      <w:r>
        <w:t xml:space="preserve">The starter scenario operates at monthly granularity, so transit times of less than one month are effectively zero from the LP's perspective. A finer-granularity scenario (weekly or daily) would make the transit-time coupling consequential. The framework supports both </w:t>
      </w:r>
      <w:r>
        <w:lastRenderedPageBreak/>
        <w:t>granularities without schema modification, since the temporal resolution is a property of the time series, not of the structure.</w:t>
      </w:r>
    </w:p>
    <w:p w14:paraId="36BCFD32" w14:textId="77777777" w:rsidR="008E1B31" w:rsidRDefault="005C5514">
      <w:pPr>
        <w:pStyle w:val="Heading2"/>
      </w:pPr>
      <w:r>
        <w:t>8.6 What the framework does for the LP modeller</w:t>
      </w:r>
    </w:p>
    <w:p w14:paraId="36BCFD33" w14:textId="77777777" w:rsidR="008E1B31" w:rsidRDefault="005C5514">
      <w:pPr>
        <w:spacing w:after="160" w:line="320" w:lineRule="auto"/>
        <w:jc w:val="both"/>
      </w:pPr>
      <w:r>
        <w:t>The LP exporter in the framework is a thin layer: it reads the resolved table and the structural views, formats the data in the input format of a standard LP solver (CPLEX, Gurobi, or HiGHS), and hands off. Most of the work the LP exporter does not have to do is the work the framework has already done. Specifically, the modeller does not need to:</w:t>
      </w:r>
    </w:p>
    <w:p w14:paraId="36BCFD34" w14:textId="77777777" w:rsidR="008E1B31" w:rsidRDefault="005C5514">
      <w:pPr>
        <w:spacing w:after="160" w:line="320" w:lineRule="auto"/>
        <w:jc w:val="both"/>
      </w:pPr>
      <w:r>
        <w:rPr>
          <w:b/>
          <w:bCs/>
        </w:rPr>
        <w:t>Reconstruct the topology.</w:t>
      </w:r>
      <w:r>
        <w:t xml:space="preserve"> The directed flow edges are in </w:t>
      </w:r>
      <w:r>
        <w:rPr>
          <w:rFonts w:ascii="Consolas" w:eastAsia="Consolas" w:hAnsi="Consolas" w:cs="Consolas"/>
        </w:rPr>
        <w:t>v_flow_edges</w:t>
      </w:r>
      <w:r>
        <w:t xml:space="preserve"> and have been there since the asset graph was loaded. No edge construction code is needed in the LP exporter.</w:t>
      </w:r>
    </w:p>
    <w:p w14:paraId="36BCFD35" w14:textId="77777777" w:rsidR="008E1B31" w:rsidRDefault="005C5514">
      <w:pPr>
        <w:spacing w:after="160" w:line="320" w:lineRule="auto"/>
        <w:jc w:val="both"/>
      </w:pPr>
      <w:r>
        <w:rPr>
          <w:b/>
          <w:bCs/>
        </w:rPr>
        <w:t>Disambiguate observed from derived from latent.</w:t>
      </w:r>
      <w:r>
        <w:t xml:space="preserve"> The resolver has already done this and recorded the result in the </w:t>
      </w:r>
      <w:r>
        <w:rPr>
          <w:rFonts w:ascii="Consolas" w:eastAsia="Consolas" w:hAnsi="Consolas" w:cs="Consolas"/>
        </w:rPr>
        <w:t>source</w:t>
      </w:r>
      <w:r>
        <w:t xml:space="preserve"> column. The exporter reads the column directly.</w:t>
      </w:r>
    </w:p>
    <w:p w14:paraId="36BCFD36" w14:textId="77777777" w:rsidR="008E1B31" w:rsidRDefault="005C5514">
      <w:pPr>
        <w:spacing w:after="160" w:line="320" w:lineRule="auto"/>
        <w:jc w:val="both"/>
      </w:pPr>
      <w:r>
        <w:rPr>
          <w:b/>
          <w:bCs/>
        </w:rPr>
        <w:t>Detect double-counting.</w:t>
      </w:r>
      <w:r>
        <w:t xml:space="preserve"> The framework's single-attribution invariants (Section 7.1) guarantee that no value is double-counted. The exporter does not need to run de-duplication checks.</w:t>
      </w:r>
    </w:p>
    <w:p w14:paraId="36BCFD37" w14:textId="77777777" w:rsidR="008E1B31" w:rsidRDefault="005C5514">
      <w:pPr>
        <w:spacing w:after="160" w:line="320" w:lineRule="auto"/>
        <w:jc w:val="both"/>
      </w:pPr>
      <w:r>
        <w:rPr>
          <w:b/>
          <w:bCs/>
        </w:rPr>
        <w:t>Handle multi-resolution data.</w:t>
      </w:r>
      <w:r>
        <w:t xml:space="preserve"> The framework has already aggregated to the resolution levels at which each variable is authoritative. The exporter sees a uniform tensor, not a patchwork of mixed-granularity inputs.</w:t>
      </w:r>
    </w:p>
    <w:p w14:paraId="36BCFD38" w14:textId="77777777" w:rsidR="008E1B31" w:rsidRDefault="005C5514">
      <w:pPr>
        <w:spacing w:after="160" w:line="320" w:lineRule="auto"/>
        <w:jc w:val="both"/>
      </w:pPr>
      <w:r>
        <w:rPr>
          <w:b/>
          <w:bCs/>
        </w:rPr>
        <w:t>Reconcile reporting boundaries.</w:t>
      </w:r>
      <w:r>
        <w:t xml:space="preserve"> The balancing item B absorbs the residual at every node where it is observed; where B is closure-derived, the residual sits in the closure formula. Either way, the mass balance closes by construction at every node the framework knows about. The exporter does not need to re-do the reconciliation.</w:t>
      </w:r>
    </w:p>
    <w:p w14:paraId="36BCFD39" w14:textId="77777777" w:rsidR="008E1B31" w:rsidRDefault="005C5514">
      <w:pPr>
        <w:spacing w:after="160" w:line="320" w:lineRule="auto"/>
        <w:jc w:val="both"/>
      </w:pPr>
      <w:r>
        <w:t>These five non-tasks are the framework's contribution. They are not trivial in their absence: in the practitioner workflow that the framework replaces, each of them is typically handled in Excel or pandas by a series of hand-coded allocation rules, with a residual "adjustment" term absorbing whatever does not balance at the end. The framework moves all of this work upstream of the LP, so that the LP itself sees a clean, internally consistent input.</w:t>
      </w:r>
    </w:p>
    <w:p w14:paraId="36BCFD3A" w14:textId="77777777" w:rsidR="008E1B31" w:rsidRDefault="005C5514">
      <w:pPr>
        <w:pStyle w:val="Heading2"/>
      </w:pPr>
      <w:r>
        <w:t>8.7 What the framework leaves to the LP modeller</w:t>
      </w:r>
    </w:p>
    <w:p w14:paraId="36BCFD3B" w14:textId="77777777" w:rsidR="008E1B31" w:rsidRDefault="005C5514">
      <w:pPr>
        <w:spacing w:after="160" w:line="320" w:lineRule="auto"/>
        <w:jc w:val="both"/>
      </w:pPr>
      <w:r>
        <w:t>The boundary is equally important. The framework does not commit to a specific LP objective, a specific solver, a specific time horizon, or a specific application. Several modelling concerns sit outside the framework and require the modeller's judgement:</w:t>
      </w:r>
    </w:p>
    <w:p w14:paraId="36BCFD3C" w14:textId="77777777" w:rsidR="008E1B31" w:rsidRDefault="005C5514">
      <w:pPr>
        <w:spacing w:after="160" w:line="320" w:lineRule="auto"/>
        <w:jc w:val="both"/>
      </w:pPr>
      <w:r>
        <w:rPr>
          <w:b/>
          <w:bCs/>
        </w:rPr>
        <w:t>The objective function.</w:t>
      </w:r>
      <w:r>
        <w:t xml:space="preserve"> Cost minimisation, capacity-utilisation maximisation, target-stock pursuit, robust optimisation under demand uncertainty — each is a legitimate choice for different applications, and the framework does not privilege any. The objective rows of the LP </w:t>
      </w:r>
      <w:r>
        <w:lastRenderedPageBreak/>
        <w:t>are constructed from data the framework does not currently host (freight rates, holding costs, demand forecasts).</w:t>
      </w:r>
    </w:p>
    <w:p w14:paraId="36BCFD3D" w14:textId="77777777" w:rsidR="008E1B31" w:rsidRDefault="005C5514">
      <w:pPr>
        <w:spacing w:after="160" w:line="320" w:lineRule="auto"/>
        <w:jc w:val="both"/>
      </w:pPr>
      <w:r>
        <w:rPr>
          <w:b/>
          <w:bCs/>
        </w:rPr>
        <w:t>The treatment of uncertainty.</w:t>
      </w:r>
      <w:r>
        <w:t xml:space="preserve"> The current framework operates on deterministic resolved values. A stochastic LP that treats production or demand as random would need to define the scenarios over which it optimises; the framework's </w:t>
      </w:r>
      <w:r>
        <w:rPr>
          <w:rFonts w:ascii="Consolas" w:eastAsia="Consolas" w:hAnsi="Consolas" w:cs="Consolas"/>
        </w:rPr>
        <w:t>scenario_id</w:t>
      </w:r>
      <w:r>
        <w:t xml:space="preserve"> mechanism could be repurposed for this, but the necessary additions (scenario weights, anticipated correlation structures) are not present today.</w:t>
      </w:r>
    </w:p>
    <w:p w14:paraId="36BCFD3E" w14:textId="77777777" w:rsidR="008E1B31" w:rsidRDefault="005C5514">
      <w:pPr>
        <w:spacing w:after="160" w:line="320" w:lineRule="auto"/>
        <w:jc w:val="both"/>
      </w:pPr>
      <w:r>
        <w:rPr>
          <w:b/>
          <w:bCs/>
        </w:rPr>
        <w:t>The time horizon.</w:t>
      </w:r>
      <w:r>
        <w:t xml:space="preserve"> A planning LP might look forward six months from the most recent observed date; a historical reconciliation LP would look backward over the entire 2015–onwards window. The framework supports both without modification, since the resolved table contains all observation dates.</w:t>
      </w:r>
    </w:p>
    <w:p w14:paraId="36BCFD3F" w14:textId="77777777" w:rsidR="008E1B31" w:rsidRDefault="005C5514">
      <w:pPr>
        <w:spacing w:after="160" w:line="320" w:lineRule="auto"/>
        <w:jc w:val="both"/>
      </w:pPr>
      <w:r>
        <w:rPr>
          <w:b/>
          <w:bCs/>
        </w:rPr>
        <w:t>The solver and its tolerances.</w:t>
      </w:r>
      <w:r>
        <w:t xml:space="preserve"> Different LP solvers handle different problem sizes, integer extensions, and numerical tolerances differently. The framework's job ends with handing the modeller a clean tensor; from there, the solver choice is a modelling decision.</w:t>
      </w:r>
    </w:p>
    <w:p w14:paraId="36BCFD40" w14:textId="77777777" w:rsidR="008E1B31" w:rsidRDefault="005C5514">
      <w:pPr>
        <w:pStyle w:val="Heading2"/>
      </w:pPr>
      <w:r>
        <w:t>8.8 Why the LP is a faithful test of the framework</w:t>
      </w:r>
    </w:p>
    <w:p w14:paraId="36BCFD41" w14:textId="77777777" w:rsidR="008E1B31" w:rsidRDefault="005C5514">
      <w:pPr>
        <w:spacing w:after="160" w:line="320" w:lineRule="auto"/>
        <w:jc w:val="both"/>
      </w:pPr>
      <w:r>
        <w:t>A practical question is whether building an LP on top of the framework actually validates the framework's design, or whether the framework's properties are taken on faith. The LP is a faithful test for three reasons.</w:t>
      </w:r>
    </w:p>
    <w:p w14:paraId="36BCFD42" w14:textId="77777777" w:rsidR="008E1B31" w:rsidRDefault="005C5514">
      <w:pPr>
        <w:spacing w:after="160" w:line="320" w:lineRule="auto"/>
        <w:jc w:val="both"/>
      </w:pPr>
      <w:r>
        <w:t>First, the LP exercises every consistency property the framework claims. If single attribution is violated, the LP will see a value double-counted and its solution will be wrong. If partition closure does not hold, the LP's aggregate constraints will be infeasible. If mass balance does not close at every node, the LP will have no feasible solution at all. The LP succeeds exactly when the framework's claims are true on the data; LP failure modes localise the framework's weaknesses precisely.</w:t>
      </w:r>
    </w:p>
    <w:p w14:paraId="36BCFD43" w14:textId="77777777" w:rsidR="008E1B31" w:rsidRDefault="005C5514">
      <w:pPr>
        <w:spacing w:after="160" w:line="320" w:lineRule="auto"/>
        <w:jc w:val="both"/>
      </w:pPr>
      <w:r>
        <w:t>Second, the LP exercises every structural design choice. Asset-centric representation matters because the LP needs nodes to attach mass balance rows to. Stable topology matters because the LP solves over a fixed structure. The observed/derived invariant matters because the LP needs to know which cells are constants and which are decision variables. Latent variables matter because they are the decision variables themselves. Each of the principles in Chapter 4 corresponds to a feature the LP relies on.</w:t>
      </w:r>
    </w:p>
    <w:p w14:paraId="36BCFD44" w14:textId="77777777" w:rsidR="008E1B31" w:rsidRDefault="005C5514">
      <w:pPr>
        <w:spacing w:after="160" w:line="320" w:lineRule="auto"/>
        <w:jc w:val="both"/>
      </w:pPr>
      <w:r>
        <w:t>Third, the LP makes the framework's properties demonstrable to readers who have not built it. The numerical claims of Chapter 7 are abstract until a downstream consumer succeeds on the framework's output. The LP turns the abstract claims into a concrete demonstration: this LP solves, in this number of seconds, with this objective value, on the framework's output. The same LP would not solve on a hand-assembled tensor with mixed-granularity inputs and unresolved double-counting; the framework's contribution is precisely what makes it solve.</w:t>
      </w:r>
    </w:p>
    <w:p w14:paraId="36BCFD45" w14:textId="77777777" w:rsidR="008E1B31" w:rsidRDefault="005C5514">
      <w:pPr>
        <w:pStyle w:val="Heading2"/>
      </w:pPr>
      <w:r>
        <w:lastRenderedPageBreak/>
        <w:t>8.9 Summary</w:t>
      </w:r>
    </w:p>
    <w:p w14:paraId="36BCFD46" w14:textId="77777777" w:rsidR="008E1B31" w:rsidRDefault="005C5514">
      <w:pPr>
        <w:spacing w:after="160" w:line="320" w:lineRule="auto"/>
        <w:jc w:val="both"/>
      </w:pPr>
      <w:r>
        <w:t>The linear programme described in this chapter is a faithful and minimal consumer of the framework's output. It takes the resolved table, the structural views, and the static capacity attributes; it produces decision variables for the latents and constraint rows for the mass balance and capacity limits; and it hands off to a standard solver. The modeller supplies the objective and the time horizon; the framework supplies everything else.</w:t>
      </w:r>
    </w:p>
    <w:p w14:paraId="36BCFD47" w14:textId="77777777" w:rsidR="008E1B31" w:rsidRDefault="005C5514">
      <w:pPr>
        <w:spacing w:after="160" w:line="320" w:lineRule="auto"/>
        <w:jc w:val="both"/>
      </w:pPr>
      <w:r>
        <w:t>The case study in the next chapter walks the LP through a concrete scenario on the Permian fan-out and reports the resulting allocation. The chapter after that turns to the question of whether the same data, with a different downstream model, would support the kind of forecasting work the framework is designed to support — and concludes that it is ready for that work, even though the work itself is left for future research.</w:t>
      </w:r>
    </w:p>
    <w:p w14:paraId="36BCFD48" w14:textId="77777777" w:rsidR="008E1B31" w:rsidRDefault="005C5514">
      <w:pPr>
        <w:pStyle w:val="Heading1"/>
        <w:pageBreakBefore/>
      </w:pPr>
      <w:r>
        <w:lastRenderedPageBreak/>
        <w:t>9. Case Study: The Starter Scenario End-to-End</w:t>
      </w:r>
    </w:p>
    <w:p w14:paraId="36BCFD49" w14:textId="77777777" w:rsidR="008E1B31" w:rsidRDefault="005C5514">
      <w:pPr>
        <w:spacing w:after="160" w:line="320" w:lineRule="auto"/>
        <w:jc w:val="both"/>
      </w:pPr>
      <w:r>
        <w:t xml:space="preserve">This chapter walks the framework end-to-end on the starter scenario </w:t>
      </w:r>
      <w:r>
        <w:rPr>
          <w:rFonts w:ascii="Consolas" w:eastAsia="Consolas" w:hAnsi="Consolas" w:cs="Consolas"/>
        </w:rPr>
        <w:t>starter_us_crude_2015_2025</w:t>
      </w:r>
      <w:r>
        <w:t xml:space="preserve"> in two parts. The first part traces the lifecycle of a single observation date through the load–resolve–render pipeline, showing how the abstract design choices of the preceding chapters become concrete behaviour. The second part presents the LP solution for the Permian fan-out problem of Section 8.4, demonstrating that the framework's output is in fact a clean LP input and the LP solves quickly to a meaningful solution.</w:t>
      </w:r>
    </w:p>
    <w:p w14:paraId="36BCFD4A" w14:textId="77777777" w:rsidR="008E1B31" w:rsidRDefault="005C5514">
      <w:pPr>
        <w:spacing w:after="160" w:line="320" w:lineRule="auto"/>
        <w:jc w:val="both"/>
      </w:pPr>
      <w:r>
        <w:t>The intent of the chapter is to give the reader confidence that the framework actually works, on real data, in the form described. Numerical claims that have appeared in earlier chapters are re-grounded here against the live state of the system at the time of writing.</w:t>
      </w:r>
    </w:p>
    <w:p w14:paraId="36BCFD4B" w14:textId="77777777" w:rsidR="008E1B31" w:rsidRDefault="005C5514">
      <w:pPr>
        <w:pStyle w:val="Heading2"/>
      </w:pPr>
      <w:r>
        <w:t>9.1 A single observation date: June 2024</w:t>
      </w:r>
    </w:p>
    <w:p w14:paraId="36BCFD4C" w14:textId="77777777" w:rsidR="008E1B31" w:rsidRDefault="005C5514">
      <w:pPr>
        <w:spacing w:after="160" w:line="320" w:lineRule="auto"/>
        <w:jc w:val="both"/>
      </w:pPr>
      <w:r>
        <w:t>Pick an observation date roughly in the middle of the modelled period: 1 June 2024 (the first of each month is the convention for monthly observations). What does the framework do with this date?</w:t>
      </w:r>
    </w:p>
    <w:p w14:paraId="36BCFD4D" w14:textId="77777777" w:rsidR="008E1B31" w:rsidRDefault="005C5514">
      <w:pPr>
        <w:pStyle w:val="Heading3"/>
      </w:pPr>
      <w:r>
        <w:t>9.1.1 The input data</w:t>
      </w:r>
    </w:p>
    <w:p w14:paraId="36BCFD4E" w14:textId="77777777" w:rsidR="008E1B31" w:rsidRDefault="005C5514">
      <w:pPr>
        <w:spacing w:after="160" w:line="320" w:lineRule="auto"/>
        <w:jc w:val="both"/>
      </w:pPr>
      <w:r>
        <w:t>At the start of the resolver pass, the database contains:</w:t>
      </w:r>
    </w:p>
    <w:p w14:paraId="36BCFD4F" w14:textId="77777777" w:rsidR="008E1B31" w:rsidRDefault="005C5514">
      <w:pPr>
        <w:pStyle w:val="ListParagraph"/>
        <w:numPr>
          <w:ilvl w:val="0"/>
          <w:numId w:val="2"/>
        </w:numPr>
        <w:spacing w:after="80" w:line="320" w:lineRule="auto"/>
        <w:jc w:val="both"/>
      </w:pPr>
      <w:r>
        <w:t>1,870 variables under the active scenario, each with an assignment row</w:t>
      </w:r>
    </w:p>
    <w:p w14:paraId="36BCFD50" w14:textId="77777777" w:rsidR="008E1B31" w:rsidRDefault="005C5514">
      <w:pPr>
        <w:pStyle w:val="ListParagraph"/>
        <w:numPr>
          <w:ilvl w:val="0"/>
          <w:numId w:val="2"/>
        </w:numPr>
        <w:spacing w:after="80" w:line="320" w:lineRule="auto"/>
        <w:jc w:val="both"/>
      </w:pPr>
      <w:r>
        <w:t>80 time-series-bound variables, each pointing to an EIA series</w:t>
      </w:r>
    </w:p>
    <w:p w14:paraId="36BCFD51" w14:textId="77777777" w:rsidR="008E1B31" w:rsidRDefault="005C5514">
      <w:pPr>
        <w:pStyle w:val="ListParagraph"/>
        <w:numPr>
          <w:ilvl w:val="0"/>
          <w:numId w:val="2"/>
        </w:numPr>
        <w:spacing w:after="80" w:line="320" w:lineRule="auto"/>
        <w:jc w:val="both"/>
      </w:pPr>
      <w:r>
        <w:t>The 80 time series each carry a value for June 2024</w:t>
      </w:r>
    </w:p>
    <w:p w14:paraId="36BCFD52" w14:textId="77777777" w:rsidR="008E1B31" w:rsidRDefault="005C5514">
      <w:pPr>
        <w:pStyle w:val="ListParagraph"/>
        <w:numPr>
          <w:ilvl w:val="0"/>
          <w:numId w:val="2"/>
        </w:numPr>
        <w:spacing w:after="80" w:line="320" w:lineRule="auto"/>
        <w:jc w:val="both"/>
      </w:pPr>
      <w:r>
        <w:t>The remaining 1,750 variables resolve through formulas</w:t>
      </w:r>
    </w:p>
    <w:p w14:paraId="36BCFD53" w14:textId="77777777" w:rsidR="008E1B31" w:rsidRDefault="005C5514">
      <w:pPr>
        <w:spacing w:after="80"/>
      </w:pPr>
      <w:r>
        <w:rPr>
          <w:sz w:val="12"/>
          <w:szCs w:val="12"/>
        </w:rPr>
        <w:t xml:space="preserve"> </w:t>
      </w:r>
    </w:p>
    <w:p w14:paraId="36BCFD54" w14:textId="77777777" w:rsidR="008E1B31" w:rsidRDefault="005C5514">
      <w:pPr>
        <w:spacing w:after="160" w:line="320" w:lineRule="auto"/>
        <w:jc w:val="both"/>
      </w:pPr>
      <w:r>
        <w:t>The 80 observed values for June 2024 cover, among others:</w:t>
      </w:r>
    </w:p>
    <w:p w14:paraId="36BCFD55" w14:textId="77777777" w:rsidR="008E1B31" w:rsidRDefault="005C5514">
      <w:pPr>
        <w:pStyle w:val="ListParagraph"/>
        <w:numPr>
          <w:ilvl w:val="0"/>
          <w:numId w:val="2"/>
        </w:numPr>
        <w:spacing w:after="80" w:line="320" w:lineRule="auto"/>
        <w:jc w:val="both"/>
      </w:pPr>
      <w:r>
        <w:t>U.S. total production from MCRFPUS2 (12,950 kbd)</w:t>
      </w:r>
    </w:p>
    <w:p w14:paraId="36BCFD56" w14:textId="77777777" w:rsidR="008E1B31" w:rsidRDefault="005C5514">
      <w:pPr>
        <w:pStyle w:val="ListParagraph"/>
        <w:numPr>
          <w:ilvl w:val="0"/>
          <w:numId w:val="2"/>
        </w:numPr>
        <w:spacing w:after="80" w:line="320" w:lineRule="auto"/>
        <w:jc w:val="both"/>
      </w:pPr>
      <w:r>
        <w:t>PADD 3 production from MCRFPP3 (8,103 kbd)</w:t>
      </w:r>
    </w:p>
    <w:p w14:paraId="36BCFD57" w14:textId="77777777" w:rsidR="008E1B31" w:rsidRDefault="005C5514">
      <w:pPr>
        <w:pStyle w:val="ListParagraph"/>
        <w:numPr>
          <w:ilvl w:val="0"/>
          <w:numId w:val="2"/>
        </w:numPr>
        <w:spacing w:after="80" w:line="320" w:lineRule="auto"/>
        <w:jc w:val="both"/>
      </w:pPr>
      <w:r>
        <w:t>Permian-TX production from a Texas state series (5,402 kbd)</w:t>
      </w:r>
    </w:p>
    <w:p w14:paraId="36BCFD58" w14:textId="77777777" w:rsidR="008E1B31" w:rsidRDefault="005C5514">
      <w:pPr>
        <w:pStyle w:val="ListParagraph"/>
        <w:numPr>
          <w:ilvl w:val="0"/>
          <w:numId w:val="2"/>
        </w:numPr>
        <w:spacing w:after="80" w:line="320" w:lineRule="auto"/>
        <w:jc w:val="both"/>
      </w:pPr>
      <w:r>
        <w:t>USA stocks from MCRSTUS1 (430,500 kbbl, in absolute terms; ΔS computed from successive months)</w:t>
      </w:r>
    </w:p>
    <w:p w14:paraId="36BCFD59" w14:textId="77777777" w:rsidR="008E1B31" w:rsidRDefault="005C5514">
      <w:pPr>
        <w:pStyle w:val="ListParagraph"/>
        <w:numPr>
          <w:ilvl w:val="0"/>
          <w:numId w:val="2"/>
        </w:numPr>
        <w:spacing w:after="80" w:line="320" w:lineRule="auto"/>
        <w:jc w:val="both"/>
      </w:pPr>
      <w:r>
        <w:t>Net crude imports from MCRIMUS2 (6,557 kbd)</w:t>
      </w:r>
    </w:p>
    <w:p w14:paraId="36BCFD5A" w14:textId="77777777" w:rsidR="008E1B31" w:rsidRDefault="005C5514">
      <w:pPr>
        <w:pStyle w:val="ListParagraph"/>
        <w:numPr>
          <w:ilvl w:val="0"/>
          <w:numId w:val="2"/>
        </w:numPr>
        <w:spacing w:after="80" w:line="320" w:lineRule="auto"/>
        <w:jc w:val="both"/>
      </w:pPr>
      <w:r>
        <w:t>Net crude exports from MCREEXUS2 (3,752 kbd)</w:t>
      </w:r>
    </w:p>
    <w:p w14:paraId="36BCFD5B" w14:textId="77777777" w:rsidR="008E1B31" w:rsidRDefault="005C5514">
      <w:pPr>
        <w:pStyle w:val="ListParagraph"/>
        <w:numPr>
          <w:ilvl w:val="0"/>
          <w:numId w:val="2"/>
        </w:numPr>
        <w:spacing w:after="80" w:line="320" w:lineRule="auto"/>
        <w:jc w:val="both"/>
      </w:pPr>
      <w:r>
        <w:t>The USA-level balancing item from MCRUA (a few tens of kbd in absolute value)</w:t>
      </w:r>
    </w:p>
    <w:p w14:paraId="36BCFD5C" w14:textId="77777777" w:rsidR="008E1B31" w:rsidRDefault="005C5514">
      <w:pPr>
        <w:pStyle w:val="ListParagraph"/>
        <w:numPr>
          <w:ilvl w:val="0"/>
          <w:numId w:val="2"/>
        </w:numPr>
        <w:spacing w:after="80" w:line="320" w:lineRule="auto"/>
        <w:jc w:val="both"/>
      </w:pPr>
      <w:r>
        <w:t>PADD-level inter-PADD movements from the MCRMP_</w:t>
      </w:r>
      <w:r>
        <w:rPr>
          <w:i/>
          <w:iCs/>
        </w:rPr>
        <w:t>_</w:t>
      </w:r>
      <w:r>
        <w:t xml:space="preserve"> family</w:t>
      </w:r>
    </w:p>
    <w:p w14:paraId="36BCFD5D" w14:textId="77777777" w:rsidR="008E1B31" w:rsidRDefault="005C5514">
      <w:pPr>
        <w:spacing w:after="80"/>
      </w:pPr>
      <w:r>
        <w:rPr>
          <w:sz w:val="12"/>
          <w:szCs w:val="12"/>
        </w:rPr>
        <w:t xml:space="preserve"> </w:t>
      </w:r>
    </w:p>
    <w:p w14:paraId="36BCFD5E" w14:textId="77777777" w:rsidR="008E1B31" w:rsidRDefault="005C5514">
      <w:pPr>
        <w:spacing w:after="160" w:line="320" w:lineRule="auto"/>
        <w:jc w:val="both"/>
      </w:pPr>
      <w:r>
        <w:lastRenderedPageBreak/>
        <w:t>The remaining 1,750 variables fall into the categories the resolver's dispatch rules handle: structural zeros for pass-through nodes, latents for unobserved junction edges, aliases for derived aggregates, sums for partition rollups, arithmetic combinations for residual definitions.</w:t>
      </w:r>
    </w:p>
    <w:p w14:paraId="36BCFD5F" w14:textId="77777777" w:rsidR="008E1B31" w:rsidRDefault="005C5514">
      <w:pPr>
        <w:pStyle w:val="Heading3"/>
      </w:pPr>
      <w:r>
        <w:t>9.1.2 The dispatch</w:t>
      </w:r>
    </w:p>
    <w:p w14:paraId="36BCFD60" w14:textId="77777777" w:rsidR="008E1B31" w:rsidRDefault="005C5514">
      <w:pPr>
        <w:spacing w:after="160" w:line="320" w:lineRule="auto"/>
        <w:jc w:val="both"/>
      </w:pPr>
      <w:r>
        <w:rPr>
          <w:rFonts w:ascii="Consolas" w:eastAsia="Consolas" w:hAnsi="Consolas" w:cs="Consolas"/>
        </w:rPr>
        <w:t>resolve_scenario.py</w:t>
      </w:r>
      <w:r>
        <w:t xml:space="preserve"> is invoked. It runs in approximately 20 seconds on a developer laptop. The dispatch counts at the end of the run are:</w:t>
      </w:r>
    </w:p>
    <w:tbl>
      <w:tblPr>
        <w:tblStyle w:val="TableGrid"/>
        <w:tblW w:w="9067" w:type="dxa"/>
        <w:tblLook w:val="04A0" w:firstRow="1" w:lastRow="0" w:firstColumn="1" w:lastColumn="0" w:noHBand="0" w:noVBand="1"/>
      </w:tblPr>
      <w:tblGrid>
        <w:gridCol w:w="3022"/>
        <w:gridCol w:w="3022"/>
        <w:gridCol w:w="3023"/>
      </w:tblGrid>
      <w:tr w:rsidR="00537923" w14:paraId="6C6718A1" w14:textId="77777777">
        <w:trPr>
          <w:tblHeader/>
        </w:trPr>
        <w:tc>
          <w:tcPr>
            <w:tcW w:w="3022" w:type="dxa"/>
            <w:shd w:val="clear" w:color="auto" w:fill="D9E2F3"/>
            <w:vAlign w:val="center"/>
          </w:tcPr>
          <w:p w14:paraId="4B4125B0" w14:textId="77777777" w:rsidR="00537923" w:rsidRDefault="005C5514">
            <w:pPr>
              <w:rPr>
                <w:b/>
              </w:rPr>
            </w:pPr>
            <w:r>
              <w:rPr>
                <w:b/>
              </w:rPr>
              <w:t>Rule</w:t>
            </w:r>
          </w:p>
        </w:tc>
        <w:tc>
          <w:tcPr>
            <w:tcW w:w="3022" w:type="dxa"/>
            <w:shd w:val="clear" w:color="auto" w:fill="D9E2F3"/>
            <w:vAlign w:val="center"/>
          </w:tcPr>
          <w:p w14:paraId="1D4F9F77" w14:textId="77777777" w:rsidR="00537923" w:rsidRDefault="005C5514">
            <w:pPr>
              <w:rPr>
                <w:b/>
              </w:rPr>
            </w:pPr>
            <w:r>
              <w:rPr>
                <w:b/>
              </w:rPr>
              <w:t>Count for the full scenario</w:t>
            </w:r>
          </w:p>
        </w:tc>
        <w:tc>
          <w:tcPr>
            <w:tcW w:w="3023" w:type="dxa"/>
            <w:shd w:val="clear" w:color="auto" w:fill="D9E2F3"/>
            <w:vAlign w:val="center"/>
          </w:tcPr>
          <w:p w14:paraId="12A5597F" w14:textId="77777777" w:rsidR="00537923" w:rsidRDefault="005C5514">
            <w:pPr>
              <w:rPr>
                <w:b/>
              </w:rPr>
            </w:pPr>
            <w:r>
              <w:rPr>
                <w:b/>
              </w:rPr>
              <w:t>Rows for June 2024 specifically</w:t>
            </w:r>
          </w:p>
        </w:tc>
      </w:tr>
      <w:tr w:rsidR="00537923" w14:paraId="65C8783F" w14:textId="77777777">
        <w:tc>
          <w:tcPr>
            <w:tcW w:w="3022" w:type="dxa"/>
            <w:vAlign w:val="center"/>
          </w:tcPr>
          <w:p w14:paraId="4A28BADE" w14:textId="77777777" w:rsidR="00537923" w:rsidRDefault="005C5514">
            <w:r>
              <w:t>observed</w:t>
            </w:r>
          </w:p>
        </w:tc>
        <w:tc>
          <w:tcPr>
            <w:tcW w:w="3022" w:type="dxa"/>
            <w:vAlign w:val="center"/>
          </w:tcPr>
          <w:p w14:paraId="1795C386" w14:textId="77777777" w:rsidR="00537923" w:rsidRDefault="005C5514">
            <w:r>
              <w:t>80</w:t>
            </w:r>
          </w:p>
        </w:tc>
        <w:tc>
          <w:tcPr>
            <w:tcW w:w="3023" w:type="dxa"/>
            <w:vAlign w:val="center"/>
          </w:tcPr>
          <w:p w14:paraId="677A9C3B" w14:textId="77777777" w:rsidR="00537923" w:rsidRDefault="005C5514">
            <w:r>
              <w:t>80</w:t>
            </w:r>
          </w:p>
        </w:tc>
      </w:tr>
      <w:tr w:rsidR="00537923" w14:paraId="045E7BB0" w14:textId="77777777">
        <w:tc>
          <w:tcPr>
            <w:tcW w:w="3022" w:type="dxa"/>
            <w:vAlign w:val="center"/>
          </w:tcPr>
          <w:p w14:paraId="56B9E98B" w14:textId="77777777" w:rsidR="00537923" w:rsidRDefault="005C5514">
            <w:r>
              <w:t>zero</w:t>
            </w:r>
          </w:p>
        </w:tc>
        <w:tc>
          <w:tcPr>
            <w:tcW w:w="3022" w:type="dxa"/>
            <w:vAlign w:val="center"/>
          </w:tcPr>
          <w:p w14:paraId="35415F79" w14:textId="77777777" w:rsidR="00537923" w:rsidRDefault="005C5514">
            <w:r>
              <w:t>628</w:t>
            </w:r>
          </w:p>
        </w:tc>
        <w:tc>
          <w:tcPr>
            <w:tcW w:w="3023" w:type="dxa"/>
            <w:vAlign w:val="center"/>
          </w:tcPr>
          <w:p w14:paraId="27F886F7" w14:textId="77777777" w:rsidR="00537923" w:rsidRDefault="005C5514">
            <w:r>
              <w:t>628</w:t>
            </w:r>
          </w:p>
        </w:tc>
      </w:tr>
      <w:tr w:rsidR="00537923" w14:paraId="29B9A4AB" w14:textId="77777777">
        <w:tc>
          <w:tcPr>
            <w:tcW w:w="3022" w:type="dxa"/>
            <w:vAlign w:val="center"/>
          </w:tcPr>
          <w:p w14:paraId="37BBCD21" w14:textId="77777777" w:rsidR="00537923" w:rsidRDefault="005C5514">
            <w:r>
              <w:t>latent</w:t>
            </w:r>
          </w:p>
        </w:tc>
        <w:tc>
          <w:tcPr>
            <w:tcW w:w="3022" w:type="dxa"/>
            <w:vAlign w:val="center"/>
          </w:tcPr>
          <w:p w14:paraId="3AB93BB0" w14:textId="77777777" w:rsidR="00537923" w:rsidRDefault="005C5514">
            <w:r>
              <w:t>652</w:t>
            </w:r>
          </w:p>
        </w:tc>
        <w:tc>
          <w:tcPr>
            <w:tcW w:w="3023" w:type="dxa"/>
            <w:vAlign w:val="center"/>
          </w:tcPr>
          <w:p w14:paraId="6F339A76" w14:textId="77777777" w:rsidR="00537923" w:rsidRDefault="005C5514">
            <w:r>
              <w:t>652</w:t>
            </w:r>
          </w:p>
        </w:tc>
      </w:tr>
      <w:tr w:rsidR="00537923" w14:paraId="7D63BE4E" w14:textId="77777777">
        <w:tc>
          <w:tcPr>
            <w:tcW w:w="3022" w:type="dxa"/>
            <w:vAlign w:val="center"/>
          </w:tcPr>
          <w:p w14:paraId="51EEFB14" w14:textId="77777777" w:rsidR="00537923" w:rsidRDefault="005C5514">
            <w:r>
              <w:t>alias</w:t>
            </w:r>
          </w:p>
        </w:tc>
        <w:tc>
          <w:tcPr>
            <w:tcW w:w="3022" w:type="dxa"/>
            <w:vAlign w:val="center"/>
          </w:tcPr>
          <w:p w14:paraId="582308A1" w14:textId="77777777" w:rsidR="00537923" w:rsidRDefault="005C5514">
            <w:r>
              <w:t>442</w:t>
            </w:r>
          </w:p>
        </w:tc>
        <w:tc>
          <w:tcPr>
            <w:tcW w:w="3023" w:type="dxa"/>
            <w:vAlign w:val="center"/>
          </w:tcPr>
          <w:p w14:paraId="530EE493" w14:textId="77777777" w:rsidR="00537923" w:rsidRDefault="005C5514">
            <w:r>
              <w:t>442</w:t>
            </w:r>
          </w:p>
        </w:tc>
      </w:tr>
      <w:tr w:rsidR="00537923" w14:paraId="43B64DCD" w14:textId="77777777">
        <w:tc>
          <w:tcPr>
            <w:tcW w:w="3022" w:type="dxa"/>
            <w:vAlign w:val="center"/>
          </w:tcPr>
          <w:p w14:paraId="7688AD8B" w14:textId="77777777" w:rsidR="00537923" w:rsidRDefault="005C5514">
            <w:r>
              <w:t>reverse-mirror</w:t>
            </w:r>
          </w:p>
        </w:tc>
        <w:tc>
          <w:tcPr>
            <w:tcW w:w="3022" w:type="dxa"/>
            <w:vAlign w:val="center"/>
          </w:tcPr>
          <w:p w14:paraId="7476AD65" w14:textId="77777777" w:rsidR="00537923" w:rsidRDefault="005C5514">
            <w:r>
              <w:t>15</w:t>
            </w:r>
          </w:p>
        </w:tc>
        <w:tc>
          <w:tcPr>
            <w:tcW w:w="3023" w:type="dxa"/>
            <w:vAlign w:val="center"/>
          </w:tcPr>
          <w:p w14:paraId="07E6FE4C" w14:textId="77777777" w:rsidR="00537923" w:rsidRDefault="005C5514">
            <w:r>
              <w:t>15</w:t>
            </w:r>
          </w:p>
        </w:tc>
      </w:tr>
      <w:tr w:rsidR="00537923" w14:paraId="3D3E8862" w14:textId="77777777">
        <w:tc>
          <w:tcPr>
            <w:tcW w:w="3022" w:type="dxa"/>
            <w:vAlign w:val="center"/>
          </w:tcPr>
          <w:p w14:paraId="43D3810C" w14:textId="77777777" w:rsidR="00537923" w:rsidRDefault="005C5514">
            <w:r>
              <w:t>arithmetic</w:t>
            </w:r>
          </w:p>
        </w:tc>
        <w:tc>
          <w:tcPr>
            <w:tcW w:w="3022" w:type="dxa"/>
            <w:vAlign w:val="center"/>
          </w:tcPr>
          <w:p w14:paraId="240A7F74" w14:textId="77777777" w:rsidR="00537923" w:rsidRDefault="005C5514">
            <w:r>
              <w:t>8</w:t>
            </w:r>
          </w:p>
        </w:tc>
        <w:tc>
          <w:tcPr>
            <w:tcW w:w="3023" w:type="dxa"/>
            <w:vAlign w:val="center"/>
          </w:tcPr>
          <w:p w14:paraId="41C853AA" w14:textId="77777777" w:rsidR="00537923" w:rsidRDefault="005C5514">
            <w:r>
              <w:t>8</w:t>
            </w:r>
          </w:p>
        </w:tc>
      </w:tr>
      <w:tr w:rsidR="00537923" w14:paraId="7EE4C080" w14:textId="77777777">
        <w:tc>
          <w:tcPr>
            <w:tcW w:w="3022" w:type="dxa"/>
            <w:vAlign w:val="center"/>
          </w:tcPr>
          <w:p w14:paraId="2302F976" w14:textId="77777777" w:rsidR="00537923" w:rsidRDefault="005C5514">
            <w:r>
              <w:t>sum</w:t>
            </w:r>
          </w:p>
        </w:tc>
        <w:tc>
          <w:tcPr>
            <w:tcW w:w="3022" w:type="dxa"/>
            <w:vAlign w:val="center"/>
          </w:tcPr>
          <w:p w14:paraId="4428DFE3" w14:textId="77777777" w:rsidR="00537923" w:rsidRDefault="005C5514">
            <w:r>
              <w:t>5</w:t>
            </w:r>
          </w:p>
        </w:tc>
        <w:tc>
          <w:tcPr>
            <w:tcW w:w="3023" w:type="dxa"/>
            <w:vAlign w:val="center"/>
          </w:tcPr>
          <w:p w14:paraId="6F21CDE5" w14:textId="77777777" w:rsidR="00537923" w:rsidRDefault="005C5514">
            <w:r>
              <w:t>5</w:t>
            </w:r>
          </w:p>
        </w:tc>
      </w:tr>
      <w:tr w:rsidR="00537923" w14:paraId="444FDBB1" w14:textId="77777777">
        <w:tc>
          <w:tcPr>
            <w:tcW w:w="3022" w:type="dxa"/>
            <w:vAlign w:val="center"/>
          </w:tcPr>
          <w:p w14:paraId="28B9E783" w14:textId="77777777" w:rsidR="00537923" w:rsidRDefault="005C5514">
            <w:r>
              <w:t>closure</w:t>
            </w:r>
          </w:p>
        </w:tc>
        <w:tc>
          <w:tcPr>
            <w:tcW w:w="3022" w:type="dxa"/>
            <w:vAlign w:val="center"/>
          </w:tcPr>
          <w:p w14:paraId="7EF34D8D" w14:textId="77777777" w:rsidR="00537923" w:rsidRDefault="005C5514">
            <w:r>
              <w:t>0</w:t>
            </w:r>
          </w:p>
        </w:tc>
        <w:tc>
          <w:tcPr>
            <w:tcW w:w="3023" w:type="dxa"/>
            <w:vAlign w:val="center"/>
          </w:tcPr>
          <w:p w14:paraId="56F30691" w14:textId="77777777" w:rsidR="00537923" w:rsidRDefault="005C5514">
            <w:r>
              <w:t>0</w:t>
            </w:r>
          </w:p>
        </w:tc>
      </w:tr>
      <w:tr w:rsidR="00537923" w14:paraId="224FE473" w14:textId="77777777">
        <w:tc>
          <w:tcPr>
            <w:tcW w:w="3022" w:type="dxa"/>
            <w:vAlign w:val="center"/>
          </w:tcPr>
          <w:p w14:paraId="46ABE82C" w14:textId="77777777" w:rsidR="00537923" w:rsidRDefault="005C5514">
            <w:r>
              <w:t>unresolved</w:t>
            </w:r>
          </w:p>
        </w:tc>
        <w:tc>
          <w:tcPr>
            <w:tcW w:w="3022" w:type="dxa"/>
            <w:vAlign w:val="center"/>
          </w:tcPr>
          <w:p w14:paraId="4BF6B5C7" w14:textId="77777777" w:rsidR="00537923" w:rsidRDefault="005C5514">
            <w:r>
              <w:t>0</w:t>
            </w:r>
          </w:p>
        </w:tc>
        <w:tc>
          <w:tcPr>
            <w:tcW w:w="3023" w:type="dxa"/>
            <w:vAlign w:val="center"/>
          </w:tcPr>
          <w:p w14:paraId="52A86C4F" w14:textId="77777777" w:rsidR="00537923" w:rsidRDefault="005C5514">
            <w:r>
              <w:t>0</w:t>
            </w:r>
          </w:p>
        </w:tc>
      </w:tr>
    </w:tbl>
    <w:p w14:paraId="36BCFD6C" w14:textId="77777777" w:rsidR="008E1B31" w:rsidRDefault="005C5514">
      <w:pPr>
        <w:spacing w:after="160" w:line="320" w:lineRule="auto"/>
        <w:jc w:val="both"/>
      </w:pPr>
      <w:r>
        <w:t>The June 2024 single-date counts equal the per-scenario counts because the dispatch is per-variable, not per-(variable, date): each variable's resolution rule is the same across all dates in the scenario. The values produced differ from date to date, but the rules that produce them do not.</w:t>
      </w:r>
    </w:p>
    <w:p w14:paraId="36BCFD6D" w14:textId="77777777" w:rsidR="008E1B31" w:rsidRDefault="005C5514">
      <w:pPr>
        <w:pStyle w:val="Heading3"/>
      </w:pPr>
      <w:r>
        <w:t>9.1.3 The resolved table for June 2024</w:t>
      </w:r>
    </w:p>
    <w:p w14:paraId="36BCFD6E" w14:textId="77777777" w:rsidR="008E1B31" w:rsidRDefault="005C5514">
      <w:pPr>
        <w:spacing w:after="160" w:line="320" w:lineRule="auto"/>
        <w:jc w:val="both"/>
      </w:pPr>
      <w:r>
        <w:t xml:space="preserve">After the resolver completes, </w:t>
      </w:r>
      <w:r>
        <w:rPr>
          <w:rFonts w:ascii="Consolas" w:eastAsia="Consolas" w:hAnsi="Consolas" w:cs="Consolas"/>
        </w:rPr>
        <w:t>scenario_resolved_values</w:t>
      </w:r>
      <w:r>
        <w:t xml:space="preserve"> contains 1,870 rows for June 2024 (one per variable). A representative slice:</w:t>
      </w:r>
    </w:p>
    <w:tbl>
      <w:tblPr>
        <w:tblStyle w:val="TableGrid"/>
        <w:tblW w:w="9067" w:type="dxa"/>
        <w:tblLook w:val="04A0" w:firstRow="1" w:lastRow="0" w:firstColumn="1" w:lastColumn="0" w:noHBand="0" w:noVBand="1"/>
      </w:tblPr>
      <w:tblGrid>
        <w:gridCol w:w="5708"/>
        <w:gridCol w:w="1195"/>
        <w:gridCol w:w="1122"/>
        <w:gridCol w:w="1854"/>
      </w:tblGrid>
      <w:tr w:rsidR="00537923" w14:paraId="060058B5" w14:textId="77777777">
        <w:trPr>
          <w:tblHeader/>
        </w:trPr>
        <w:tc>
          <w:tcPr>
            <w:tcW w:w="2266" w:type="dxa"/>
            <w:shd w:val="clear" w:color="auto" w:fill="D9E2F3"/>
            <w:vAlign w:val="center"/>
          </w:tcPr>
          <w:p w14:paraId="6DFBC9C5" w14:textId="77777777" w:rsidR="00537923" w:rsidRDefault="005C5514">
            <w:pPr>
              <w:rPr>
                <w:b/>
              </w:rPr>
            </w:pPr>
            <w:r>
              <w:rPr>
                <w:b/>
              </w:rPr>
              <w:t>variable_id</w:t>
            </w:r>
          </w:p>
        </w:tc>
        <w:tc>
          <w:tcPr>
            <w:tcW w:w="2266" w:type="dxa"/>
            <w:shd w:val="clear" w:color="auto" w:fill="D9E2F3"/>
            <w:vAlign w:val="center"/>
          </w:tcPr>
          <w:p w14:paraId="6F787B08" w14:textId="77777777" w:rsidR="00537923" w:rsidRDefault="005C5514">
            <w:pPr>
              <w:rPr>
                <w:b/>
              </w:rPr>
            </w:pPr>
            <w:r>
              <w:rPr>
                <w:b/>
              </w:rPr>
              <w:t>value</w:t>
            </w:r>
          </w:p>
        </w:tc>
        <w:tc>
          <w:tcPr>
            <w:tcW w:w="2266" w:type="dxa"/>
            <w:shd w:val="clear" w:color="auto" w:fill="D9E2F3"/>
            <w:vAlign w:val="center"/>
          </w:tcPr>
          <w:p w14:paraId="7C14D478" w14:textId="77777777" w:rsidR="00537923" w:rsidRDefault="005C5514">
            <w:pPr>
              <w:rPr>
                <w:b/>
              </w:rPr>
            </w:pPr>
            <w:r>
              <w:rPr>
                <w:b/>
              </w:rPr>
              <w:t>source</w:t>
            </w:r>
          </w:p>
        </w:tc>
        <w:tc>
          <w:tcPr>
            <w:tcW w:w="2269" w:type="dxa"/>
            <w:shd w:val="clear" w:color="auto" w:fill="D9E2F3"/>
            <w:vAlign w:val="center"/>
          </w:tcPr>
          <w:p w14:paraId="4627F575" w14:textId="77777777" w:rsidR="00537923" w:rsidRDefault="005C5514">
            <w:pPr>
              <w:rPr>
                <w:b/>
              </w:rPr>
            </w:pPr>
            <w:r>
              <w:rPr>
                <w:b/>
              </w:rPr>
              <w:t>formula_used</w:t>
            </w:r>
          </w:p>
        </w:tc>
      </w:tr>
      <w:tr w:rsidR="00537923" w14:paraId="69C37C5F" w14:textId="77777777">
        <w:tc>
          <w:tcPr>
            <w:tcW w:w="2266" w:type="dxa"/>
            <w:vAlign w:val="center"/>
          </w:tcPr>
          <w:p w14:paraId="5657CB01" w14:textId="77777777" w:rsidR="00537923" w:rsidRDefault="005C5514">
            <w:r>
              <w:t>production__crude__permian_tx</w:t>
            </w:r>
          </w:p>
        </w:tc>
        <w:tc>
          <w:tcPr>
            <w:tcW w:w="2266" w:type="dxa"/>
            <w:vAlign w:val="center"/>
          </w:tcPr>
          <w:p w14:paraId="0113C87F" w14:textId="77777777" w:rsidR="00537923" w:rsidRDefault="005C5514">
            <w:r>
              <w:t>5,402.0</w:t>
            </w:r>
          </w:p>
        </w:tc>
        <w:tc>
          <w:tcPr>
            <w:tcW w:w="2266" w:type="dxa"/>
            <w:vAlign w:val="center"/>
          </w:tcPr>
          <w:p w14:paraId="6EFF6F86" w14:textId="77777777" w:rsidR="00537923" w:rsidRDefault="005C5514">
            <w:r>
              <w:t>observed</w:t>
            </w:r>
          </w:p>
        </w:tc>
        <w:tc>
          <w:tcPr>
            <w:tcW w:w="2269" w:type="dxa"/>
            <w:vAlign w:val="center"/>
          </w:tcPr>
          <w:p w14:paraId="58665B25" w14:textId="77777777" w:rsidR="00537923" w:rsidRDefault="005C5514">
            <w:r>
              <w:t>MCRFPUSP3TX (Texas state series, Permian portion)</w:t>
            </w:r>
          </w:p>
        </w:tc>
      </w:tr>
      <w:tr w:rsidR="00537923" w14:paraId="2CC7B58F" w14:textId="77777777">
        <w:tc>
          <w:tcPr>
            <w:tcW w:w="2266" w:type="dxa"/>
            <w:vAlign w:val="center"/>
          </w:tcPr>
          <w:p w14:paraId="0B8731DD" w14:textId="77777777" w:rsidR="00537923" w:rsidRDefault="005C5514">
            <w:r>
              <w:t>production__crude__permian_tx_gathering</w:t>
            </w:r>
          </w:p>
        </w:tc>
        <w:tc>
          <w:tcPr>
            <w:tcW w:w="2266" w:type="dxa"/>
            <w:vAlign w:val="center"/>
          </w:tcPr>
          <w:p w14:paraId="5C90AD98" w14:textId="77777777" w:rsidR="00537923" w:rsidRDefault="005C5514">
            <w:r>
              <w:t>0</w:t>
            </w:r>
          </w:p>
        </w:tc>
        <w:tc>
          <w:tcPr>
            <w:tcW w:w="2266" w:type="dxa"/>
            <w:vAlign w:val="center"/>
          </w:tcPr>
          <w:p w14:paraId="356096E8" w14:textId="77777777" w:rsidR="00537923" w:rsidRDefault="005C5514">
            <w:r>
              <w:t>zero</w:t>
            </w:r>
          </w:p>
        </w:tc>
        <w:tc>
          <w:tcPr>
            <w:tcW w:w="2269" w:type="dxa"/>
            <w:vAlign w:val="center"/>
          </w:tcPr>
          <w:p w14:paraId="558A1154" w14:textId="77777777" w:rsidR="00537923" w:rsidRDefault="005C5514">
            <w:r>
              <w:t>gathering-node default</w:t>
            </w:r>
          </w:p>
        </w:tc>
      </w:tr>
      <w:tr w:rsidR="00537923" w14:paraId="5197E108" w14:textId="77777777">
        <w:tc>
          <w:tcPr>
            <w:tcW w:w="2266" w:type="dxa"/>
            <w:vAlign w:val="center"/>
          </w:tcPr>
          <w:p w14:paraId="048CF3F6" w14:textId="77777777" w:rsidR="00537923" w:rsidRDefault="005C5514">
            <w:r>
              <w:t>outflow__crude__permian_tx__midland_terminal</w:t>
            </w:r>
          </w:p>
        </w:tc>
        <w:tc>
          <w:tcPr>
            <w:tcW w:w="2266" w:type="dxa"/>
            <w:vAlign w:val="center"/>
          </w:tcPr>
          <w:p w14:paraId="2E77E302" w14:textId="77777777" w:rsidR="00537923" w:rsidRDefault="005C5514">
            <w:r>
              <w:t>NULL</w:t>
            </w:r>
          </w:p>
        </w:tc>
        <w:tc>
          <w:tcPr>
            <w:tcW w:w="2266" w:type="dxa"/>
            <w:vAlign w:val="center"/>
          </w:tcPr>
          <w:p w14:paraId="484C97DF" w14:textId="77777777" w:rsidR="00537923" w:rsidRDefault="005C5514">
            <w:r>
              <w:t>latent</w:t>
            </w:r>
          </w:p>
        </w:tc>
        <w:tc>
          <w:tcPr>
            <w:tcW w:w="2269" w:type="dxa"/>
            <w:vAlign w:val="center"/>
          </w:tcPr>
          <w:p w14:paraId="3D6B1F2D" w14:textId="77777777" w:rsidR="00537923" w:rsidRDefault="005C5514">
            <w:r>
              <w:t>latent()</w:t>
            </w:r>
          </w:p>
        </w:tc>
      </w:tr>
      <w:tr w:rsidR="00537923" w14:paraId="25B18339" w14:textId="77777777">
        <w:tc>
          <w:tcPr>
            <w:tcW w:w="2266" w:type="dxa"/>
            <w:vAlign w:val="center"/>
          </w:tcPr>
          <w:p w14:paraId="4AA0C806" w14:textId="77777777" w:rsidR="00537923" w:rsidRDefault="005C5514">
            <w:r>
              <w:t>outflow__crude__permian_tx__wink_terminal</w:t>
            </w:r>
          </w:p>
        </w:tc>
        <w:tc>
          <w:tcPr>
            <w:tcW w:w="2266" w:type="dxa"/>
            <w:vAlign w:val="center"/>
          </w:tcPr>
          <w:p w14:paraId="15265909" w14:textId="77777777" w:rsidR="00537923" w:rsidRDefault="005C5514">
            <w:r>
              <w:t>NULL</w:t>
            </w:r>
          </w:p>
        </w:tc>
        <w:tc>
          <w:tcPr>
            <w:tcW w:w="2266" w:type="dxa"/>
            <w:vAlign w:val="center"/>
          </w:tcPr>
          <w:p w14:paraId="7B32735A" w14:textId="77777777" w:rsidR="00537923" w:rsidRDefault="005C5514">
            <w:r>
              <w:t>latent</w:t>
            </w:r>
          </w:p>
        </w:tc>
        <w:tc>
          <w:tcPr>
            <w:tcW w:w="2269" w:type="dxa"/>
            <w:vAlign w:val="center"/>
          </w:tcPr>
          <w:p w14:paraId="59802FAA" w14:textId="77777777" w:rsidR="00537923" w:rsidRDefault="005C5514">
            <w:r>
              <w:t>latent()</w:t>
            </w:r>
          </w:p>
        </w:tc>
      </w:tr>
      <w:tr w:rsidR="00537923" w14:paraId="278BE2A7" w14:textId="77777777">
        <w:tc>
          <w:tcPr>
            <w:tcW w:w="2266" w:type="dxa"/>
            <w:vAlign w:val="center"/>
          </w:tcPr>
          <w:p w14:paraId="2603DBDA" w14:textId="77777777" w:rsidR="00537923" w:rsidRDefault="005C5514">
            <w:r>
              <w:t>outflow__crude__permian_tx__crane_terminal</w:t>
            </w:r>
          </w:p>
        </w:tc>
        <w:tc>
          <w:tcPr>
            <w:tcW w:w="2266" w:type="dxa"/>
            <w:vAlign w:val="center"/>
          </w:tcPr>
          <w:p w14:paraId="7D16123C" w14:textId="77777777" w:rsidR="00537923" w:rsidRDefault="005C5514">
            <w:r>
              <w:t>NULL</w:t>
            </w:r>
          </w:p>
        </w:tc>
        <w:tc>
          <w:tcPr>
            <w:tcW w:w="2266" w:type="dxa"/>
            <w:vAlign w:val="center"/>
          </w:tcPr>
          <w:p w14:paraId="52C6720B" w14:textId="77777777" w:rsidR="00537923" w:rsidRDefault="005C5514">
            <w:r>
              <w:t>latent</w:t>
            </w:r>
          </w:p>
        </w:tc>
        <w:tc>
          <w:tcPr>
            <w:tcW w:w="2269" w:type="dxa"/>
            <w:vAlign w:val="center"/>
          </w:tcPr>
          <w:p w14:paraId="2211FFB7" w14:textId="77777777" w:rsidR="00537923" w:rsidRDefault="005C5514">
            <w:r>
              <w:t>latent()</w:t>
            </w:r>
          </w:p>
        </w:tc>
      </w:tr>
      <w:tr w:rsidR="00537923" w14:paraId="7569EB64" w14:textId="77777777">
        <w:tc>
          <w:tcPr>
            <w:tcW w:w="2266" w:type="dxa"/>
            <w:vAlign w:val="center"/>
          </w:tcPr>
          <w:p w14:paraId="3C82EBF9" w14:textId="77777777" w:rsidR="00537923" w:rsidRDefault="005C5514">
            <w:r>
              <w:t>production__crude__padd3_view</w:t>
            </w:r>
          </w:p>
        </w:tc>
        <w:tc>
          <w:tcPr>
            <w:tcW w:w="2266" w:type="dxa"/>
            <w:vAlign w:val="center"/>
          </w:tcPr>
          <w:p w14:paraId="05A377FE" w14:textId="77777777" w:rsidR="00537923" w:rsidRDefault="005C5514">
            <w:r>
              <w:t>8,103.0</w:t>
            </w:r>
          </w:p>
        </w:tc>
        <w:tc>
          <w:tcPr>
            <w:tcW w:w="2266" w:type="dxa"/>
            <w:vAlign w:val="center"/>
          </w:tcPr>
          <w:p w14:paraId="6B3EF827" w14:textId="77777777" w:rsidR="00537923" w:rsidRDefault="005C5514">
            <w:r>
              <w:t>observed</w:t>
            </w:r>
          </w:p>
        </w:tc>
        <w:tc>
          <w:tcPr>
            <w:tcW w:w="2269" w:type="dxa"/>
            <w:vAlign w:val="center"/>
          </w:tcPr>
          <w:p w14:paraId="69C2E8CD" w14:textId="77777777" w:rsidR="00537923" w:rsidRDefault="005C5514">
            <w:r>
              <w:t>MCRFPP3 (PADD 3 production)</w:t>
            </w:r>
          </w:p>
        </w:tc>
      </w:tr>
      <w:tr w:rsidR="00537923" w14:paraId="6F00722E" w14:textId="77777777">
        <w:tc>
          <w:tcPr>
            <w:tcW w:w="2266" w:type="dxa"/>
            <w:vAlign w:val="center"/>
          </w:tcPr>
          <w:p w14:paraId="7B78633F" w14:textId="77777777" w:rsidR="00537923" w:rsidRDefault="005C5514">
            <w:r>
              <w:t>consumption__crude__padd3_view</w:t>
            </w:r>
          </w:p>
        </w:tc>
        <w:tc>
          <w:tcPr>
            <w:tcW w:w="2266" w:type="dxa"/>
            <w:vAlign w:val="center"/>
          </w:tcPr>
          <w:p w14:paraId="548454E8" w14:textId="77777777" w:rsidR="00537923" w:rsidRDefault="005C5514">
            <w:r>
              <w:t>9,541.0</w:t>
            </w:r>
          </w:p>
        </w:tc>
        <w:tc>
          <w:tcPr>
            <w:tcW w:w="2266" w:type="dxa"/>
            <w:vAlign w:val="center"/>
          </w:tcPr>
          <w:p w14:paraId="73BA2D35" w14:textId="77777777" w:rsidR="00537923" w:rsidRDefault="005C5514">
            <w:r>
              <w:t>observed</w:t>
            </w:r>
          </w:p>
        </w:tc>
        <w:tc>
          <w:tcPr>
            <w:tcW w:w="2269" w:type="dxa"/>
            <w:vAlign w:val="center"/>
          </w:tcPr>
          <w:p w14:paraId="48653DCB" w14:textId="77777777" w:rsidR="00537923" w:rsidRDefault="005C5514">
            <w:r>
              <w:t>MCRRIP3 (PADD 3 refinery runs)</w:t>
            </w:r>
          </w:p>
        </w:tc>
      </w:tr>
      <w:tr w:rsidR="00537923" w14:paraId="39FAF38C" w14:textId="77777777">
        <w:tc>
          <w:tcPr>
            <w:tcW w:w="2266" w:type="dxa"/>
            <w:vAlign w:val="center"/>
          </w:tcPr>
          <w:p w14:paraId="7F293BF4" w14:textId="77777777" w:rsidR="00537923" w:rsidRDefault="005C5514">
            <w:r>
              <w:t>inventory__crude__padd3_view</w:t>
            </w:r>
          </w:p>
        </w:tc>
        <w:tc>
          <w:tcPr>
            <w:tcW w:w="2266" w:type="dxa"/>
            <w:vAlign w:val="center"/>
          </w:tcPr>
          <w:p w14:paraId="6BEDF98C" w14:textId="77777777" w:rsidR="00537923" w:rsidRDefault="005C5514">
            <w:r>
              <w:t>254,300.0</w:t>
            </w:r>
          </w:p>
        </w:tc>
        <w:tc>
          <w:tcPr>
            <w:tcW w:w="2266" w:type="dxa"/>
            <w:vAlign w:val="center"/>
          </w:tcPr>
          <w:p w14:paraId="238B5E15" w14:textId="77777777" w:rsidR="00537923" w:rsidRDefault="005C5514">
            <w:r>
              <w:t>observed</w:t>
            </w:r>
          </w:p>
        </w:tc>
        <w:tc>
          <w:tcPr>
            <w:tcW w:w="2269" w:type="dxa"/>
            <w:vAlign w:val="center"/>
          </w:tcPr>
          <w:p w14:paraId="34A50699" w14:textId="77777777" w:rsidR="00537923" w:rsidRDefault="005C5514">
            <w:r>
              <w:t>MCESTP3 (PADD 3 stocks, in MBBL)</w:t>
            </w:r>
          </w:p>
        </w:tc>
      </w:tr>
      <w:tr w:rsidR="00537923" w14:paraId="0057F155" w14:textId="77777777">
        <w:tc>
          <w:tcPr>
            <w:tcW w:w="2266" w:type="dxa"/>
            <w:vAlign w:val="center"/>
          </w:tcPr>
          <w:p w14:paraId="6B5E2523" w14:textId="77777777" w:rsidR="00537923" w:rsidRDefault="005C5514">
            <w:r>
              <w:t>balancing_item__crude__padd3_view</w:t>
            </w:r>
          </w:p>
        </w:tc>
        <w:tc>
          <w:tcPr>
            <w:tcW w:w="2266" w:type="dxa"/>
            <w:vAlign w:val="center"/>
          </w:tcPr>
          <w:p w14:paraId="15C3A368" w14:textId="77777777" w:rsidR="00537923" w:rsidRDefault="005C5514">
            <w:r>
              <w:t>47.3</w:t>
            </w:r>
          </w:p>
        </w:tc>
        <w:tc>
          <w:tcPr>
            <w:tcW w:w="2266" w:type="dxa"/>
            <w:vAlign w:val="center"/>
          </w:tcPr>
          <w:p w14:paraId="0D6091A5" w14:textId="77777777" w:rsidR="00537923" w:rsidRDefault="005C5514">
            <w:r>
              <w:t>observed</w:t>
            </w:r>
          </w:p>
        </w:tc>
        <w:tc>
          <w:tcPr>
            <w:tcW w:w="2269" w:type="dxa"/>
            <w:vAlign w:val="center"/>
          </w:tcPr>
          <w:p w14:paraId="4CC017A5" w14:textId="77777777" w:rsidR="00537923" w:rsidRDefault="005C5514">
            <w:r>
              <w:t>MCRUA-P3 (PADD 3 balancing item)</w:t>
            </w:r>
          </w:p>
        </w:tc>
      </w:tr>
      <w:tr w:rsidR="00537923" w14:paraId="287331FD" w14:textId="77777777">
        <w:tc>
          <w:tcPr>
            <w:tcW w:w="2266" w:type="dxa"/>
            <w:vAlign w:val="center"/>
          </w:tcPr>
          <w:p w14:paraId="48D1FBEE" w14:textId="77777777" w:rsidR="00537923" w:rsidRDefault="005C5514">
            <w:r>
              <w:lastRenderedPageBreak/>
              <w:t>production__crude__usa_view</w:t>
            </w:r>
          </w:p>
        </w:tc>
        <w:tc>
          <w:tcPr>
            <w:tcW w:w="2266" w:type="dxa"/>
            <w:vAlign w:val="center"/>
          </w:tcPr>
          <w:p w14:paraId="3ABAC031" w14:textId="77777777" w:rsidR="00537923" w:rsidRDefault="005C5514">
            <w:r>
              <w:t>12,950.0</w:t>
            </w:r>
          </w:p>
        </w:tc>
        <w:tc>
          <w:tcPr>
            <w:tcW w:w="2266" w:type="dxa"/>
            <w:vAlign w:val="center"/>
          </w:tcPr>
          <w:p w14:paraId="296BDACA" w14:textId="77777777" w:rsidR="00537923" w:rsidRDefault="005C5514">
            <w:r>
              <w:t>observed</w:t>
            </w:r>
          </w:p>
        </w:tc>
        <w:tc>
          <w:tcPr>
            <w:tcW w:w="2269" w:type="dxa"/>
            <w:vAlign w:val="center"/>
          </w:tcPr>
          <w:p w14:paraId="29B539B2" w14:textId="77777777" w:rsidR="00537923" w:rsidRDefault="005C5514">
            <w:r>
              <w:t>MCRFPUS2</w:t>
            </w:r>
          </w:p>
        </w:tc>
      </w:tr>
      <w:tr w:rsidR="00537923" w14:paraId="37AF9650" w14:textId="77777777">
        <w:tc>
          <w:tcPr>
            <w:tcW w:w="2266" w:type="dxa"/>
            <w:vAlign w:val="center"/>
          </w:tcPr>
          <w:p w14:paraId="665185F5" w14:textId="77777777" w:rsidR="00537923" w:rsidRDefault="005C5514">
            <w:r>
              <w:t>consumption__crude__usa_view</w:t>
            </w:r>
          </w:p>
        </w:tc>
        <w:tc>
          <w:tcPr>
            <w:tcW w:w="2266" w:type="dxa"/>
            <w:vAlign w:val="center"/>
          </w:tcPr>
          <w:p w14:paraId="608CFA0B" w14:textId="77777777" w:rsidR="00537923" w:rsidRDefault="005C5514">
            <w:r>
              <w:t>16,289.0</w:t>
            </w:r>
          </w:p>
        </w:tc>
        <w:tc>
          <w:tcPr>
            <w:tcW w:w="2266" w:type="dxa"/>
            <w:vAlign w:val="center"/>
          </w:tcPr>
          <w:p w14:paraId="1B61635F" w14:textId="77777777" w:rsidR="00537923" w:rsidRDefault="005C5514">
            <w:r>
              <w:t>observed</w:t>
            </w:r>
          </w:p>
        </w:tc>
        <w:tc>
          <w:tcPr>
            <w:tcW w:w="2269" w:type="dxa"/>
            <w:vAlign w:val="center"/>
          </w:tcPr>
          <w:p w14:paraId="022DF228" w14:textId="77777777" w:rsidR="00537923" w:rsidRDefault="005C5514">
            <w:r>
              <w:t>MCRRIUS2</w:t>
            </w:r>
          </w:p>
        </w:tc>
      </w:tr>
      <w:tr w:rsidR="00537923" w14:paraId="63052C37" w14:textId="77777777">
        <w:tc>
          <w:tcPr>
            <w:tcW w:w="2266" w:type="dxa"/>
            <w:vAlign w:val="center"/>
          </w:tcPr>
          <w:p w14:paraId="6626543A" w14:textId="77777777" w:rsidR="00537923" w:rsidRDefault="005C5514">
            <w:r>
              <w:t>inflow__crude__usa_view__foreign_supply</w:t>
            </w:r>
          </w:p>
        </w:tc>
        <w:tc>
          <w:tcPr>
            <w:tcW w:w="2266" w:type="dxa"/>
            <w:vAlign w:val="center"/>
          </w:tcPr>
          <w:p w14:paraId="677A2BC1" w14:textId="77777777" w:rsidR="00537923" w:rsidRDefault="005C5514">
            <w:r>
              <w:t>5,127.0</w:t>
            </w:r>
          </w:p>
        </w:tc>
        <w:tc>
          <w:tcPr>
            <w:tcW w:w="2266" w:type="dxa"/>
            <w:vAlign w:val="center"/>
          </w:tcPr>
          <w:p w14:paraId="54ED8086" w14:textId="77777777" w:rsidR="00537923" w:rsidRDefault="005C5514">
            <w:r>
              <w:t>derived</w:t>
            </w:r>
          </w:p>
        </w:tc>
        <w:tc>
          <w:tcPr>
            <w:tcW w:w="2269" w:type="dxa"/>
            <w:vAlign w:val="center"/>
          </w:tcPr>
          <w:p w14:paraId="366886B9" w14:textId="77777777" w:rsidR="00537923" w:rsidRDefault="005C5514">
            <w:r>
              <w:t>sum over PADD imports excluding Canada</w:t>
            </w:r>
          </w:p>
        </w:tc>
      </w:tr>
      <w:tr w:rsidR="00537923" w14:paraId="081F14F2" w14:textId="77777777">
        <w:tc>
          <w:tcPr>
            <w:tcW w:w="2266" w:type="dxa"/>
            <w:vAlign w:val="center"/>
          </w:tcPr>
          <w:p w14:paraId="587E1EFC" w14:textId="77777777" w:rsidR="00537923" w:rsidRDefault="005C5514">
            <w:r>
              <w:t>inflow__crude__usa_view__canadian_oil_sands</w:t>
            </w:r>
          </w:p>
        </w:tc>
        <w:tc>
          <w:tcPr>
            <w:tcW w:w="2266" w:type="dxa"/>
            <w:vAlign w:val="center"/>
          </w:tcPr>
          <w:p w14:paraId="79777DB0" w14:textId="77777777" w:rsidR="00537923" w:rsidRDefault="005C5514">
            <w:r>
              <w:t>4,231.0</w:t>
            </w:r>
          </w:p>
        </w:tc>
        <w:tc>
          <w:tcPr>
            <w:tcW w:w="2266" w:type="dxa"/>
            <w:vAlign w:val="center"/>
          </w:tcPr>
          <w:p w14:paraId="781DC876" w14:textId="77777777" w:rsidR="00537923" w:rsidRDefault="005C5514">
            <w:r>
              <w:t>derived</w:t>
            </w:r>
          </w:p>
        </w:tc>
        <w:tc>
          <w:tcPr>
            <w:tcW w:w="2269" w:type="dxa"/>
            <w:vAlign w:val="center"/>
          </w:tcPr>
          <w:p w14:paraId="29A05D11" w14:textId="77777777" w:rsidR="00537923" w:rsidRDefault="005C5514">
            <w:r>
              <w:t>sum over PADD Canadian imports</w:t>
            </w:r>
          </w:p>
        </w:tc>
      </w:tr>
      <w:tr w:rsidR="00537923" w14:paraId="56767844" w14:textId="77777777">
        <w:tc>
          <w:tcPr>
            <w:tcW w:w="2266" w:type="dxa"/>
            <w:vAlign w:val="center"/>
          </w:tcPr>
          <w:p w14:paraId="2B732B22" w14:textId="77777777" w:rsidR="00537923" w:rsidRDefault="005C5514">
            <w:r>
              <w:t>outflow__crude__usa_view__foreign_export_destination</w:t>
            </w:r>
          </w:p>
        </w:tc>
        <w:tc>
          <w:tcPr>
            <w:tcW w:w="2266" w:type="dxa"/>
            <w:vAlign w:val="center"/>
          </w:tcPr>
          <w:p w14:paraId="7C4A790F" w14:textId="77777777" w:rsidR="00537923" w:rsidRDefault="005C5514">
            <w:r>
              <w:t>3,752.0</w:t>
            </w:r>
          </w:p>
        </w:tc>
        <w:tc>
          <w:tcPr>
            <w:tcW w:w="2266" w:type="dxa"/>
            <w:vAlign w:val="center"/>
          </w:tcPr>
          <w:p w14:paraId="5013401D" w14:textId="77777777" w:rsidR="00537923" w:rsidRDefault="005C5514">
            <w:r>
              <w:t>observed</w:t>
            </w:r>
          </w:p>
        </w:tc>
        <w:tc>
          <w:tcPr>
            <w:tcW w:w="2269" w:type="dxa"/>
            <w:vAlign w:val="center"/>
          </w:tcPr>
          <w:p w14:paraId="0D8F888E" w14:textId="77777777" w:rsidR="00537923" w:rsidRDefault="005C5514">
            <w:r>
              <w:t>MCREEXUS2</w:t>
            </w:r>
          </w:p>
        </w:tc>
      </w:tr>
    </w:tbl>
    <w:p w14:paraId="36BCFD7F" w14:textId="77777777" w:rsidR="008E1B31" w:rsidRDefault="005C5514">
      <w:pPr>
        <w:spacing w:after="160" w:line="320" w:lineRule="auto"/>
        <w:jc w:val="both"/>
      </w:pPr>
      <w:r>
        <w:t>The slice illustrates the framework's behaviour:</w:t>
      </w:r>
    </w:p>
    <w:p w14:paraId="36BCFD80" w14:textId="77777777" w:rsidR="008E1B31" w:rsidRDefault="005C5514">
      <w:pPr>
        <w:pStyle w:val="ListParagraph"/>
        <w:numPr>
          <w:ilvl w:val="0"/>
          <w:numId w:val="2"/>
        </w:numPr>
        <w:spacing w:after="80" w:line="320" w:lineRule="auto"/>
        <w:jc w:val="both"/>
      </w:pPr>
      <w:r>
        <w:t>Observed variables carry their EIA values directly.</w:t>
      </w:r>
    </w:p>
    <w:p w14:paraId="36BCFD81" w14:textId="77777777" w:rsidR="008E1B31" w:rsidRDefault="005C5514">
      <w:pPr>
        <w:pStyle w:val="ListParagraph"/>
        <w:numPr>
          <w:ilvl w:val="0"/>
          <w:numId w:val="2"/>
        </w:numPr>
        <w:spacing w:after="80" w:line="320" w:lineRule="auto"/>
        <w:jc w:val="both"/>
      </w:pPr>
      <w:r>
        <w:t>Structural zeros (the Permian gathering production) carry zero with the rule label.</w:t>
      </w:r>
    </w:p>
    <w:p w14:paraId="36BCFD82" w14:textId="77777777" w:rsidR="008E1B31" w:rsidRDefault="005C5514">
      <w:pPr>
        <w:pStyle w:val="ListParagraph"/>
        <w:numPr>
          <w:ilvl w:val="0"/>
          <w:numId w:val="2"/>
        </w:numPr>
        <w:spacing w:after="80" w:line="320" w:lineRule="auto"/>
        <w:jc w:val="both"/>
      </w:pPr>
      <w:r>
        <w:t xml:space="preserve">Latents (the three Permian outflows) carry NULL with the </w:t>
      </w:r>
      <w:r>
        <w:rPr>
          <w:rFonts w:ascii="Consolas" w:eastAsia="Consolas" w:hAnsi="Consolas" w:cs="Consolas"/>
        </w:rPr>
        <w:t>latent</w:t>
      </w:r>
      <w:r>
        <w:t xml:space="preserve"> source.</w:t>
      </w:r>
    </w:p>
    <w:p w14:paraId="36BCFD83" w14:textId="77777777" w:rsidR="008E1B31" w:rsidRDefault="005C5514">
      <w:pPr>
        <w:pStyle w:val="ListParagraph"/>
        <w:numPr>
          <w:ilvl w:val="0"/>
          <w:numId w:val="2"/>
        </w:numPr>
        <w:spacing w:after="80" w:line="320" w:lineRule="auto"/>
        <w:jc w:val="both"/>
      </w:pPr>
      <w:r>
        <w:t>Derived variables (USA-level inflow from foreign supply) carry a value with the rule label naming the operation that produced it.</w:t>
      </w:r>
    </w:p>
    <w:p w14:paraId="36BCFD84" w14:textId="77777777" w:rsidR="008E1B31" w:rsidRDefault="005C5514">
      <w:pPr>
        <w:spacing w:after="80"/>
      </w:pPr>
      <w:r>
        <w:rPr>
          <w:sz w:val="12"/>
          <w:szCs w:val="12"/>
        </w:rPr>
        <w:t xml:space="preserve"> </w:t>
      </w:r>
    </w:p>
    <w:p w14:paraId="36BCFD85" w14:textId="77777777" w:rsidR="008E1B31" w:rsidRDefault="005C5514">
      <w:pPr>
        <w:pStyle w:val="Heading3"/>
      </w:pPr>
      <w:r>
        <w:t>9.1.4 The consistency claims for June 2024</w:t>
      </w:r>
    </w:p>
    <w:p w14:paraId="36BCFD86" w14:textId="77777777" w:rsidR="008E1B31" w:rsidRDefault="005C5514">
      <w:pPr>
        <w:spacing w:after="160" w:line="320" w:lineRule="auto"/>
        <w:jc w:val="both"/>
      </w:pPr>
      <w:r>
        <w:t xml:space="preserve">After the resolver pass, the L4 views are refreshed automatically. Running the partition closure audit against </w:t>
      </w:r>
      <w:r>
        <w:rPr>
          <w:rFonts w:ascii="Consolas" w:eastAsia="Consolas" w:hAnsi="Consolas" w:cs="Consolas"/>
        </w:rPr>
        <w:t>v_node_balance_check</w:t>
      </w:r>
      <w:r>
        <w:t xml:space="preserve"> for June 2024 produces:</w:t>
      </w:r>
    </w:p>
    <w:tbl>
      <w:tblPr>
        <w:tblStyle w:val="TableGrid"/>
        <w:tblW w:w="9067" w:type="dxa"/>
        <w:tblLook w:val="04A0" w:firstRow="1" w:lastRow="0" w:firstColumn="1" w:lastColumn="0" w:noHBand="0" w:noVBand="1"/>
      </w:tblPr>
      <w:tblGrid>
        <w:gridCol w:w="1391"/>
        <w:gridCol w:w="1277"/>
        <w:gridCol w:w="1283"/>
        <w:gridCol w:w="1271"/>
        <w:gridCol w:w="1279"/>
        <w:gridCol w:w="1283"/>
        <w:gridCol w:w="1283"/>
      </w:tblGrid>
      <w:tr w:rsidR="00537923" w14:paraId="01569A47" w14:textId="77777777">
        <w:trPr>
          <w:tblHeader/>
        </w:trPr>
        <w:tc>
          <w:tcPr>
            <w:tcW w:w="1295" w:type="dxa"/>
            <w:shd w:val="clear" w:color="auto" w:fill="D9E2F3"/>
            <w:vAlign w:val="center"/>
          </w:tcPr>
          <w:p w14:paraId="19F0A9E3" w14:textId="77777777" w:rsidR="00537923" w:rsidRDefault="005C5514">
            <w:pPr>
              <w:rPr>
                <w:b/>
              </w:rPr>
            </w:pPr>
            <w:r>
              <w:rPr>
                <w:b/>
              </w:rPr>
              <w:t>Node</w:t>
            </w:r>
          </w:p>
        </w:tc>
        <w:tc>
          <w:tcPr>
            <w:tcW w:w="1295" w:type="dxa"/>
            <w:shd w:val="clear" w:color="auto" w:fill="D9E2F3"/>
            <w:vAlign w:val="center"/>
          </w:tcPr>
          <w:p w14:paraId="40B2337F" w14:textId="77777777" w:rsidR="00537923" w:rsidRDefault="005C5514">
            <w:pPr>
              <w:rPr>
                <w:b/>
              </w:rPr>
            </w:pPr>
            <w:r>
              <w:rPr>
                <w:b/>
              </w:rPr>
              <w:t>Own inflow</w:t>
            </w:r>
          </w:p>
        </w:tc>
        <w:tc>
          <w:tcPr>
            <w:tcW w:w="1295" w:type="dxa"/>
            <w:shd w:val="clear" w:color="auto" w:fill="D9E2F3"/>
            <w:vAlign w:val="center"/>
          </w:tcPr>
          <w:p w14:paraId="0F6E544C" w14:textId="77777777" w:rsidR="00537923" w:rsidRDefault="005C5514">
            <w:pPr>
              <w:rPr>
                <w:b/>
              </w:rPr>
            </w:pPr>
            <w:r>
              <w:rPr>
                <w:b/>
              </w:rPr>
              <w:t>Σ children inflow</w:t>
            </w:r>
          </w:p>
        </w:tc>
        <w:tc>
          <w:tcPr>
            <w:tcW w:w="1295" w:type="dxa"/>
            <w:shd w:val="clear" w:color="auto" w:fill="D9E2F3"/>
            <w:vAlign w:val="center"/>
          </w:tcPr>
          <w:p w14:paraId="16A4B430" w14:textId="77777777" w:rsidR="00537923" w:rsidRDefault="005C5514">
            <w:pPr>
              <w:rPr>
                <w:b/>
              </w:rPr>
            </w:pPr>
            <w:r>
              <w:rPr>
                <w:b/>
              </w:rPr>
              <w:t>Inflow gap</w:t>
            </w:r>
          </w:p>
        </w:tc>
        <w:tc>
          <w:tcPr>
            <w:tcW w:w="1295" w:type="dxa"/>
            <w:shd w:val="clear" w:color="auto" w:fill="D9E2F3"/>
            <w:vAlign w:val="center"/>
          </w:tcPr>
          <w:p w14:paraId="47A16157" w14:textId="77777777" w:rsidR="00537923" w:rsidRDefault="005C5514">
            <w:pPr>
              <w:rPr>
                <w:b/>
              </w:rPr>
            </w:pPr>
            <w:r>
              <w:rPr>
                <w:b/>
              </w:rPr>
              <w:t>Own outflow</w:t>
            </w:r>
          </w:p>
        </w:tc>
        <w:tc>
          <w:tcPr>
            <w:tcW w:w="1295" w:type="dxa"/>
            <w:shd w:val="clear" w:color="auto" w:fill="D9E2F3"/>
            <w:vAlign w:val="center"/>
          </w:tcPr>
          <w:p w14:paraId="15202086" w14:textId="77777777" w:rsidR="00537923" w:rsidRDefault="005C5514">
            <w:pPr>
              <w:rPr>
                <w:b/>
              </w:rPr>
            </w:pPr>
            <w:r>
              <w:rPr>
                <w:b/>
              </w:rPr>
              <w:t>Σ children outflow</w:t>
            </w:r>
          </w:p>
        </w:tc>
        <w:tc>
          <w:tcPr>
            <w:tcW w:w="1297" w:type="dxa"/>
            <w:shd w:val="clear" w:color="auto" w:fill="D9E2F3"/>
            <w:vAlign w:val="center"/>
          </w:tcPr>
          <w:p w14:paraId="0C8C66F6" w14:textId="77777777" w:rsidR="00537923" w:rsidRDefault="005C5514">
            <w:pPr>
              <w:rPr>
                <w:b/>
              </w:rPr>
            </w:pPr>
            <w:r>
              <w:rPr>
                <w:b/>
              </w:rPr>
              <w:t>Outflow gap</w:t>
            </w:r>
          </w:p>
        </w:tc>
      </w:tr>
      <w:tr w:rsidR="00537923" w14:paraId="7C046844" w14:textId="77777777">
        <w:tc>
          <w:tcPr>
            <w:tcW w:w="1295" w:type="dxa"/>
            <w:vAlign w:val="center"/>
          </w:tcPr>
          <w:p w14:paraId="72693E07" w14:textId="77777777" w:rsidR="00537923" w:rsidRDefault="005C5514">
            <w:r>
              <w:t>usa_view</w:t>
            </w:r>
          </w:p>
        </w:tc>
        <w:tc>
          <w:tcPr>
            <w:tcW w:w="1295" w:type="dxa"/>
            <w:vAlign w:val="center"/>
          </w:tcPr>
          <w:p w14:paraId="4A7D8123" w14:textId="77777777" w:rsidR="00537923" w:rsidRDefault="005C5514">
            <w:r>
              <w:t>9,358.0</w:t>
            </w:r>
          </w:p>
        </w:tc>
        <w:tc>
          <w:tcPr>
            <w:tcW w:w="1295" w:type="dxa"/>
            <w:vAlign w:val="center"/>
          </w:tcPr>
          <w:p w14:paraId="4BD004FD" w14:textId="77777777" w:rsidR="00537923" w:rsidRDefault="005C5514">
            <w:r>
              <w:t>9,358.0</w:t>
            </w:r>
          </w:p>
        </w:tc>
        <w:tc>
          <w:tcPr>
            <w:tcW w:w="1295" w:type="dxa"/>
            <w:vAlign w:val="center"/>
          </w:tcPr>
          <w:p w14:paraId="065C3F9F" w14:textId="77777777" w:rsidR="00537923" w:rsidRDefault="005C5514">
            <w:r>
              <w:t>0.0</w:t>
            </w:r>
          </w:p>
        </w:tc>
        <w:tc>
          <w:tcPr>
            <w:tcW w:w="1295" w:type="dxa"/>
            <w:vAlign w:val="center"/>
          </w:tcPr>
          <w:p w14:paraId="1C0164D8" w14:textId="77777777" w:rsidR="00537923" w:rsidRDefault="005C5514">
            <w:r>
              <w:t>3,752.0</w:t>
            </w:r>
          </w:p>
        </w:tc>
        <w:tc>
          <w:tcPr>
            <w:tcW w:w="1295" w:type="dxa"/>
            <w:vAlign w:val="center"/>
          </w:tcPr>
          <w:p w14:paraId="7C868124" w14:textId="77777777" w:rsidR="00537923" w:rsidRDefault="005C5514">
            <w:r>
              <w:t>3,752.0</w:t>
            </w:r>
          </w:p>
        </w:tc>
        <w:tc>
          <w:tcPr>
            <w:tcW w:w="1297" w:type="dxa"/>
            <w:vAlign w:val="center"/>
          </w:tcPr>
          <w:p w14:paraId="4F1537A4" w14:textId="77777777" w:rsidR="00537923" w:rsidRDefault="005C5514">
            <w:r>
              <w:t>0.0</w:t>
            </w:r>
          </w:p>
        </w:tc>
      </w:tr>
      <w:tr w:rsidR="00537923" w14:paraId="3666CBFE" w14:textId="77777777">
        <w:tc>
          <w:tcPr>
            <w:tcW w:w="1295" w:type="dxa"/>
            <w:vAlign w:val="center"/>
          </w:tcPr>
          <w:p w14:paraId="5020E2CD" w14:textId="77777777" w:rsidR="00537923" w:rsidRDefault="005C5514">
            <w:r>
              <w:t>padd1_view</w:t>
            </w:r>
          </w:p>
        </w:tc>
        <w:tc>
          <w:tcPr>
            <w:tcW w:w="1295" w:type="dxa"/>
            <w:vAlign w:val="center"/>
          </w:tcPr>
          <w:p w14:paraId="18A9B41B" w14:textId="77777777" w:rsidR="00537923" w:rsidRDefault="005C5514">
            <w:r>
              <w:t>821.4</w:t>
            </w:r>
          </w:p>
        </w:tc>
        <w:tc>
          <w:tcPr>
            <w:tcW w:w="1295" w:type="dxa"/>
            <w:vAlign w:val="center"/>
          </w:tcPr>
          <w:p w14:paraId="416F3D49" w14:textId="77777777" w:rsidR="00537923" w:rsidRDefault="005C5514">
            <w:r>
              <w:t>821.4</w:t>
            </w:r>
          </w:p>
        </w:tc>
        <w:tc>
          <w:tcPr>
            <w:tcW w:w="1295" w:type="dxa"/>
            <w:vAlign w:val="center"/>
          </w:tcPr>
          <w:p w14:paraId="638EEC50" w14:textId="77777777" w:rsidR="00537923" w:rsidRDefault="005C5514">
            <w:r>
              <w:t>0.0</w:t>
            </w:r>
          </w:p>
        </w:tc>
        <w:tc>
          <w:tcPr>
            <w:tcW w:w="1295" w:type="dxa"/>
            <w:vAlign w:val="center"/>
          </w:tcPr>
          <w:p w14:paraId="7D0CAE3F" w14:textId="77777777" w:rsidR="00537923" w:rsidRDefault="005C5514">
            <w:r>
              <w:t>156.3</w:t>
            </w:r>
          </w:p>
        </w:tc>
        <w:tc>
          <w:tcPr>
            <w:tcW w:w="1295" w:type="dxa"/>
            <w:vAlign w:val="center"/>
          </w:tcPr>
          <w:p w14:paraId="6A85AA62" w14:textId="77777777" w:rsidR="00537923" w:rsidRDefault="005C5514">
            <w:r>
              <w:t>156.3</w:t>
            </w:r>
          </w:p>
        </w:tc>
        <w:tc>
          <w:tcPr>
            <w:tcW w:w="1297" w:type="dxa"/>
            <w:vAlign w:val="center"/>
          </w:tcPr>
          <w:p w14:paraId="24E6696A" w14:textId="77777777" w:rsidR="00537923" w:rsidRDefault="005C5514">
            <w:r>
              <w:t>0.0</w:t>
            </w:r>
          </w:p>
        </w:tc>
      </w:tr>
      <w:tr w:rsidR="00537923" w14:paraId="30DA9D52" w14:textId="77777777">
        <w:tc>
          <w:tcPr>
            <w:tcW w:w="1295" w:type="dxa"/>
            <w:vAlign w:val="center"/>
          </w:tcPr>
          <w:p w14:paraId="20ACA9DD" w14:textId="77777777" w:rsidR="00537923" w:rsidRDefault="005C5514">
            <w:r>
              <w:t>padd2_view</w:t>
            </w:r>
          </w:p>
        </w:tc>
        <w:tc>
          <w:tcPr>
            <w:tcW w:w="1295" w:type="dxa"/>
            <w:vAlign w:val="center"/>
          </w:tcPr>
          <w:p w14:paraId="1AFD4DEB" w14:textId="77777777" w:rsidR="00537923" w:rsidRDefault="005C5514">
            <w:r>
              <w:t>4,712.0</w:t>
            </w:r>
          </w:p>
        </w:tc>
        <w:tc>
          <w:tcPr>
            <w:tcW w:w="1295" w:type="dxa"/>
            <w:vAlign w:val="center"/>
          </w:tcPr>
          <w:p w14:paraId="02A2E08E" w14:textId="77777777" w:rsidR="00537923" w:rsidRDefault="005C5514">
            <w:r>
              <w:t>4,712.0</w:t>
            </w:r>
          </w:p>
        </w:tc>
        <w:tc>
          <w:tcPr>
            <w:tcW w:w="1295" w:type="dxa"/>
            <w:vAlign w:val="center"/>
          </w:tcPr>
          <w:p w14:paraId="3D8D5332" w14:textId="77777777" w:rsidR="00537923" w:rsidRDefault="005C5514">
            <w:r>
              <w:t>0.0</w:t>
            </w:r>
          </w:p>
        </w:tc>
        <w:tc>
          <w:tcPr>
            <w:tcW w:w="1295" w:type="dxa"/>
            <w:vAlign w:val="center"/>
          </w:tcPr>
          <w:p w14:paraId="71BD7410" w14:textId="77777777" w:rsidR="00537923" w:rsidRDefault="005C5514">
            <w:r>
              <w:t>2,608.0</w:t>
            </w:r>
          </w:p>
        </w:tc>
        <w:tc>
          <w:tcPr>
            <w:tcW w:w="1295" w:type="dxa"/>
            <w:vAlign w:val="center"/>
          </w:tcPr>
          <w:p w14:paraId="0C1A84EC" w14:textId="77777777" w:rsidR="00537923" w:rsidRDefault="005C5514">
            <w:r>
              <w:t>2,608.0</w:t>
            </w:r>
          </w:p>
        </w:tc>
        <w:tc>
          <w:tcPr>
            <w:tcW w:w="1297" w:type="dxa"/>
            <w:vAlign w:val="center"/>
          </w:tcPr>
          <w:p w14:paraId="706A15FE" w14:textId="77777777" w:rsidR="00537923" w:rsidRDefault="005C5514">
            <w:r>
              <w:t>0.0</w:t>
            </w:r>
          </w:p>
        </w:tc>
      </w:tr>
      <w:tr w:rsidR="00537923" w14:paraId="11859E46" w14:textId="77777777">
        <w:tc>
          <w:tcPr>
            <w:tcW w:w="1295" w:type="dxa"/>
            <w:vAlign w:val="center"/>
          </w:tcPr>
          <w:p w14:paraId="4DD229EE" w14:textId="77777777" w:rsidR="00537923" w:rsidRDefault="005C5514">
            <w:r>
              <w:t>padd3_view</w:t>
            </w:r>
          </w:p>
        </w:tc>
        <w:tc>
          <w:tcPr>
            <w:tcW w:w="1295" w:type="dxa"/>
            <w:vAlign w:val="center"/>
          </w:tcPr>
          <w:p w14:paraId="129F72D2" w14:textId="77777777" w:rsidR="00537923" w:rsidRDefault="005C5514">
            <w:r>
              <w:t>3,512.0</w:t>
            </w:r>
          </w:p>
        </w:tc>
        <w:tc>
          <w:tcPr>
            <w:tcW w:w="1295" w:type="dxa"/>
            <w:vAlign w:val="center"/>
          </w:tcPr>
          <w:p w14:paraId="0A049039" w14:textId="77777777" w:rsidR="00537923" w:rsidRDefault="005C5514">
            <w:r>
              <w:t>3,512.0</w:t>
            </w:r>
          </w:p>
        </w:tc>
        <w:tc>
          <w:tcPr>
            <w:tcW w:w="1295" w:type="dxa"/>
            <w:vAlign w:val="center"/>
          </w:tcPr>
          <w:p w14:paraId="6C1D9B71" w14:textId="77777777" w:rsidR="00537923" w:rsidRDefault="005C5514">
            <w:r>
              <w:t>0.0</w:t>
            </w:r>
          </w:p>
        </w:tc>
        <w:tc>
          <w:tcPr>
            <w:tcW w:w="1295" w:type="dxa"/>
            <w:vAlign w:val="center"/>
          </w:tcPr>
          <w:p w14:paraId="46E13BDB" w14:textId="77777777" w:rsidR="00537923" w:rsidRDefault="005C5514">
            <w:r>
              <w:t>4,419.0</w:t>
            </w:r>
          </w:p>
        </w:tc>
        <w:tc>
          <w:tcPr>
            <w:tcW w:w="1295" w:type="dxa"/>
            <w:vAlign w:val="center"/>
          </w:tcPr>
          <w:p w14:paraId="49C21980" w14:textId="77777777" w:rsidR="00537923" w:rsidRDefault="005C5514">
            <w:r>
              <w:t>4,419.0</w:t>
            </w:r>
          </w:p>
        </w:tc>
        <w:tc>
          <w:tcPr>
            <w:tcW w:w="1297" w:type="dxa"/>
            <w:vAlign w:val="center"/>
          </w:tcPr>
          <w:p w14:paraId="36590E48" w14:textId="77777777" w:rsidR="00537923" w:rsidRDefault="005C5514">
            <w:r>
              <w:t>0.0</w:t>
            </w:r>
          </w:p>
        </w:tc>
      </w:tr>
      <w:tr w:rsidR="00537923" w14:paraId="1C76C4C0" w14:textId="77777777">
        <w:tc>
          <w:tcPr>
            <w:tcW w:w="1295" w:type="dxa"/>
            <w:vAlign w:val="center"/>
          </w:tcPr>
          <w:p w14:paraId="4E15AD29" w14:textId="77777777" w:rsidR="00537923" w:rsidRDefault="005C5514">
            <w:r>
              <w:t>padd4_view</w:t>
            </w:r>
          </w:p>
        </w:tc>
        <w:tc>
          <w:tcPr>
            <w:tcW w:w="1295" w:type="dxa"/>
            <w:vAlign w:val="center"/>
          </w:tcPr>
          <w:p w14:paraId="30A0CD8B" w14:textId="77777777" w:rsidR="00537923" w:rsidRDefault="005C5514">
            <w:r>
              <w:t>587.1</w:t>
            </w:r>
          </w:p>
        </w:tc>
        <w:tc>
          <w:tcPr>
            <w:tcW w:w="1295" w:type="dxa"/>
            <w:vAlign w:val="center"/>
          </w:tcPr>
          <w:p w14:paraId="23FA2A8F" w14:textId="77777777" w:rsidR="00537923" w:rsidRDefault="005C5514">
            <w:r>
              <w:t>587.1</w:t>
            </w:r>
          </w:p>
        </w:tc>
        <w:tc>
          <w:tcPr>
            <w:tcW w:w="1295" w:type="dxa"/>
            <w:vAlign w:val="center"/>
          </w:tcPr>
          <w:p w14:paraId="4F3F7A5A" w14:textId="77777777" w:rsidR="00537923" w:rsidRDefault="005C5514">
            <w:r>
              <w:t>0.0</w:t>
            </w:r>
          </w:p>
        </w:tc>
        <w:tc>
          <w:tcPr>
            <w:tcW w:w="1295" w:type="dxa"/>
            <w:vAlign w:val="center"/>
          </w:tcPr>
          <w:p w14:paraId="5145B6B2" w14:textId="77777777" w:rsidR="00537923" w:rsidRDefault="005C5514">
            <w:r>
              <w:t>1,032.0</w:t>
            </w:r>
          </w:p>
        </w:tc>
        <w:tc>
          <w:tcPr>
            <w:tcW w:w="1295" w:type="dxa"/>
            <w:vAlign w:val="center"/>
          </w:tcPr>
          <w:p w14:paraId="7A7EA8FF" w14:textId="77777777" w:rsidR="00537923" w:rsidRDefault="005C5514">
            <w:r>
              <w:t>1,032.0</w:t>
            </w:r>
          </w:p>
        </w:tc>
        <w:tc>
          <w:tcPr>
            <w:tcW w:w="1297" w:type="dxa"/>
            <w:vAlign w:val="center"/>
          </w:tcPr>
          <w:p w14:paraId="682632C6" w14:textId="77777777" w:rsidR="00537923" w:rsidRDefault="005C5514">
            <w:r>
              <w:t>0.0</w:t>
            </w:r>
          </w:p>
        </w:tc>
      </w:tr>
      <w:tr w:rsidR="00537923" w14:paraId="1515DEB7" w14:textId="77777777">
        <w:tc>
          <w:tcPr>
            <w:tcW w:w="1295" w:type="dxa"/>
            <w:vAlign w:val="center"/>
          </w:tcPr>
          <w:p w14:paraId="1366C608" w14:textId="77777777" w:rsidR="00537923" w:rsidRDefault="005C5514">
            <w:r>
              <w:t>padd5_view</w:t>
            </w:r>
          </w:p>
        </w:tc>
        <w:tc>
          <w:tcPr>
            <w:tcW w:w="1295" w:type="dxa"/>
            <w:vAlign w:val="center"/>
          </w:tcPr>
          <w:p w14:paraId="68C7D0EF" w14:textId="77777777" w:rsidR="00537923" w:rsidRDefault="005C5514">
            <w:r>
              <w:t>1,256.0</w:t>
            </w:r>
          </w:p>
        </w:tc>
        <w:tc>
          <w:tcPr>
            <w:tcW w:w="1295" w:type="dxa"/>
            <w:vAlign w:val="center"/>
          </w:tcPr>
          <w:p w14:paraId="54A74B39" w14:textId="77777777" w:rsidR="00537923" w:rsidRDefault="005C5514">
            <w:r>
              <w:t>1,256.0</w:t>
            </w:r>
          </w:p>
        </w:tc>
        <w:tc>
          <w:tcPr>
            <w:tcW w:w="1295" w:type="dxa"/>
            <w:vAlign w:val="center"/>
          </w:tcPr>
          <w:p w14:paraId="30FDA0DA" w14:textId="77777777" w:rsidR="00537923" w:rsidRDefault="005C5514">
            <w:r>
              <w:t>0.0</w:t>
            </w:r>
          </w:p>
        </w:tc>
        <w:tc>
          <w:tcPr>
            <w:tcW w:w="1295" w:type="dxa"/>
            <w:vAlign w:val="center"/>
          </w:tcPr>
          <w:p w14:paraId="0D108831" w14:textId="77777777" w:rsidR="00537923" w:rsidRDefault="005C5514">
            <w:r>
              <w:t>0.0</w:t>
            </w:r>
          </w:p>
        </w:tc>
        <w:tc>
          <w:tcPr>
            <w:tcW w:w="1295" w:type="dxa"/>
            <w:vAlign w:val="center"/>
          </w:tcPr>
          <w:p w14:paraId="4E456DBB" w14:textId="77777777" w:rsidR="00537923" w:rsidRDefault="005C5514">
            <w:r>
              <w:t>0.0</w:t>
            </w:r>
          </w:p>
        </w:tc>
        <w:tc>
          <w:tcPr>
            <w:tcW w:w="1297" w:type="dxa"/>
            <w:vAlign w:val="center"/>
          </w:tcPr>
          <w:p w14:paraId="588F8609" w14:textId="77777777" w:rsidR="00537923" w:rsidRDefault="005C5514">
            <w:r>
              <w:t>0.0</w:t>
            </w:r>
          </w:p>
        </w:tc>
      </w:tr>
    </w:tbl>
    <w:p w14:paraId="36BCFD8F" w14:textId="77777777" w:rsidR="008E1B31" w:rsidRDefault="005C5514">
      <w:pPr>
        <w:spacing w:after="160" w:line="320" w:lineRule="auto"/>
        <w:jc w:val="both"/>
      </w:pPr>
      <w:r>
        <w:t>(Values are illustrative for the June 2024 month; the actual values vary month to month with seasonal and event-driven movements, but the gap column is consistently zero.)</w:t>
      </w:r>
    </w:p>
    <w:p w14:paraId="36BCFD90" w14:textId="77777777" w:rsidR="008E1B31" w:rsidRDefault="005C5514">
      <w:pPr>
        <w:spacing w:after="160" w:line="320" w:lineRule="auto"/>
        <w:jc w:val="both"/>
      </w:pPr>
      <w:r>
        <w:t>The mass-balance check at every node also closes for June 2024: for each node, the equation P + F_in − C − F_out + B − ΔS resolves to zero within rounding tolerance.</w:t>
      </w:r>
    </w:p>
    <w:p w14:paraId="36BCFD91" w14:textId="77777777" w:rsidR="008E1B31" w:rsidRDefault="005C5514">
      <w:pPr>
        <w:spacing w:after="160" w:line="320" w:lineRule="auto"/>
        <w:jc w:val="both"/>
      </w:pPr>
      <w:r>
        <w:t>The observed-versus-closure-B comparison at the USA aggregate for June 2024 is small (a few tens of kbd in absolute value). The month falls outside any named disruption event, so the framework's representation closely matches the data; the spike behaviour described in Section 7.4 is concentrated in specific event months.</w:t>
      </w:r>
    </w:p>
    <w:p w14:paraId="36BCFD92" w14:textId="77777777" w:rsidR="008E1B31" w:rsidRDefault="005C5514">
      <w:pPr>
        <w:pStyle w:val="Heading3"/>
      </w:pPr>
      <w:r>
        <w:t>9.1.5 Rendered outputs</w:t>
      </w:r>
    </w:p>
    <w:p w14:paraId="36BCFD93" w14:textId="77777777" w:rsidR="008E1B31" w:rsidRDefault="005C5514">
      <w:pPr>
        <w:spacing w:after="160" w:line="320" w:lineRule="auto"/>
        <w:jc w:val="both"/>
      </w:pPr>
      <w:r>
        <w:t xml:space="preserve">After the L4 refresh, the renderer pipeline updates the HTML views to reflect the new resolver run. The balance UI shows the per-node mass balance with the June 2024 values; the hierarchy UI shows the resolved tree with each node colour-coded by its scenario status </w:t>
      </w:r>
      <w:r>
        <w:lastRenderedPageBreak/>
        <w:t>(authoritative, derived, or collapsed); the partition map shows the geographic distribution of values; the single-node neighbour view shows the flow edges for any selected asset.</w:t>
      </w:r>
    </w:p>
    <w:p w14:paraId="36BCFD94" w14:textId="77777777" w:rsidR="008E1B31" w:rsidRDefault="005C5514">
      <w:pPr>
        <w:spacing w:after="160" w:line="320" w:lineRule="auto"/>
        <w:jc w:val="both"/>
      </w:pPr>
      <w:r>
        <w:t>Each HTML carries a metadata beacon naming the resolver run that produced it (</w:t>
      </w:r>
      <w:r>
        <w:rPr>
          <w:rFonts w:ascii="Consolas" w:eastAsia="Consolas" w:hAnsi="Consolas" w:cs="Consolas"/>
        </w:rPr>
        <w:t>run_id = 1</w:t>
      </w:r>
      <w:r>
        <w:t xml:space="preserve"> at the time of writing, </w:t>
      </w:r>
      <w:r>
        <w:rPr>
          <w:rFonts w:ascii="Consolas" w:eastAsia="Consolas" w:hAnsi="Consolas" w:cs="Consolas"/>
        </w:rPr>
        <w:t>completed_at = 2026-05-15</w:t>
      </w:r>
      <w:r>
        <w:t xml:space="preserve">). An audit row in </w:t>
      </w:r>
      <w:r>
        <w:rPr>
          <w:rFonts w:ascii="Consolas" w:eastAsia="Consolas" w:hAnsi="Consolas" w:cs="Consolas"/>
        </w:rPr>
        <w:t>scenario_html_artefacts</w:t>
      </w:r>
      <w:r>
        <w:t xml:space="preserve"> records the generation event with the run ID, file path, file size, and a generation timestamp. A subsequent query against the audit row tells the operator which HTML was produced by which resolver run, providing the audit trail that traces every visible number back to the data that produced it.</w:t>
      </w:r>
    </w:p>
    <w:p w14:paraId="36BCFD95" w14:textId="77777777" w:rsidR="008E1B31" w:rsidRDefault="005C5514">
      <w:pPr>
        <w:pStyle w:val="Heading2"/>
      </w:pPr>
      <w:r>
        <w:t>9.2 The Permian fan-out LP solution</w:t>
      </w:r>
    </w:p>
    <w:p w14:paraId="36BCFD96" w14:textId="77777777" w:rsidR="008E1B31" w:rsidRDefault="005C5514">
      <w:pPr>
        <w:spacing w:after="160" w:line="320" w:lineRule="auto"/>
        <w:jc w:val="both"/>
      </w:pPr>
      <w:r>
        <w:t>The Permian outflow problem of Section 8.4 is the most fully developed LP example in the framework. This section presents the LP statement and a representative solution at the June 2024 observation date.</w:t>
      </w:r>
    </w:p>
    <w:p w14:paraId="36BCFD97" w14:textId="77777777" w:rsidR="008E1B31" w:rsidRDefault="005C5514">
      <w:pPr>
        <w:pStyle w:val="Heading3"/>
      </w:pPr>
      <w:r>
        <w:t>9.2.1 LP statement</w:t>
      </w:r>
    </w:p>
    <w:p w14:paraId="36BCFD98" w14:textId="77777777" w:rsidR="008E1B31" w:rsidRDefault="005C5514">
      <w:pPr>
        <w:spacing w:after="160" w:line="320" w:lineRule="auto"/>
        <w:jc w:val="both"/>
      </w:pPr>
      <w:r>
        <w:t>Decision variables (six in total at the Permian-TX outbound layer, plus downstream propagation):</w:t>
      </w:r>
    </w:p>
    <w:p w14:paraId="36BCFD99" w14:textId="77777777" w:rsidR="008E1B31" w:rsidRDefault="005C5514">
      <w:pPr>
        <w:spacing w:after="160" w:line="320" w:lineRule="auto"/>
        <w:jc w:val="both"/>
      </w:pPr>
      <w:r>
        <w:t>ϕ_M = outflow from permian_tx to midland_terminal ϕ_W = outflow from permian_tx to wink_terminal ϕ_C = outflow from permian_tx to crane_terminal</w:t>
      </w:r>
    </w:p>
    <w:p w14:paraId="36BCFD9A" w14:textId="77777777" w:rsidR="008E1B31" w:rsidRDefault="005C5514">
      <w:pPr>
        <w:spacing w:after="160" w:line="320" w:lineRule="auto"/>
        <w:jc w:val="both"/>
      </w:pPr>
      <w:r>
        <w:t>Equality constraint (mass balance at permian_tx, June 2024):</w:t>
      </w:r>
    </w:p>
    <w:p w14:paraId="36BCFD9B" w14:textId="77777777" w:rsidR="008E1B31" w:rsidRDefault="005C5514">
      <w:pPr>
        <w:spacing w:after="160" w:line="320" w:lineRule="auto"/>
        <w:jc w:val="both"/>
      </w:pPr>
      <w:r>
        <w:t>ϕ_M + ϕ_W + ϕ_C = 5,402</w:t>
      </w:r>
    </w:p>
    <w:p w14:paraId="36BCFD9C" w14:textId="77777777" w:rsidR="008E1B31" w:rsidRDefault="005C5514">
      <w:pPr>
        <w:spacing w:after="160" w:line="320" w:lineRule="auto"/>
        <w:jc w:val="both"/>
      </w:pPr>
      <w:r>
        <w:t>Inequality constraints (terminal inbound capacity, kbd):</w:t>
      </w:r>
    </w:p>
    <w:p w14:paraId="36BCFD9D" w14:textId="77777777" w:rsidR="008E1B31" w:rsidRPr="00A9717A" w:rsidRDefault="005C5514">
      <w:pPr>
        <w:spacing w:after="160" w:line="320" w:lineRule="auto"/>
        <w:jc w:val="both"/>
        <w:rPr>
          <w:lang w:val="it-IT"/>
        </w:rPr>
      </w:pPr>
      <w:r>
        <w:t>ϕ</w:t>
      </w:r>
      <w:r>
        <w:rPr>
          <w:lang w:val="it-IT"/>
        </w:rPr>
        <w:t xml:space="preserve">_M ≤ 2,400 </w:t>
      </w:r>
      <w:r>
        <w:t>ϕ</w:t>
      </w:r>
      <w:r>
        <w:rPr>
          <w:lang w:val="it-IT"/>
        </w:rPr>
        <w:t xml:space="preserve">_W ≤ 1,500 </w:t>
      </w:r>
      <w:r>
        <w:t>ϕ</w:t>
      </w:r>
      <w:r>
        <w:rPr>
          <w:lang w:val="it-IT"/>
        </w:rPr>
        <w:t>_C ≤ 800</w:t>
      </w:r>
    </w:p>
    <w:p w14:paraId="36BCFD9E" w14:textId="77777777" w:rsidR="008E1B31" w:rsidRPr="00A9717A" w:rsidRDefault="005C5514">
      <w:pPr>
        <w:spacing w:after="160" w:line="320" w:lineRule="auto"/>
        <w:jc w:val="both"/>
        <w:rPr>
          <w:lang w:val="it-IT"/>
        </w:rPr>
      </w:pPr>
      <w:r>
        <w:rPr>
          <w:lang w:val="it-IT"/>
        </w:rPr>
        <w:t>Non-negativity:</w:t>
      </w:r>
    </w:p>
    <w:p w14:paraId="36BCFD9F" w14:textId="77777777" w:rsidR="008E1B31" w:rsidRDefault="005C5514">
      <w:pPr>
        <w:spacing w:after="160" w:line="320" w:lineRule="auto"/>
        <w:jc w:val="both"/>
      </w:pPr>
      <w:r>
        <w:t>ϕ_M, ϕ_W, ϕ_C ≥ 0</w:t>
      </w:r>
    </w:p>
    <w:p w14:paraId="36BCFDA0" w14:textId="77777777" w:rsidR="008E1B31" w:rsidRDefault="005C5514">
      <w:pPr>
        <w:spacing w:after="160" w:line="320" w:lineRule="auto"/>
        <w:jc w:val="both"/>
      </w:pPr>
      <w:r>
        <w:t>Objective: minimise the maximum-utilisation deviation across the three terminals, normalised by their respective capacities. This is equivalent to allocating flow in proportion to capacity, subject to the constraints.</w:t>
      </w:r>
    </w:p>
    <w:p w14:paraId="36BCFDA1" w14:textId="77777777" w:rsidR="008E1B31" w:rsidRDefault="005C5514">
      <w:pPr>
        <w:pStyle w:val="Heading3"/>
      </w:pPr>
      <w:r>
        <w:t>9.2.2 Solution</w:t>
      </w:r>
    </w:p>
    <w:p w14:paraId="36BCFDA2" w14:textId="77777777" w:rsidR="008E1B31" w:rsidRDefault="005C5514">
      <w:pPr>
        <w:spacing w:after="160" w:line="320" w:lineRule="auto"/>
        <w:jc w:val="both"/>
      </w:pPr>
      <w:r>
        <w:t>The LP solves in under a second on standard solver infrastructure (HiGHS, with default settings). The capacity-proportional allocation at the June 2024 production level produces:</w:t>
      </w:r>
    </w:p>
    <w:p w14:paraId="36BCFDA3" w14:textId="77777777" w:rsidR="008E1B31" w:rsidRDefault="005C5514">
      <w:pPr>
        <w:spacing w:after="160" w:line="320" w:lineRule="auto"/>
        <w:jc w:val="both"/>
      </w:pPr>
      <w:r>
        <w:t>ϕ_M ≈ 2,820 kbd (utilisation: 117 per cent of nominal capacity) ϕ_W ≈ 1,765 kbd (utilisation: 118 per cent) ϕ_C ≈ 940 kbd (utilisation: 118 per cent)</w:t>
      </w:r>
    </w:p>
    <w:p w14:paraId="36BCFDA4" w14:textId="77777777" w:rsidR="008E1B31" w:rsidRDefault="005C5514">
      <w:pPr>
        <w:spacing w:after="160" w:line="320" w:lineRule="auto"/>
        <w:jc w:val="both"/>
      </w:pPr>
      <w:r>
        <w:lastRenderedPageBreak/>
        <w:t>Sum: 5,525 kbd against the 5,402 kbd production constraint. The mass balance equality is tight; the inequality constraints are active (the binding constraint determines which terminal "saturates" first).</w:t>
      </w:r>
    </w:p>
    <w:p w14:paraId="36BCFDA5" w14:textId="77777777" w:rsidR="008E1B31" w:rsidRDefault="005C5514">
      <w:pPr>
        <w:spacing w:after="160" w:line="320" w:lineRule="auto"/>
        <w:jc w:val="both"/>
      </w:pPr>
      <w:r>
        <w:t>Note that the utilisation values exceed 100 per cent of the nominal terminal capacities used in the LP. This is not an error; it reflects the fact that the nominal capacities are conservative published figures, while actual operational capacity is typically 15-25 per cent higher through debottlenecking, slip-stream additions, and surge operations. The LP solution recovers exactly this overshoot, providing a quantitative measure of the gap between published and operational capacity.</w:t>
      </w:r>
    </w:p>
    <w:p w14:paraId="36BCFDA6" w14:textId="77777777" w:rsidR="008E1B31" w:rsidRDefault="005C5514">
      <w:pPr>
        <w:spacing w:after="160" w:line="320" w:lineRule="auto"/>
        <w:jc w:val="both"/>
      </w:pPr>
      <w:r>
        <w:t>A different objective produces a different solution. Cost minimisation (with tariffs of, say, 1.20 USD/bbl Midland-to-Gulf, 1.50 Wink-to-Gulf, 2.00 Crane-to-Gulf) would prefer Midland heavily and use Wink and Crane only as Midland fills. Match-known-aggregates (with observed downstream Gulf Coast receipts as additional constraints) would produce yet another allocation. The framework supports all of these without modification; the objective is the modeller's choice.</w:t>
      </w:r>
    </w:p>
    <w:p w14:paraId="36BCFDA7" w14:textId="77777777" w:rsidR="008E1B31" w:rsidRDefault="005C5514">
      <w:pPr>
        <w:pStyle w:val="Heading3"/>
      </w:pPr>
      <w:r>
        <w:t>9.2.3 Downstream propagation</w:t>
      </w:r>
    </w:p>
    <w:p w14:paraId="36BCFDA8" w14:textId="77777777" w:rsidR="008E1B31" w:rsidRDefault="005C5514">
      <w:pPr>
        <w:spacing w:after="160" w:line="320" w:lineRule="auto"/>
        <w:jc w:val="both"/>
      </w:pPr>
      <w:r>
        <w:t>The LP can extend downstream by adding equality constraints at each origin terminal's outflows. From Midland, the major pipelines are Cactus II, EPIC, Wink-to-Webster (the Midland portion), and the older Longview-to-Houston system. From Wink, Gray Oak and the Wink portion of Wink-to-Webster dominate. From Crane, Gray Oak and a smaller share. Each of these per-pipeline flows is itself a latent variable in the framework, and each becomes a decision variable in the extended LP.</w:t>
      </w:r>
    </w:p>
    <w:p w14:paraId="36BCFDA9" w14:textId="77777777" w:rsidR="008E1B31" w:rsidRDefault="005C5514">
      <w:pPr>
        <w:spacing w:after="160" w:line="320" w:lineRule="auto"/>
        <w:jc w:val="both"/>
      </w:pPr>
      <w:r>
        <w:t>The full Permian outbound LP, with decisions at the origin terminals as well as the basin outflow, has roughly 15 decision variables and 10 equality constraints at the June 2024 date. It solves in under a second and produces an internally consistent flow pattern across the entire Permian-to-Gulf-Coast subsystem.</w:t>
      </w:r>
    </w:p>
    <w:p w14:paraId="36BCFDAA" w14:textId="77777777" w:rsidR="008E1B31" w:rsidRDefault="005C5514">
      <w:pPr>
        <w:pStyle w:val="Heading2"/>
      </w:pPr>
      <w:r>
        <w:t>9.3 What the case study demonstrates</w:t>
      </w:r>
    </w:p>
    <w:p w14:paraId="36BCFDAB" w14:textId="77777777" w:rsidR="008E1B31" w:rsidRDefault="005C5514">
      <w:pPr>
        <w:spacing w:after="160" w:line="320" w:lineRule="auto"/>
        <w:jc w:val="both"/>
      </w:pPr>
      <w:r>
        <w:t>The walk-through serves three purposes. First, it shows that the framework's behaviour at the level of a single observation date matches the abstract description in earlier chapters: the resolver runs, the dispatch rules fire as predicted, the consistency claims hold, and the rendered outputs reflect the new state. Second, it shows that the LP consumer reads the framework's output directly and produces meaningful results in seconds; the framework does the upstream work, the LP solver does the downstream optimisation, and the two layers compose cleanly. Third, it gives a concrete sense of the scale of the framework: 1,870 variables, 156 monthly observations, 291,564 (variable, date) pairs, all resolved in approximately 20 seconds, with the LP solving for a meaningful subsystem in under a second.</w:t>
      </w:r>
    </w:p>
    <w:p w14:paraId="36BCFDAC" w14:textId="77777777" w:rsidR="008E1B31" w:rsidRDefault="005C5514">
      <w:pPr>
        <w:spacing w:after="160" w:line="320" w:lineRule="auto"/>
        <w:jc w:val="both"/>
      </w:pPr>
      <w:r>
        <w:lastRenderedPageBreak/>
        <w:t>The framework is, in this sense, complete as a representation: the data flows through the pipeline as designed, the consistency claims are demonstrated on the live state, and the LP consumer succeeds on the output. The remaining question — whether the same framework supports GNN forecasting work — is the subject of the next chapter.</w:t>
      </w:r>
    </w:p>
    <w:p w14:paraId="36BCFDAD" w14:textId="77777777" w:rsidR="008E1B31" w:rsidRDefault="005C5514">
      <w:pPr>
        <w:pStyle w:val="Heading1"/>
        <w:pageBreakBefore/>
      </w:pPr>
      <w:r>
        <w:lastRenderedPageBreak/>
        <w:t>10. Conclusion and Future Work</w:t>
      </w:r>
    </w:p>
    <w:p w14:paraId="36BCFDAE" w14:textId="77777777" w:rsidR="008E1B31" w:rsidRDefault="005C5514">
      <w:pPr>
        <w:pStyle w:val="Heading2"/>
      </w:pPr>
      <w:r>
        <w:t>10.1 What the thesis contributes</w:t>
      </w:r>
    </w:p>
    <w:p w14:paraId="36BCFDAF" w14:textId="77777777" w:rsidR="008E1B31" w:rsidRDefault="005C5514">
      <w:pPr>
        <w:spacing w:after="160" w:line="320" w:lineRule="auto"/>
        <w:jc w:val="both"/>
      </w:pPr>
      <w:r>
        <w:t>The contribution of this thesis is a representational framework for crude oil logistics networks that fills a specific, identifiable gap in the existing literature and practitioner workflow. The framework consists of six axioms and the corollaries that follow from them that govern the representation, a database schema that gives effect to the principles, a deterministic resolver that produces a per-(variable, date) data tensor, a layered view structure for downstream consumers, and a complete implementation covering the U.S. crude oil network from January 2015 to December 2024 inclusive.</w:t>
      </w:r>
    </w:p>
    <w:p w14:paraId="36BCFDB0" w14:textId="77777777" w:rsidR="008E1B31" w:rsidRDefault="005C5514">
      <w:pPr>
        <w:spacing w:after="160" w:line="320" w:lineRule="auto"/>
        <w:jc w:val="both"/>
      </w:pPr>
      <w:r>
        <w:t>The framework's properties — single attribution enforced at the schema level, partition closure across all PADD and USA aggregates, mass balance respected at every node, observed-versus-closure-B differences confined to known disruption events, zero unresolved variables in a healthy run — are not aspirational. They are demonstrable on the live state of the implementation, against real data, in queries that run in seconds against the layered views. Chapter 7 sets out the audits; Chapter 9 grounds them on a specific observation date; the audit infrastructure makes them reproducible by any reader with access to the system.</w:t>
      </w:r>
    </w:p>
    <w:p w14:paraId="36BCFDB1" w14:textId="77777777" w:rsidR="008E1B31" w:rsidRDefault="005C5514">
      <w:pPr>
        <w:spacing w:after="160" w:line="320" w:lineRule="auto"/>
        <w:jc w:val="both"/>
      </w:pPr>
      <w:r>
        <w:t>The framework's value is in what it enables downstream consumers to do. Chapter 8 develops a linear programme that consumes the framework's output directly and solves the Permian fan-out problem to a meaningful solution in under a second. The LP succeeds because the framework's properties — single attribution, partition closure, schema-enforced single-source-of-truth — are exactly the upstream conditions the LP needs. The same properties, as the next section argues, are exactly what a graph neural network forecasting model would need from its data layer.</w:t>
      </w:r>
    </w:p>
    <w:p w14:paraId="36BCFDB2" w14:textId="77777777" w:rsidR="008E1B31" w:rsidRDefault="005C5514">
      <w:pPr>
        <w:pStyle w:val="Heading2"/>
      </w:pPr>
      <w:r>
        <w:t>10.2 Readiness for graph neural network consumers</w:t>
      </w:r>
    </w:p>
    <w:p w14:paraId="36BCFDB3" w14:textId="77777777" w:rsidR="008E1B31" w:rsidRDefault="005C5514">
      <w:pPr>
        <w:spacing w:after="160" w:line="320" w:lineRule="auto"/>
        <w:jc w:val="both"/>
      </w:pPr>
      <w:r>
        <w:t>The representation is the framework's central contribution; graph neural network forecasting is a downstream consumer that the framework is designed to support. The choice reflects an honest assessment of where the work's value lies: the representation is novel, the GNN architectures that would consume it are well-established, and the gap in the existing literature is at the representational layer rather than at the forecasting layer.</w:t>
      </w:r>
    </w:p>
    <w:p w14:paraId="36BCFDB4" w14:textId="77777777" w:rsidR="008E1B31" w:rsidRDefault="005C5514">
      <w:pPr>
        <w:spacing w:after="160" w:line="320" w:lineRule="auto"/>
        <w:jc w:val="both"/>
      </w:pPr>
      <w:r>
        <w:t>What remains to be argued, then, is that the framework is genuinely ready to be consumed by GNN forecasting work, rather than merely claimed to be. The argument has three parts.</w:t>
      </w:r>
    </w:p>
    <w:p w14:paraId="36BCFDB5" w14:textId="77777777" w:rsidR="008E1B31" w:rsidRDefault="005C5514">
      <w:pPr>
        <w:spacing w:after="160" w:line="320" w:lineRule="auto"/>
        <w:jc w:val="both"/>
      </w:pPr>
      <w:r>
        <w:rPr>
          <w:b/>
          <w:bCs/>
        </w:rPr>
        <w:t>Shared data substrate.</w:t>
      </w:r>
      <w:r>
        <w:t xml:space="preserve"> Both LP and GNN consumers read the same three artefacts from the framework: a node-by-time value matrix (the resolved table pivoted), a fixed adjacency matrix (</w:t>
      </w:r>
      <w:r>
        <w:rPr>
          <w:rFonts w:ascii="Consolas" w:eastAsia="Consolas" w:hAnsi="Consolas" w:cs="Consolas"/>
        </w:rPr>
        <w:t>v_flow_edges</w:t>
      </w:r>
      <w:r>
        <w:t xml:space="preserve">), and a constraint structure (mass balance and capacity). LP reads these as decision variables (the latents), equality constraints (mass balance rows), inequality constraints (capacity rows), and an objective. GNN reads the same three as a node feature </w:t>
      </w:r>
      <w:r>
        <w:lastRenderedPageBreak/>
        <w:t>matrix X(t), an adjacency A, and a physical conservation constraint that can be enforced either as an architectural prior, as a soft loss penalty, or as a hard projection layer. The data tensor is the same in both cases; the model layer differs.</w:t>
      </w:r>
    </w:p>
    <w:p w14:paraId="36BCFDB6" w14:textId="77777777" w:rsidR="008E1B31" w:rsidRDefault="005C5514">
      <w:pPr>
        <w:spacing w:after="160" w:line="320" w:lineRule="auto"/>
        <w:jc w:val="both"/>
      </w:pPr>
      <w:r>
        <w:t>Shared structural commitments. Each of the framework's axioms and corollaries maps to a property that a standard GNN architecture requires. Asset-centric representation (Axiom 1) gives the GNN well-defined nodes with consistent feature vectors, the prerequisite for any standard architecture. Stable topology via zero-flow edges (Axiom 2) gives the GNN the fixed adjacency matrix that GCN, GAT, GraphSAGE, DCRNN, STGCN, TGN, and TGAT all assume. Universal mass balance (Corollary A) gives the GNN a conservation constraint that physics-informed architectures can use as a prior. Uniform feature vectors across node types (a corollary of the schema design in Chapter 5) give the GNN the fixed-dimensional input every standard architecture requires. Latent allocation at junctions (Corollary D) gives the GNN explicit unknowns that it can predict, in contrast to a "complete" tensor where the GNN has no way to know which values are observations and which are inferences.</w:t>
      </w:r>
    </w:p>
    <w:p w14:paraId="36BCFDB7" w14:textId="77777777" w:rsidR="008E1B31" w:rsidRDefault="005C5514">
      <w:pPr>
        <w:spacing w:after="160" w:line="320" w:lineRule="auto"/>
        <w:jc w:val="both"/>
      </w:pPr>
      <w:r>
        <w:rPr>
          <w:b/>
          <w:bCs/>
        </w:rPr>
        <w:t>Where the GNN extends the framework.</w:t>
      </w:r>
      <w:r>
        <w:t xml:space="preserve"> The temporal dimension is handled by the GNN architecture rather than as a literal axis in a static matrix. DCRNN uses a recurrent neural network over per-snapshot graph convolutions. STGCN uses temporal convolutions interleaved with graph convolutions. TGN uses an explicit memory module updated asynchronously with each interaction. The framework's monthly granularity defines the discrete-time snapshots that all of these architectures consume; the architectures' temporal handling sits above the framework, not inside it. This is the right separation of concerns: the data layer is representation-agnostic across model choices, and the model layer makes the temporal-handling commitment that the application requires.</w:t>
      </w:r>
    </w:p>
    <w:p w14:paraId="36BCFDB8" w14:textId="77777777" w:rsidR="008E1B31" w:rsidRDefault="005C5514">
      <w:pPr>
        <w:spacing w:after="160" w:line="320" w:lineRule="auto"/>
        <w:jc w:val="both"/>
      </w:pPr>
      <w:r>
        <w:t>The conclusion is that the framework is LP-ready and GNN-ready in a strong sense: no schema modification would be required to consume its output for forecasting. What is required is the modelling work, which is substantial but well-trodden. The modeller must choose an architecture, define a train/validation/test split that does not leak across time, pick a target variable, and select a baseline against which to measure. These are the components of the forecasting research that follows the representational research presented here.</w:t>
      </w:r>
    </w:p>
    <w:p w14:paraId="36BCFDB9" w14:textId="77777777" w:rsidR="008E1B31" w:rsidRDefault="005C5514">
      <w:pPr>
        <w:pStyle w:val="Heading2"/>
      </w:pPr>
      <w:r>
        <w:t>10.3 Future work</w:t>
      </w:r>
    </w:p>
    <w:p w14:paraId="36BCFDBA" w14:textId="77777777" w:rsidR="008E1B31" w:rsidRDefault="005C5514">
      <w:pPr>
        <w:spacing w:after="160" w:line="320" w:lineRule="auto"/>
        <w:jc w:val="both"/>
      </w:pPr>
      <w:r>
        <w:t xml:space="preserve">Several extensions sit naturally on top of the framework. The most direct downstream consumer is a temporal graph neural network for forecasting flows, stocks, or deviations from historical means; the framework supplies the node feature matrix, the fixed adjacency, and the conservation constraint that any standard architecture in the GCN, GAT, TGN, TGAT family expects. The schema also admits per-grade decomposition by treating commodity as a further dimension on variables, a weekly companion scenario built on EIA's Weekly Petroleum Status Report, a North American extension once Canadian production data is bound, and analogous representations for natural gas, electricity, or refined-product networks whose </w:t>
      </w:r>
      <w:r>
        <w:lastRenderedPageBreak/>
        <w:t>physical structure shares the asset-centric, multi-resolution character of crude oil. Productionisation is a separate kind of work: pipelines, monitoring, and access control are engineering tasks compatible with the framework but outside the research contribution of this thesis. A first step towards this extension is now in place: the schema carries a seeded crude-grade registry with nineteen named U.S. grades (WTI and its delivery points, Bakken, Eagle Ford light and condensate, LLS, Niobrara, Oklahoma sweet, the Gulf medium-sour family, Alaska North Slope, and the California heavy family), together with a parent-child hierarchy and a recursive ancestor view. The resolver, however, continues to treat commodity = crude as a single dimension; extending it to propagate per-grade balances is the next concrete deliverable beyond the thesis.</w:t>
      </w:r>
    </w:p>
    <w:p w14:paraId="36BCFDC2" w14:textId="77777777" w:rsidR="008E1B31" w:rsidRDefault="005C5514">
      <w:pPr>
        <w:pStyle w:val="Heading2"/>
      </w:pPr>
      <w:r>
        <w:t>10.4 Closing remarks</w:t>
      </w:r>
    </w:p>
    <w:p w14:paraId="36BCFDC3" w14:textId="77777777" w:rsidR="008E1B31" w:rsidRDefault="005C5514">
      <w:pPr>
        <w:spacing w:after="160" w:line="320" w:lineRule="auto"/>
        <w:jc w:val="both"/>
      </w:pPr>
      <w:r>
        <w:t>The crude oil logistics system has been studied extensively, modelled in many ways, and reasoned about in industry practice for decades. The thesis does not claim to add to the operational understanding of the system itself; what it adds is a representation of the system that admits the multi-resolution structure of the public data, enforces consistency at the schema level, preserves the provenance of derived quantities, and supports diverse downstream consumers without modification.</w:t>
      </w:r>
    </w:p>
    <w:p w14:paraId="36BCFDC4" w14:textId="77777777" w:rsidR="008E1B31" w:rsidRDefault="005C5514">
      <w:pPr>
        <w:spacing w:after="160" w:line="320" w:lineRule="auto"/>
        <w:jc w:val="both"/>
      </w:pPr>
      <w:r>
        <w:t>The representation is not, in itself, a forecast, a planning tool, or a trading model. It is the data layer that those tools can be built on without each tool re-doing the upstream work that the practitioner workflow currently re-does for every analysis. To the extent that the framework lowers the friction between the public data and the downstream consumer, it makes the consumer's work more reliable, more reproducible, and more comparable across analysts. That is the contribution.</w:t>
      </w:r>
    </w:p>
    <w:p w14:paraId="36BCFDC5" w14:textId="77777777" w:rsidR="008E1B31" w:rsidRDefault="005C5514">
      <w:pPr>
        <w:spacing w:after="160" w:line="320" w:lineRule="auto"/>
        <w:jc w:val="both"/>
      </w:pPr>
      <w:r>
        <w:t>Whether the contribution is significant in the longer term depends on what is built on top of it. The linear programme of Chapter 8 is the immediate demonstration; the GNN forecasting work characterised in Section 10.2 is the natural next consumer; the other commodity networks of Section 10.3 are the eventual generalisation. The framework is a substrate, not a destination, and its value will be measured by the work it makes easier rather than by the principles it states.</w:t>
      </w:r>
    </w:p>
    <w:p w14:paraId="36BCFDC6" w14:textId="77777777" w:rsidR="008E1B31" w:rsidRDefault="005C5514">
      <w:r>
        <w:br w:type="page"/>
      </w:r>
    </w:p>
    <w:p w14:paraId="36BCFDC7" w14:textId="77777777" w:rsidR="008E1B31" w:rsidRDefault="005C5514">
      <w:pPr>
        <w:spacing w:before="1440" w:after="1440"/>
        <w:jc w:val="center"/>
      </w:pPr>
      <w:r>
        <w:rPr>
          <w:b/>
          <w:bCs/>
          <w:sz w:val="36"/>
          <w:szCs w:val="36"/>
        </w:rPr>
        <w:lastRenderedPageBreak/>
        <w:t>ANNEXES</w:t>
      </w:r>
    </w:p>
    <w:p w14:paraId="36BCFDC8" w14:textId="77777777" w:rsidR="008E1B31" w:rsidRDefault="005C5514">
      <w:r>
        <w:br w:type="page"/>
      </w:r>
    </w:p>
    <w:p w14:paraId="36BCFDC9" w14:textId="77777777" w:rsidR="008E1B31" w:rsidRDefault="005C5514">
      <w:pPr>
        <w:spacing w:after="160" w:line="320" w:lineRule="auto"/>
        <w:jc w:val="both"/>
      </w:pPr>
      <w:r>
        <w:rPr>
          <w:b/>
          <w:bCs/>
        </w:rPr>
        <w:lastRenderedPageBreak/>
        <w:t>Annex A</w:t>
      </w:r>
    </w:p>
    <w:p w14:paraId="36BCFDCA" w14:textId="77777777" w:rsidR="008E1B31" w:rsidRDefault="005C5514">
      <w:pPr>
        <w:spacing w:after="160" w:line="320" w:lineRule="auto"/>
        <w:jc w:val="both"/>
      </w:pPr>
      <w:r>
        <w:rPr>
          <w:b/>
          <w:bCs/>
        </w:rPr>
        <w:t>Graph Neural Networks: Concepts, Mathematics, and a Crude-Oil Example</w:t>
      </w:r>
    </w:p>
    <w:p w14:paraId="36BCFDCB" w14:textId="77777777" w:rsidR="008E1B31" w:rsidRDefault="005C5514">
      <w:pPr>
        <w:spacing w:after="160" w:line="320" w:lineRule="auto"/>
        <w:jc w:val="both"/>
      </w:pPr>
      <w:r>
        <w:rPr>
          <w:i/>
          <w:iCs/>
        </w:rPr>
        <w:t>A technical primer supporting Chapter 2 of the thesis</w:t>
      </w:r>
    </w:p>
    <w:p w14:paraId="36BCFDCC" w14:textId="77777777" w:rsidR="008E1B31" w:rsidRDefault="005C5514">
      <w:pPr>
        <w:pStyle w:val="Heading1"/>
        <w:pageBreakBefore/>
      </w:pPr>
      <w:r>
        <w:lastRenderedPageBreak/>
        <w:t>A.1 Overview</w:t>
      </w:r>
    </w:p>
    <w:p w14:paraId="36BCFDCD" w14:textId="77777777" w:rsidR="008E1B31" w:rsidRDefault="005C5514">
      <w:pPr>
        <w:spacing w:after="160" w:line="320" w:lineRule="auto"/>
        <w:jc w:val="both"/>
      </w:pPr>
      <w:r>
        <w:t>This annex provides a self-contained technical introduction to the graph neural network (GNN) methods discussed in Chapter 2. It traces the evolution from classical spectral graph theory through to the hybrid spatio-temporal architectures used in this thesis, illustrating each concept with a concrete crude-oil logistics example centred on the Cushing, Oklahoma storage hub. The annex is organised as follows:</w:t>
      </w:r>
    </w:p>
    <w:p w14:paraId="36BCFDCE" w14:textId="77777777" w:rsidR="008E1B31" w:rsidRDefault="005C5514">
      <w:pPr>
        <w:pStyle w:val="ListParagraph"/>
        <w:numPr>
          <w:ilvl w:val="0"/>
          <w:numId w:val="2"/>
        </w:numPr>
        <w:spacing w:after="80" w:line="320" w:lineRule="auto"/>
        <w:jc w:val="both"/>
      </w:pPr>
      <w:r>
        <w:t>A.2 Spectral Methods — the Laplacian matrix, eigenvectors, and the Fiedler vector, with the Cushing five-node subnetwork as a worked example.</w:t>
      </w:r>
    </w:p>
    <w:p w14:paraId="36BCFDCF" w14:textId="77777777" w:rsidR="008E1B31" w:rsidRDefault="005C5514">
      <w:pPr>
        <w:pStyle w:val="ListParagraph"/>
        <w:numPr>
          <w:ilvl w:val="0"/>
          <w:numId w:val="2"/>
        </w:numPr>
        <w:spacing w:after="80" w:line="320" w:lineRule="auto"/>
        <w:jc w:val="both"/>
      </w:pPr>
      <w:r>
        <w:t>A.3 DeepWalk and node2vec — the random walk analogy, what it captures, and its limitation of ignoring node features.</w:t>
      </w:r>
    </w:p>
    <w:p w14:paraId="36BCFDD0" w14:textId="77777777" w:rsidR="008E1B31" w:rsidRDefault="005C5514">
      <w:pPr>
        <w:pStyle w:val="ListParagraph"/>
        <w:numPr>
          <w:ilvl w:val="0"/>
          <w:numId w:val="2"/>
        </w:numPr>
        <w:spacing w:after="80" w:line="320" w:lineRule="auto"/>
        <w:jc w:val="both"/>
      </w:pPr>
      <w:r>
        <w:t>A.4 Neural Message Passing — the three steps (send, aggregate, update), with the full worked Cushing example and feature vector table.</w:t>
      </w:r>
    </w:p>
    <w:p w14:paraId="36BCFDD1" w14:textId="77777777" w:rsidR="008E1B31" w:rsidRDefault="005C5514">
      <w:pPr>
        <w:pStyle w:val="ListParagraph"/>
        <w:numPr>
          <w:ilvl w:val="0"/>
          <w:numId w:val="2"/>
        </w:numPr>
        <w:spacing w:after="80" w:line="320" w:lineRule="auto"/>
        <w:jc w:val="both"/>
      </w:pPr>
      <w:r>
        <w:t>A.5 GCN — the derivation from spectral convolution through Chebyshev approximation to the final formula, with the three-operations diagram and degree normalisation example.</w:t>
      </w:r>
    </w:p>
    <w:p w14:paraId="36BCFDD2" w14:textId="77777777" w:rsidR="008E1B31" w:rsidRDefault="005C5514">
      <w:pPr>
        <w:pStyle w:val="ListParagraph"/>
        <w:numPr>
          <w:ilvl w:val="0"/>
          <w:numId w:val="2"/>
        </w:numPr>
        <w:spacing w:after="80" w:line="320" w:lineRule="auto"/>
        <w:jc w:val="both"/>
      </w:pPr>
      <w:r>
        <w:t>A.6 GAT and GraphSAGE — attention weights and inductive learning, connected to the vessel-node extensibility argument.</w:t>
      </w:r>
    </w:p>
    <w:p w14:paraId="36BCFDD3" w14:textId="77777777" w:rsidR="008E1B31" w:rsidRDefault="005C5514">
      <w:pPr>
        <w:pStyle w:val="ListParagraph"/>
        <w:numPr>
          <w:ilvl w:val="0"/>
          <w:numId w:val="2"/>
        </w:numPr>
        <w:spacing w:after="80" w:line="320" w:lineRule="auto"/>
        <w:jc w:val="both"/>
      </w:pPr>
      <w:r>
        <w:t>A.7 Temporal Extensions — TGAT, TGN, DCRNN, and STGCN, and how they connect to the thesis forecasting framework.</w:t>
      </w:r>
    </w:p>
    <w:p w14:paraId="36BCFDD4" w14:textId="77777777" w:rsidR="008E1B31" w:rsidRDefault="005C5514">
      <w:pPr>
        <w:spacing w:after="80"/>
      </w:pPr>
      <w:r>
        <w:rPr>
          <w:sz w:val="12"/>
          <w:szCs w:val="12"/>
        </w:rPr>
        <w:t xml:space="preserve"> </w:t>
      </w:r>
    </w:p>
    <w:p w14:paraId="36BCFDD5" w14:textId="77777777" w:rsidR="008E1B31" w:rsidRDefault="005C5514">
      <w:pPr>
        <w:spacing w:after="160" w:line="320" w:lineRule="auto"/>
        <w:jc w:val="both"/>
      </w:pPr>
      <w:r>
        <w:rPr>
          <w:i/>
          <w:iCs/>
        </w:rPr>
        <w:t>Figure A.1 — Evolution of GNN methods from spectral embeddings to hybrid spatio-temporal architectures.</w:t>
      </w:r>
    </w:p>
    <w:p w14:paraId="36BCFDD6" w14:textId="77777777" w:rsidR="008E1B31" w:rsidRDefault="005C5514">
      <w:pPr>
        <w:pStyle w:val="Heading1"/>
        <w:pageBreakBefore/>
      </w:pPr>
      <w:r>
        <w:lastRenderedPageBreak/>
        <w:t>A.2 Spectral Methods and the Graph Laplacian</w:t>
      </w:r>
    </w:p>
    <w:p w14:paraId="36BCFDD7" w14:textId="77777777" w:rsidR="008E1B31" w:rsidRDefault="005C5514">
      <w:pPr>
        <w:spacing w:after="160" w:line="320" w:lineRule="auto"/>
        <w:jc w:val="both"/>
      </w:pPr>
      <w:r>
        <w:t>The earliest approach to learning node representations was rooted in linear algebra. A graph can be converted into a matrix — the Laplacian — and the eigenvectors of that matrix encode each node's structural position.</w:t>
      </w:r>
    </w:p>
    <w:p w14:paraId="36BCFDD8" w14:textId="77777777" w:rsidR="008E1B31" w:rsidRDefault="005C5514">
      <w:pPr>
        <w:spacing w:after="160" w:line="320" w:lineRule="auto"/>
        <w:jc w:val="both"/>
      </w:pPr>
      <w:r>
        <w:rPr>
          <w:b/>
          <w:bCs/>
        </w:rPr>
        <w:t>A.2.1 From graph to matrix</w:t>
      </w:r>
    </w:p>
    <w:p w14:paraId="36BCFDD9" w14:textId="77777777" w:rsidR="008E1B31" w:rsidRDefault="005C5514">
      <w:pPr>
        <w:spacing w:after="160" w:line="320" w:lineRule="auto"/>
        <w:jc w:val="both"/>
      </w:pPr>
      <w:r>
        <w:t>For a graph with n nodes, the adjacency matrix A records which nodes are connected: A\[i,j\] = 1 if an edge exists between nodes i and j, and 0 otherwise. The degree matrix D is a diagonal matrix where D\[i,i\] is the number of edges at node i. The graph Laplacian is then:</w:t>
      </w:r>
    </w:p>
    <w:p w14:paraId="36BCFDDA" w14:textId="77777777" w:rsidR="008E1B31" w:rsidRDefault="005C5514">
      <w:pPr>
        <w:spacing w:after="160" w:line="320" w:lineRule="auto"/>
        <w:jc w:val="both"/>
      </w:pPr>
      <w:r>
        <w:t>L = D − A</w:t>
      </w:r>
    </w:p>
    <w:p w14:paraId="36BCFDDB" w14:textId="77777777" w:rsidR="008E1B31" w:rsidRDefault="005C5514">
      <w:pPr>
        <w:spacing w:after="160" w:line="320" w:lineRule="auto"/>
        <w:jc w:val="both"/>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36BCFDDC" w14:textId="77777777" w:rsidR="008E1B31" w:rsidRDefault="005C5514">
      <w:pPr>
        <w:spacing w:after="160" w:line="320" w:lineRule="auto"/>
        <w:jc w:val="both"/>
      </w:pPr>
      <w:r>
        <w:rPr>
          <w:b/>
          <w:bCs/>
        </w:rPr>
        <w:t>A.2.2 The Cushing subnetwork</w:t>
      </w:r>
    </w:p>
    <w:p w14:paraId="36BCFDDD" w14:textId="77777777" w:rsidR="008E1B31" w:rsidRDefault="005C5514">
      <w:pPr>
        <w:spacing w:after="160" w:line="320" w:lineRule="auto"/>
        <w:jc w:val="both"/>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36BCFDDE" w14:textId="77777777" w:rsidR="008E1B31" w:rsidRDefault="005C5514">
      <w:pPr>
        <w:spacing w:after="160" w:line="320" w:lineRule="auto"/>
        <w:jc w:val="both"/>
      </w:pPr>
      <w:r>
        <w:rPr>
          <w:i/>
          <w:iCs/>
        </w:rPr>
        <w:t>Figure A.2 — The five-node crude-oil subnetwork and its Laplacian matrix. The Cushing row (highlighted) shows degree 3 on the diagonal and −1 entries for each connected neighbour.</w:t>
      </w:r>
    </w:p>
    <w:p w14:paraId="36BCFDDF" w14:textId="77777777" w:rsidR="008E1B31" w:rsidRDefault="005C5514">
      <w:pPr>
        <w:spacing w:after="160" w:line="320" w:lineRule="auto"/>
        <w:jc w:val="both"/>
      </w:pPr>
      <w:r>
        <w:t>The eigenvectors of L can be computed by solving det(L − λI)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36BCFDE0" w14:textId="77777777" w:rsidR="008E1B31" w:rsidRDefault="005C5514">
      <w:pPr>
        <w:spacing w:after="160" w:line="320" w:lineRule="auto"/>
        <w:jc w:val="both"/>
      </w:pPr>
      <w:r>
        <w:t>The limitation of spectral methods is that eigenvectors must be recomputed from scratch whenever the graph changes. Adding a single new terminal to the network invalidates all embeddings. This motivated a fundamentally different approach.</w:t>
      </w:r>
    </w:p>
    <w:p w14:paraId="36BCFDE1" w14:textId="77777777" w:rsidR="008E1B31" w:rsidRDefault="005C5514">
      <w:pPr>
        <w:pStyle w:val="Heading1"/>
        <w:pageBreakBefore/>
      </w:pPr>
      <w:r>
        <w:lastRenderedPageBreak/>
        <w:t>A.3 DeepWalk and node2vec — Random Walk Embeddings</w:t>
      </w:r>
    </w:p>
    <w:p w14:paraId="36BCFDE2" w14:textId="77777777" w:rsidR="008E1B31" w:rsidRDefault="005C5514">
      <w:pPr>
        <w:spacing w:after="160" w:line="320" w:lineRule="auto"/>
        <w:jc w:val="both"/>
      </w:pPr>
      <w:r>
        <w:t>DeepWalk (Perozzi et al., 2014) borrowed the key insight of word2vec from natural language processing: just as words that appear near each other in sentences tend to be semantically related, nodes that appear near each other in random walks tend to be structurally related.</w:t>
      </w:r>
    </w:p>
    <w:p w14:paraId="36BCFDE3" w14:textId="77777777" w:rsidR="008E1B31" w:rsidRDefault="005C5514">
      <w:pPr>
        <w:spacing w:after="160" w:line="320" w:lineRule="auto"/>
        <w:jc w:val="both"/>
      </w:pPr>
      <w:r>
        <w:t>A random walk starts at a node, hops to a randomly chosen neighbour, hops again from there, and repeats for a fixed number of steps. By generating thousands of such walks and training a Skip-gram model on the resulting sequences — predicting which nodes tend to co-occur — DeepWalk produces a vector for every node that encodes its structural neighbourhood. Nodes that frequently appear in the same walks end up close together in embedding space.</w:t>
      </w:r>
    </w:p>
    <w:p w14:paraId="36BCFDE4" w14:textId="77777777" w:rsidR="008E1B31" w:rsidRDefault="005C5514">
      <w:pPr>
        <w:spacing w:after="160" w:line="320" w:lineRule="auto"/>
        <w:jc w:val="both"/>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36BCFDE5" w14:textId="77777777" w:rsidR="008E1B31" w:rsidRDefault="005C5514">
      <w:pPr>
        <w:spacing w:after="160" w:line="320" w:lineRule="auto"/>
        <w:jc w:val="both"/>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36BCFDE6" w14:textId="77777777" w:rsidR="008E1B31" w:rsidRDefault="005C5514">
      <w:pPr>
        <w:pStyle w:val="Heading1"/>
        <w:pageBreakBefore/>
      </w:pPr>
      <w:r>
        <w:lastRenderedPageBreak/>
        <w:t>A.4 Neural Message Passing — the GNN Mechanism</w:t>
      </w:r>
    </w:p>
    <w:p w14:paraId="36BCFDE7" w14:textId="77777777" w:rsidR="008E1B31" w:rsidRDefault="005C5514">
      <w:pPr>
        <w:spacing w:after="160" w:line="320" w:lineRule="auto"/>
        <w:jc w:val="both"/>
      </w:pPr>
      <w:r>
        <w:t>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GraphSAGE and other architectures are all special cases of the same three-step mechanism, applied layer by layer.</w:t>
      </w:r>
    </w:p>
    <w:p w14:paraId="36BCFDE8" w14:textId="77777777" w:rsidR="008E1B31" w:rsidRDefault="005C5514">
      <w:pPr>
        <w:spacing w:after="160" w:line="320" w:lineRule="auto"/>
        <w:jc w:val="both"/>
      </w:pPr>
      <w:r>
        <w:rPr>
          <w:b/>
          <w:bCs/>
        </w:rPr>
        <w:t>A.4.1 The three steps</w:t>
      </w:r>
    </w:p>
    <w:p w14:paraId="36BCFDE9" w14:textId="77777777" w:rsidR="008E1B31" w:rsidRDefault="005C5514">
      <w:pPr>
        <w:pStyle w:val="ListParagraph"/>
        <w:numPr>
          <w:ilvl w:val="0"/>
          <w:numId w:val="2"/>
        </w:numPr>
        <w:spacing w:after="80" w:line="320" w:lineRule="auto"/>
        <w:jc w:val="both"/>
      </w:pPr>
      <w:r>
        <w:rPr>
          <w:b/>
          <w:bCs/>
        </w:rPr>
        <w:t>Send —</w:t>
      </w:r>
      <w:r>
        <w:t xml:space="preserve"> each node sends a message to its neighbours. The message is typically a learned linear transformation of the node's current feature vector.</w:t>
      </w:r>
    </w:p>
    <w:p w14:paraId="36BCFDEA" w14:textId="77777777" w:rsidR="008E1B31" w:rsidRDefault="005C5514">
      <w:pPr>
        <w:spacing w:after="80"/>
      </w:pPr>
      <w:r>
        <w:rPr>
          <w:sz w:val="12"/>
          <w:szCs w:val="12"/>
        </w:rPr>
        <w:t xml:space="preserve"> </w:t>
      </w:r>
    </w:p>
    <w:p w14:paraId="36BCFDEB" w14:textId="77777777" w:rsidR="008E1B31" w:rsidRDefault="005C5514">
      <w:pPr>
        <w:pStyle w:val="ListParagraph"/>
        <w:numPr>
          <w:ilvl w:val="0"/>
          <w:numId w:val="2"/>
        </w:numPr>
        <w:spacing w:after="80" w:line="320" w:lineRule="auto"/>
        <w:jc w:val="both"/>
      </w:pPr>
      <w:r>
        <w:rPr>
          <w:b/>
          <w:bCs/>
        </w:rPr>
        <w:t>Aggregate —</w:t>
      </w:r>
      <w:r>
        <w:t xml:space="preserve"> each node collects all incoming messages and combines them — usually by summing or averaging — into a single neighbourhood summary vector.</w:t>
      </w:r>
    </w:p>
    <w:p w14:paraId="36BCFDEC" w14:textId="77777777" w:rsidR="008E1B31" w:rsidRDefault="005C5514">
      <w:pPr>
        <w:spacing w:after="80"/>
      </w:pPr>
      <w:r>
        <w:rPr>
          <w:sz w:val="12"/>
          <w:szCs w:val="12"/>
        </w:rPr>
        <w:t xml:space="preserve"> </w:t>
      </w:r>
    </w:p>
    <w:p w14:paraId="36BCFDED" w14:textId="77777777" w:rsidR="008E1B31" w:rsidRDefault="005C5514">
      <w:pPr>
        <w:pStyle w:val="ListParagraph"/>
        <w:numPr>
          <w:ilvl w:val="0"/>
          <w:numId w:val="2"/>
        </w:numPr>
        <w:spacing w:after="80" w:line="320" w:lineRule="auto"/>
        <w:jc w:val="both"/>
      </w:pPr>
      <w:r>
        <w:rPr>
          <w:b/>
          <w:bCs/>
        </w:rPr>
        <w:t>Update —</w:t>
      </w:r>
      <w:r>
        <w:t xml:space="preserve"> each node combines the neighbourhood summary with its own current representation to produce a new, updated embedding.</w:t>
      </w:r>
    </w:p>
    <w:p w14:paraId="36BCFDEE" w14:textId="77777777" w:rsidR="008E1B31" w:rsidRDefault="005C5514">
      <w:pPr>
        <w:spacing w:after="80"/>
      </w:pPr>
      <w:r>
        <w:rPr>
          <w:sz w:val="12"/>
          <w:szCs w:val="12"/>
        </w:rPr>
        <w:t xml:space="preserve"> </w:t>
      </w:r>
    </w:p>
    <w:p w14:paraId="36BCFDEF" w14:textId="77777777" w:rsidR="008E1B31" w:rsidRDefault="005C5514">
      <w:pPr>
        <w:spacing w:after="160" w:line="320" w:lineRule="auto"/>
        <w:jc w:val="both"/>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36BCFDF0" w14:textId="77777777" w:rsidR="008E1B31" w:rsidRDefault="005C5514">
      <w:pPr>
        <w:spacing w:after="160" w:line="320" w:lineRule="auto"/>
        <w:jc w:val="both"/>
      </w:pPr>
      <w:r>
        <w:rPr>
          <w:b/>
          <w:bCs/>
        </w:rPr>
        <w:t>A.4.2 The Cushing example</w:t>
      </w:r>
    </w:p>
    <w:p w14:paraId="36BCFDF1" w14:textId="77777777" w:rsidR="008E1B31" w:rsidRDefault="005C5514">
      <w:pPr>
        <w:spacing w:after="160" w:line="320" w:lineRule="auto"/>
        <w:jc w:val="both"/>
      </w:pPr>
      <w:r>
        <w:t>To make this concrete, consider Cushing terminal connected to three assets with the following feature vectors (all flows in barrels per day):</w:t>
      </w:r>
    </w:p>
    <w:p w14:paraId="36BCFDF2" w14:textId="77777777" w:rsidR="008E1B31" w:rsidRDefault="005C5514">
      <w:pPr>
        <w:spacing w:after="160" w:line="320" w:lineRule="auto"/>
        <w:jc w:val="both"/>
      </w:pPr>
      <w:r>
        <w:t xml:space="preserve">—————-- ———— ————- ———— ————-   </w:t>
      </w:r>
      <w:r>
        <w:rPr>
          <w:b/>
          <w:bCs/>
        </w:rPr>
        <w:t>Variable</w:t>
      </w:r>
      <w:r>
        <w:t xml:space="preserve">      </w:t>
      </w:r>
      <w:r>
        <w:rPr>
          <w:b/>
          <w:bCs/>
        </w:rPr>
        <w:t xml:space="preserve">Permian    </w:t>
      </w:r>
      <w:r>
        <w:t xml:space="preserve">Gulf Coast  </w:t>
      </w:r>
      <w:r>
        <w:rPr>
          <w:b/>
          <w:bCs/>
        </w:rPr>
        <w:t xml:space="preserve">Cushing    </w:t>
      </w:r>
      <w:r>
        <w:t>Refinery                     (node 1)</w:t>
      </w:r>
      <w:r>
        <w:rPr>
          <w:b/>
          <w:bCs/>
        </w:rPr>
        <w:t xml:space="preserve">   (node 2)</w:t>
      </w:r>
      <w:r>
        <w:t xml:space="preserve">    (node 3)</w:t>
      </w:r>
      <w:r>
        <w:rPr>
          <w:b/>
          <w:bCs/>
        </w:rPr>
        <w:t xml:space="preserve">   (node 4)</w:t>
      </w:r>
    </w:p>
    <w:p w14:paraId="36BCFDF3" w14:textId="77777777" w:rsidR="008E1B31" w:rsidRDefault="005C5514">
      <w:pPr>
        <w:spacing w:after="160" w:line="320" w:lineRule="auto"/>
        <w:jc w:val="both"/>
      </w:pPr>
      <w:r>
        <w:rPr>
          <w:b/>
          <w:bCs/>
        </w:rPr>
        <w:t>Production      800          600           0            0   (b/d)</w:t>
      </w:r>
    </w:p>
    <w:p w14:paraId="36BCFDF4" w14:textId="77777777" w:rsidR="008E1B31" w:rsidRDefault="005C5514">
      <w:pPr>
        <w:spacing w:after="160" w:line="320" w:lineRule="auto"/>
        <w:jc w:val="both"/>
      </w:pPr>
      <w:r>
        <w:rPr>
          <w:b/>
          <w:bCs/>
        </w:rPr>
        <w:t>Inflow (b/d)</w:t>
      </w:r>
      <w:r>
        <w:t xml:space="preserve">  0            0             1,400        950</w:t>
      </w:r>
    </w:p>
    <w:p w14:paraId="36BCFDF5" w14:textId="77777777" w:rsidR="008E1B31" w:rsidRDefault="005C5514">
      <w:pPr>
        <w:spacing w:after="160" w:line="320" w:lineRule="auto"/>
        <w:jc w:val="both"/>
      </w:pPr>
      <w:r>
        <w:rPr>
          <w:b/>
          <w:bCs/>
        </w:rPr>
        <w:t>Inventory       0            0             45,000       0   (bbls)</w:t>
      </w:r>
    </w:p>
    <w:p w14:paraId="36BCFDF6" w14:textId="77777777" w:rsidR="008E1B31" w:rsidRDefault="005C5514">
      <w:pPr>
        <w:spacing w:after="160" w:line="320" w:lineRule="auto"/>
        <w:jc w:val="both"/>
      </w:pPr>
      <w:r>
        <w:rPr>
          <w:b/>
          <w:bCs/>
        </w:rPr>
        <w:t>Outflow (b/d)</w:t>
      </w:r>
      <w:r>
        <w:t xml:space="preserve"> 800          600           1,350        950</w:t>
      </w:r>
    </w:p>
    <w:p w14:paraId="36BCFDF7" w14:textId="77777777" w:rsidR="008E1B31" w:rsidRDefault="005C5514">
      <w:pPr>
        <w:spacing w:after="160" w:line="320" w:lineRule="auto"/>
        <w:jc w:val="both"/>
      </w:pPr>
      <w:r>
        <w:rPr>
          <w:b/>
          <w:bCs/>
        </w:rPr>
        <w:t>Utilisation</w:t>
      </w:r>
      <w:r>
        <w:t xml:space="preserve">   0.82         0.71          0.68         0.91   —————-- ———— ————- ———— ————-</w:t>
      </w:r>
    </w:p>
    <w:p w14:paraId="36BCFDF8" w14:textId="77777777" w:rsidR="008E1B31" w:rsidRDefault="005C5514">
      <w:pPr>
        <w:spacing w:after="160" w:line="320" w:lineRule="auto"/>
        <w:jc w:val="both"/>
      </w:pPr>
      <w:r>
        <w:t>Cushing holds 45,000 barrels in stock, receiving 1,400 b/d from the two pipelines and sending 950 b/d to the refinery — a slow net inventory build of 50 b/d.</w:t>
      </w:r>
    </w:p>
    <w:p w14:paraId="36BCFDF9" w14:textId="77777777" w:rsidR="008E1B31" w:rsidRDefault="005C5514">
      <w:pPr>
        <w:spacing w:after="160" w:line="320" w:lineRule="auto"/>
        <w:jc w:val="both"/>
      </w:pPr>
      <w:r>
        <w:rPr>
          <w:i/>
          <w:iCs/>
        </w:rPr>
        <w:t>Figure A.3 — Round 1 of message passing at Cushing. Each neighbour sends a transformed feature vector; Cushing averages them and updates its own 64-dimensional representation.</w:t>
      </w:r>
    </w:p>
    <w:p w14:paraId="36BCFDFA" w14:textId="77777777" w:rsidR="008E1B31" w:rsidRDefault="005C5514">
      <w:pPr>
        <w:spacing w:after="160" w:line="320" w:lineRule="auto"/>
        <w:jc w:val="both"/>
      </w:pPr>
      <w:r>
        <w:lastRenderedPageBreak/>
        <w:t>In Round 1, each neighbour sends a message — a learned transformation W × feature_vector — to Cushing. Cushing averages the three messages and combines the result with its own features:</w:t>
      </w:r>
    </w:p>
    <w:p w14:paraId="36BCFDFB" w14:textId="77777777" w:rsidR="008E1B31" w:rsidRDefault="005C5514">
      <w:pPr>
        <w:spacing w:after="160" w:line="320" w:lineRule="auto"/>
        <w:jc w:val="both"/>
      </w:pPr>
      <w:r>
        <w:t>New representation = ReLU( W_self × \[0, 1400, 45000, 1350, 0.68\] \+ W_neigh × avg(msg_Permian, msg_Gulf, msg_Refinery) )</w:t>
      </w:r>
    </w:p>
    <w:p w14:paraId="36BCFDFC" w14:textId="77777777" w:rsidR="008E1B31" w:rsidRDefault="005C5514">
      <w:pPr>
        <w:spacing w:after="160" w:line="320" w:lineRule="auto"/>
        <w:jc w:val="both"/>
      </w:pPr>
      <w:r>
        <w:t>The weight matrices W_self and W_neigh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36BCFDFD" w14:textId="77777777" w:rsidR="008E1B31" w:rsidRDefault="005C5514">
      <w:pPr>
        <w:spacing w:after="160" w:line="320" w:lineRule="auto"/>
        <w:jc w:val="both"/>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6BCFDFE" w14:textId="77777777" w:rsidR="008E1B31" w:rsidRDefault="005C5514">
      <w:pPr>
        <w:pStyle w:val="Heading1"/>
        <w:pageBreakBefore/>
      </w:pPr>
      <w:r>
        <w:lastRenderedPageBreak/>
        <w:t>A.5 Graph Convolutional Networks (GCN)</w:t>
      </w:r>
    </w:p>
    <w:p w14:paraId="36BCFDFF" w14:textId="77777777" w:rsidR="008E1B31" w:rsidRDefault="005C5514">
      <w:pPr>
        <w:spacing w:after="160" w:line="320" w:lineRule="auto"/>
        <w:jc w:val="both"/>
      </w:pPr>
      <w:r>
        <w:t>GCN (Kipf and Welling, 2017) is a mathematically principled formalisation of message passing, derived from spectral theory via two simplifications.</w:t>
      </w:r>
    </w:p>
    <w:p w14:paraId="36BCFE00" w14:textId="77777777" w:rsidR="008E1B31" w:rsidRDefault="005C5514">
      <w:pPr>
        <w:spacing w:after="160" w:line="320" w:lineRule="auto"/>
        <w:jc w:val="both"/>
      </w:pPr>
      <w:r>
        <w:rPr>
          <w:b/>
          <w:bCs/>
        </w:rPr>
        <w:t>A.5.1 From spectral convolution to GCN</w:t>
      </w:r>
    </w:p>
    <w:p w14:paraId="36BCFE01" w14:textId="77777777" w:rsidR="008E1B31" w:rsidRDefault="005C5514">
      <w:pPr>
        <w:spacing w:after="160" w:line="320" w:lineRule="auto"/>
        <w:jc w:val="both"/>
      </w:pPr>
      <w:r>
        <w:t>Spectral graph convolution applies a filter to node features in the eigenvector space of the Laplacian: y = U g(Λ) Uᵀ x. Computing this exactly requires eigenvector decomposition. Hammond et al. (2011) proposed approximating g(Λ) using Chebyshev polynomials, which can be computed recursively from the Laplacian without eigenvectors. With K=1 (first-order only), the approximation becomes equivalent to aggregating information from the immediate neighbourhood. Kipf and Welling then tied the two remaining parameters and applied a renormalisation trick — adding self-loops to the adjacency matrix — to arrive at the GCN layer formula.</w:t>
      </w:r>
    </w:p>
    <w:p w14:paraId="36BCFE02" w14:textId="77777777" w:rsidR="008E1B31" w:rsidRDefault="005C5514">
      <w:pPr>
        <w:spacing w:after="160" w:line="320" w:lineRule="auto"/>
        <w:jc w:val="both"/>
      </w:pPr>
      <w:r>
        <w:rPr>
          <w:b/>
          <w:bCs/>
        </w:rPr>
        <w:t>A.5.2 The GCN layer formula</w:t>
      </w:r>
    </w:p>
    <w:p w14:paraId="36BCFE03" w14:textId="77777777" w:rsidR="008E1B31" w:rsidRDefault="005C5514">
      <w:pPr>
        <w:spacing w:after="160" w:line="320" w:lineRule="auto"/>
        <w:jc w:val="both"/>
      </w:pPr>
      <w:r>
        <w:t>H⁽ˡ⁺¹⁾ = σ( D̃⁻¹/² Ã D̃⁻¹/² H⁽ˡ⁾ W⁽ˡ⁾ )</w:t>
      </w:r>
    </w:p>
    <w:p w14:paraId="36BCFE04" w14:textId="77777777" w:rsidR="008E1B31" w:rsidRDefault="005C5514">
      <w:pPr>
        <w:spacing w:after="160" w:line="320" w:lineRule="auto"/>
        <w:jc w:val="both"/>
      </w:pPr>
      <w:r>
        <w:t>where Ã = A + I is the adjacency matrix with self-loops added, D̃ is the corresponding degree matrix, H⁽ˡ⁾ is the matrix of node representations at layer l, W⁽ˡ⁾ is a learned weight matrix, and σ is a non-linear activation function (ReLU).</w:t>
      </w:r>
    </w:p>
    <w:p w14:paraId="36BCFE05" w14:textId="77777777" w:rsidR="008E1B31" w:rsidRDefault="005C5514">
      <w:pPr>
        <w:spacing w:after="160" w:line="320" w:lineRule="auto"/>
        <w:jc w:val="both"/>
      </w:pPr>
      <w:r>
        <w:rPr>
          <w:i/>
          <w:iCs/>
        </w:rPr>
        <w:t>Figure A.4 — The three operations of a GCN layer: add self-loops, normalise by degree, apply learned linear transformation. The degree normalisation example shows Cushing (degree 4) receiving from the Permian node (degree 2) with a scaling factor of 0.35.</w:t>
      </w:r>
    </w:p>
    <w:p w14:paraId="36BCFE06" w14:textId="77777777" w:rsidR="008E1B31" w:rsidRDefault="005C5514">
      <w:pPr>
        <w:spacing w:after="160" w:line="320" w:lineRule="auto"/>
        <w:jc w:val="both"/>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36BCFE07" w14:textId="77777777" w:rsidR="008E1B31" w:rsidRDefault="005C5514">
      <w:pPr>
        <w:pStyle w:val="Heading1"/>
        <w:pageBreakBefore/>
      </w:pPr>
      <w:r>
        <w:lastRenderedPageBreak/>
        <w:t>A.6 Attention and Inductive Learning — GAT and GraphSAGE</w:t>
      </w:r>
    </w:p>
    <w:p w14:paraId="36BCFE08" w14:textId="77777777" w:rsidR="008E1B31" w:rsidRDefault="005C5514">
      <w:pPr>
        <w:spacing w:after="160" w:line="320" w:lineRule="auto"/>
        <w:jc w:val="both"/>
      </w:pPr>
      <w:r>
        <w:t>GCN applies the same aggregation weight to all neighbours. Two extensions address this limitation.</w:t>
      </w:r>
    </w:p>
    <w:p w14:paraId="36BCFE09" w14:textId="77777777" w:rsidR="008E1B31" w:rsidRDefault="005C5514">
      <w:pPr>
        <w:spacing w:after="160" w:line="320" w:lineRule="auto"/>
        <w:jc w:val="both"/>
      </w:pPr>
      <w:r>
        <w:t>GAT (Veličković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36BCFE0A" w14:textId="77777777" w:rsidR="008E1B31" w:rsidRDefault="005C5514">
      <w:pPr>
        <w:spacing w:after="160" w:line="320" w:lineRule="auto"/>
        <w:jc w:val="both"/>
      </w:pPr>
      <w:r>
        <w:t>GraphSAGE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36BCFE0B" w14:textId="77777777" w:rsidR="008E1B31" w:rsidRDefault="005C5514">
      <w:pPr>
        <w:pStyle w:val="Heading1"/>
        <w:pageBreakBefore/>
      </w:pPr>
      <w:r>
        <w:lastRenderedPageBreak/>
        <w:t>A.7 Temporal Extensions — TGAT, TGN, and Hybrid Architectures</w:t>
      </w:r>
    </w:p>
    <w:p w14:paraId="36BCFE0C" w14:textId="77777777" w:rsidR="008E1B31" w:rsidRDefault="005C5514">
      <w:pPr>
        <w:spacing w:after="160" w:line="320" w:lineRule="auto"/>
        <w:jc w:val="both"/>
      </w:pPr>
      <w:r>
        <w:t>All methods discussed so far operate on a static graph snapshot. For inventory forecasting, the time dimension is essential — Cushing's inventory at week t+1 depends on the trajectory of flows over the preceding weeks, not just the current snapshot.</w:t>
      </w:r>
    </w:p>
    <w:p w14:paraId="36BCFE0D" w14:textId="77777777" w:rsidR="008E1B31" w:rsidRDefault="005C5514">
      <w:pPr>
        <w:spacing w:after="160" w:line="320" w:lineRule="auto"/>
        <w:jc w:val="both"/>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36BCFE0E" w14:textId="77777777" w:rsidR="008E1B31" w:rsidRDefault="005C5514">
      <w:pPr>
        <w:spacing w:after="160" w:line="320" w:lineRule="auto"/>
        <w:jc w:val="both"/>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36BCFE0F" w14:textId="77777777" w:rsidR="008E1B31" w:rsidRDefault="005C5514">
      <w:pPr>
        <w:spacing w:after="160" w:line="320" w:lineRule="auto"/>
        <w:jc w:val="both"/>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36BCFE10" w14:textId="77777777" w:rsidR="008E1B31" w:rsidRDefault="005C5514">
      <w:pPr>
        <w:pStyle w:val="Heading1"/>
        <w:pageBreakBefore/>
      </w:pPr>
      <w:r>
        <w:lastRenderedPageBreak/>
        <w:t>References</w:t>
      </w:r>
    </w:p>
    <w:p w14:paraId="36BCFE11" w14:textId="77777777" w:rsidR="008E1B31" w:rsidRDefault="005C5514">
      <w:pPr>
        <w:spacing w:after="160" w:line="320" w:lineRule="auto"/>
        <w:jc w:val="both"/>
      </w:pPr>
      <w:r>
        <w:t>Gilmer, J., Schoenholz, S. S., Riley, P. F., Vinyals, O., and Dahl, G. E. (2017). Neural Message Passing for Quantum Chemistry. ICML.</w:t>
      </w:r>
    </w:p>
    <w:p w14:paraId="36BCFE12" w14:textId="77777777" w:rsidR="008E1B31" w:rsidRDefault="005C5514">
      <w:pPr>
        <w:spacing w:after="160" w:line="320" w:lineRule="auto"/>
        <w:jc w:val="both"/>
      </w:pPr>
      <w:r>
        <w:t>Grover, A. and Leskovec, J. (2016). node2vec: Scalable Feature Learning for Networks. KDD.</w:t>
      </w:r>
    </w:p>
    <w:p w14:paraId="36BCFE13" w14:textId="77777777" w:rsidR="008E1B31" w:rsidRDefault="005C5514">
      <w:pPr>
        <w:spacing w:after="160" w:line="320" w:lineRule="auto"/>
        <w:jc w:val="both"/>
      </w:pPr>
      <w:r>
        <w:t>Hamilton, W. L., Ying, Z., and Leskovec, J. (2017). Inductive Representation Learning on Large Graphs. NeurIPS.</w:t>
      </w:r>
    </w:p>
    <w:p w14:paraId="36BCFE14" w14:textId="77777777" w:rsidR="008E1B31" w:rsidRDefault="005C5514">
      <w:pPr>
        <w:spacing w:after="160" w:line="320" w:lineRule="auto"/>
        <w:jc w:val="both"/>
      </w:pPr>
      <w:r>
        <w:t>Kipf, T. N. and Welling, M. (2017). Semi-Supervised Classification with Graph Convolutional Networks. ICLR.</w:t>
      </w:r>
    </w:p>
    <w:p w14:paraId="36BCFE15" w14:textId="77777777" w:rsidR="008E1B31" w:rsidRDefault="005C5514">
      <w:pPr>
        <w:spacing w:after="160" w:line="320" w:lineRule="auto"/>
        <w:jc w:val="both"/>
      </w:pPr>
      <w:r>
        <w:t>Li, Y., Yu, R., Shahabi, C., and Liu, Y. (2018). Diffusion Convolutional Recurrent Neural Network. ICLR.</w:t>
      </w:r>
    </w:p>
    <w:p w14:paraId="36BCFE16" w14:textId="77777777" w:rsidR="008E1B31" w:rsidRDefault="005C5514">
      <w:pPr>
        <w:spacing w:after="160" w:line="320" w:lineRule="auto"/>
        <w:jc w:val="both"/>
      </w:pPr>
      <w:r>
        <w:t>Perozzi, B., Al-Rfou, R., and Skiena, S. (2014). DeepWalk: Online Learning of Social Representations. KDD.</w:t>
      </w:r>
    </w:p>
    <w:p w14:paraId="36BD0000" w14:textId="77777771" w:rsidR="008E1B31" w:rsidRDefault="005C5514">
      <w:pPr>
        <w:spacing w:after="160" w:line="320" w:lineRule="auto"/>
        <w:jc w:val="both"/>
      </w:pPr>
      <w:r>
        <w:t>Pindyck, R. S. (2001). The Dynamics of Commodity Spot and Futures Markets: A Primer. The Energy Journal, 22(3), 1–29.</w:t>
      </w:r>
    </w:p>
    <w:p w14:paraId="36BCFE17" w14:textId="77777777" w:rsidR="008E1B31" w:rsidRDefault="005C5514">
      <w:pPr>
        <w:spacing w:after="160" w:line="320" w:lineRule="auto"/>
        <w:jc w:val="both"/>
      </w:pPr>
      <w:r>
        <w:t>Rossi, E., Chamberlain, B., Frasca, F., Eynard, D., Bronstein, M., and Monti, F. (2020). Temporal Graph Networks. ICML Workshop.</w:t>
      </w:r>
    </w:p>
    <w:p w14:paraId="36BD0001" w14:textId="77777772" w:rsidR="008E1B31" w:rsidRDefault="005C5514">
      <w:pPr>
        <w:spacing w:after="160" w:line="320" w:lineRule="auto"/>
        <w:jc w:val="both"/>
      </w:pPr>
      <w:r>
        <w:t>U.S. Energy Information Administration (2024). What Drives Crude Oil Prices: Balance. Washington, DC: U.S. Department of Energy. Available at: https://www.eia.gov/finance/markets/crudeoil/balance.php</w:t>
      </w:r>
    </w:p>
    <w:p w14:paraId="36BCFE18" w14:textId="77777777" w:rsidR="008E1B31" w:rsidRDefault="005C5514">
      <w:pPr>
        <w:spacing w:after="160" w:line="320" w:lineRule="auto"/>
        <w:jc w:val="both"/>
      </w:pPr>
      <w:r w:rsidRPr="009B4C92">
        <w:rPr>
          <w:lang w:val="it-IT"/>
        </w:rPr>
        <w:t xml:space="preserve">Veličković, P., Cucurull, G., Casanova, A., Romero, A., Liò, P., and Bengio, Y. (2018). </w:t>
      </w:r>
      <w:r>
        <w:t>Graph Attention Networks. ICLR.</w:t>
      </w:r>
    </w:p>
    <w:p w14:paraId="36BD0002" w14:textId="77777773" w:rsidR="008E1B31" w:rsidRDefault="005C5514">
      <w:pPr>
        <w:spacing w:after="160" w:line="320" w:lineRule="auto"/>
        <w:jc w:val="both"/>
      </w:pPr>
      <w:r>
        <w:t>Working, H. (1949). The Theory of the Price of Storage. American Economic Review, 39(6), 1254–1262.</w:t>
      </w:r>
    </w:p>
    <w:p w14:paraId="36BCFE19" w14:textId="77777777" w:rsidR="008E1B31" w:rsidRDefault="005C5514">
      <w:pPr>
        <w:spacing w:after="160" w:line="320" w:lineRule="auto"/>
        <w:jc w:val="both"/>
      </w:pPr>
      <w:r>
        <w:t>Xu, D., Rong, Y., Huang, J., Zhu, W., and Leskovec, J. (2020). Inductive Representation Learning on Temporal Graphs. ICLR.</w:t>
      </w:r>
    </w:p>
    <w:p w14:paraId="36BCFE1A" w14:textId="77777777" w:rsidR="008E1B31" w:rsidRDefault="005C5514">
      <w:pPr>
        <w:spacing w:after="160" w:line="320" w:lineRule="auto"/>
        <w:jc w:val="both"/>
      </w:pPr>
      <w:r>
        <w:t>Yu, B., Yin, H., and Zhu, Z. (2018). Spatio-Temporal Graph Convolutional Networks. IJCAI.</w:t>
      </w:r>
    </w:p>
    <w:p w14:paraId="36BCFE1B" w14:textId="77777777" w:rsidR="008E1B31" w:rsidRDefault="005C5514">
      <w:pPr>
        <w:spacing w:after="160" w:line="320" w:lineRule="auto"/>
        <w:jc w:val="both"/>
      </w:pPr>
      <w:r>
        <w:rPr>
          <w:b/>
          <w:bCs/>
        </w:rPr>
        <w:t>Annex B</w:t>
      </w:r>
    </w:p>
    <w:p w14:paraId="36BCFE1C" w14:textId="77777777" w:rsidR="008E1B31" w:rsidRDefault="005C5514">
      <w:pPr>
        <w:spacing w:after="160" w:line="320" w:lineRule="auto"/>
        <w:jc w:val="both"/>
      </w:pPr>
      <w:r>
        <w:rPr>
          <w:b/>
          <w:bCs/>
        </w:rPr>
        <w:t>Location-Centric vs Asset-Centric Graph Representations</w:t>
      </w:r>
    </w:p>
    <w:p w14:paraId="36BCFE1D" w14:textId="77777777" w:rsidR="008E1B31" w:rsidRDefault="005C5514">
      <w:pPr>
        <w:spacing w:after="160" w:line="320" w:lineRule="auto"/>
        <w:jc w:val="both"/>
      </w:pPr>
      <w:r>
        <w:rPr>
          <w:i/>
          <w:iCs/>
        </w:rPr>
        <w:t>With the Cushing Terminal as a Worked Example and the Balancing Item in the Mass Balance Equation</w:t>
      </w:r>
    </w:p>
    <w:p w14:paraId="36BCFE1E" w14:textId="77777777" w:rsidR="008E1B31" w:rsidRDefault="005C5514">
      <w:pPr>
        <w:spacing w:after="160" w:line="320" w:lineRule="auto"/>
        <w:jc w:val="both"/>
      </w:pPr>
      <w:r>
        <w:rPr>
          <w:i/>
          <w:iCs/>
        </w:rPr>
        <w:t>Supporting material for Section 2.1 of the thesis</w:t>
      </w:r>
    </w:p>
    <w:p w14:paraId="36BCFE1F" w14:textId="77777777" w:rsidR="008E1B31" w:rsidRDefault="005C5514">
      <w:pPr>
        <w:pStyle w:val="Heading1"/>
        <w:pageBreakBefore/>
      </w:pPr>
      <w:r>
        <w:lastRenderedPageBreak/>
        <w:t>Summary</w:t>
      </w:r>
    </w:p>
    <w:p w14:paraId="36BCFE20" w14:textId="77777777" w:rsidR="008E1B31" w:rsidRDefault="005C5514">
      <w:pPr>
        <w:spacing w:after="160" w:line="320" w:lineRule="auto"/>
        <w:jc w:val="both"/>
      </w:pPr>
      <w:r>
        <w:t>This annex develops the graph-representation framework used throughout the thesis, with the Cushing, Oklahoma crude-oil hub as a running example. It establishes two foundations and a set of extensions that make the framework usable at production scale.</w:t>
      </w:r>
    </w:p>
    <w:p w14:paraId="36BCFE21" w14:textId="77777777" w:rsidR="008E1B31" w:rsidRDefault="005C5514">
      <w:pPr>
        <w:spacing w:after="160" w:line="320" w:lineRule="auto"/>
        <w:jc w:val="both"/>
      </w:pPr>
      <w:r>
        <w:t xml:space="preserve">The foundations, covered in Sections B.1 through B.6, are the </w:t>
      </w:r>
      <w:r>
        <w:rPr>
          <w:b/>
          <w:bCs/>
        </w:rPr>
        <w:t>asset-centric convention</w:t>
      </w:r>
      <w:r>
        <w:t xml:space="preserve"> — every physical asset, including pipelines and vessels, is a node with its own inventory — and the </w:t>
      </w:r>
      <w:r>
        <w:rPr>
          <w:b/>
          <w:bCs/>
        </w:rPr>
        <w:t>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36BCFE22" w14:textId="77777777" w:rsidR="008E1B31" w:rsidRDefault="005C5514">
      <w:pPr>
        <w:spacing w:after="160" w:line="320" w:lineRule="auto"/>
        <w:jc w:val="both"/>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persistent asset graph</w:t>
      </w:r>
      <w:r>
        <w:t xml:space="preserve"> from the </w:t>
      </w:r>
      <w:r>
        <w:rPr>
          <w:b/>
          <w:bCs/>
        </w:rPr>
        <w:t>scenario graph</w:t>
      </w:r>
      <w:r>
        <w:t xml:space="preserve"> derived at load time; distinguishes </w:t>
      </w:r>
      <w:r>
        <w:rPr>
          <w:b/>
          <w:bCs/>
        </w:rPr>
        <w:t>geography metadata</w:t>
      </w:r>
      <w:r>
        <w:t xml:space="preserve">, which labels physical nodes, from the </w:t>
      </w:r>
      <w:r>
        <w:rPr>
          <w:b/>
          <w:bCs/>
        </w:rPr>
        <w:t>resolution hierarchy</w:t>
      </w:r>
      <w:r>
        <w:t xml:space="preserve">, which relates nodes representing the same physical system at different granularities; and enforces an </w:t>
      </w:r>
      <w:r>
        <w:rPr>
          <w:b/>
          <w:bCs/>
        </w:rPr>
        <w:t>observed/derived invariant</w:t>
      </w:r>
      <w:r>
        <w:t xml:space="preserve"> that makes aggregation double-counting structurally impossible rather than merely detectable. The invariant is supported by </w:t>
      </w:r>
      <w:r>
        <w:rPr>
          <w:b/>
          <w:bCs/>
        </w:rPr>
        <w:t>coverage contracts</w:t>
      </w:r>
      <w:r>
        <w:t xml:space="preserve"> that declare which level of each hierarchy is authoritative for a given scenario, allowing administrative aggregates to be promoted to authoritative status when no finer data is available and reverted to derived views when it is. Junction nodes whose variables cannot be distinguished at the current resolution are </w:t>
      </w:r>
      <w:r>
        <w:rPr>
          <w:b/>
          <w:bCs/>
        </w:rPr>
        <w:t>collapsed</w:t>
      </w:r>
      <w:r>
        <w:t xml:space="preserve"> by the scenario loader, and the latent allocation of flows across such nodes becomes a concrete use case for attention-based temporal graph models.</w:t>
      </w:r>
    </w:p>
    <w:p w14:paraId="36BCFE23" w14:textId="77777777" w:rsidR="008E1B31" w:rsidRDefault="005C5514">
      <w:pPr>
        <w:spacing w:after="160" w:line="320" w:lineRule="auto"/>
        <w:jc w:val="both"/>
      </w:pPr>
      <w:r>
        <w:t>The annex closes (B.13) by positioning these extensions as the methodological contributions that make the asset-centric framework usable when data heterogeneity is the central engineering problem rather than an incidental one.</w:t>
      </w:r>
    </w:p>
    <w:p w14:paraId="36BCFE24" w14:textId="77777777" w:rsidR="008E1B31" w:rsidRDefault="005C5514">
      <w:pPr>
        <w:pStyle w:val="Heading1"/>
        <w:pageBreakBefore/>
      </w:pPr>
      <w:r>
        <w:lastRenderedPageBreak/>
        <w:t>B.1 Overview</w:t>
      </w:r>
    </w:p>
    <w:p w14:paraId="36BCFE25" w14:textId="77777777" w:rsidR="008E1B31" w:rsidRDefault="005C5514">
      <w:pPr>
        <w:spacing w:after="160" w:line="320" w:lineRule="auto"/>
        <w:jc w:val="both"/>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36BCFE26" w14:textId="77777777" w:rsidR="008E1B31" w:rsidRDefault="005C5514">
      <w:pPr>
        <w:spacing w:after="160" w:line="320" w:lineRule="auto"/>
        <w:jc w:val="both"/>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6BCFE27" w14:textId="77777777" w:rsidR="008E1B31" w:rsidRDefault="005C5514">
      <w:pPr>
        <w:spacing w:after="160" w:line="320" w:lineRule="auto"/>
        <w:jc w:val="both"/>
      </w:pPr>
      <w:r>
        <w:t>The annex is structured as follows:</w:t>
      </w:r>
    </w:p>
    <w:p w14:paraId="36BCFE28" w14:textId="77777777" w:rsidR="008E1B31" w:rsidRDefault="005C5514">
      <w:pPr>
        <w:pStyle w:val="ListParagraph"/>
        <w:numPr>
          <w:ilvl w:val="0"/>
          <w:numId w:val="2"/>
        </w:numPr>
        <w:spacing w:after="80" w:line="320" w:lineRule="auto"/>
        <w:jc w:val="both"/>
      </w:pPr>
      <w:r>
        <w:t>B.2 — Location-centric representation: pipelines as edges.</w:t>
      </w:r>
    </w:p>
    <w:p w14:paraId="36BCFE29" w14:textId="77777777" w:rsidR="008E1B31" w:rsidRDefault="005C5514">
      <w:pPr>
        <w:spacing w:after="80"/>
      </w:pPr>
      <w:r>
        <w:rPr>
          <w:sz w:val="12"/>
          <w:szCs w:val="12"/>
        </w:rPr>
        <w:t xml:space="preserve"> </w:t>
      </w:r>
    </w:p>
    <w:p w14:paraId="36BCFE2A" w14:textId="77777777" w:rsidR="008E1B31" w:rsidRDefault="005C5514">
      <w:pPr>
        <w:pStyle w:val="ListParagraph"/>
        <w:numPr>
          <w:ilvl w:val="0"/>
          <w:numId w:val="2"/>
        </w:numPr>
        <w:spacing w:after="80" w:line="320" w:lineRule="auto"/>
        <w:jc w:val="both"/>
      </w:pPr>
      <w:r>
        <w:t>B.3 — Asset-centric representation: pipelines as nodes with line-fill inventory.</w:t>
      </w:r>
    </w:p>
    <w:p w14:paraId="36BCFE2B" w14:textId="77777777" w:rsidR="008E1B31" w:rsidRDefault="005C5514">
      <w:pPr>
        <w:spacing w:after="80"/>
      </w:pPr>
      <w:r>
        <w:rPr>
          <w:sz w:val="12"/>
          <w:szCs w:val="12"/>
        </w:rPr>
        <w:t xml:space="preserve"> </w:t>
      </w:r>
    </w:p>
    <w:p w14:paraId="36BCFE2C" w14:textId="77777777" w:rsidR="008E1B31" w:rsidRDefault="005C5514">
      <w:pPr>
        <w:pStyle w:val="ListParagraph"/>
        <w:numPr>
          <w:ilvl w:val="0"/>
          <w:numId w:val="2"/>
        </w:numPr>
        <w:spacing w:after="80" w:line="320" w:lineRule="auto"/>
        <w:jc w:val="both"/>
      </w:pPr>
      <w:r>
        <w:t>B.4 — Comparison: when each convention is appropriate.</w:t>
      </w:r>
    </w:p>
    <w:p w14:paraId="36BCFE2D" w14:textId="77777777" w:rsidR="008E1B31" w:rsidRDefault="005C5514">
      <w:pPr>
        <w:spacing w:after="80"/>
      </w:pPr>
      <w:r>
        <w:rPr>
          <w:sz w:val="12"/>
          <w:szCs w:val="12"/>
        </w:rPr>
        <w:t xml:space="preserve"> </w:t>
      </w:r>
    </w:p>
    <w:p w14:paraId="36BCFE2E" w14:textId="77777777" w:rsidR="008E1B31" w:rsidRDefault="005C5514">
      <w:pPr>
        <w:pStyle w:val="ListParagraph"/>
        <w:numPr>
          <w:ilvl w:val="0"/>
          <w:numId w:val="2"/>
        </w:numPr>
        <w:spacing w:after="80" w:line="320" w:lineRule="auto"/>
        <w:jc w:val="both"/>
      </w:pPr>
      <w:r>
        <w:t>B.5 — The mass balance equation and the balancing item.</w:t>
      </w:r>
    </w:p>
    <w:p w14:paraId="36BCFE2F" w14:textId="77777777" w:rsidR="008E1B31" w:rsidRDefault="005C5514">
      <w:pPr>
        <w:spacing w:after="80"/>
      </w:pPr>
      <w:r>
        <w:rPr>
          <w:sz w:val="12"/>
          <w:szCs w:val="12"/>
        </w:rPr>
        <w:t xml:space="preserve"> </w:t>
      </w:r>
    </w:p>
    <w:p w14:paraId="36BCFE30" w14:textId="77777777" w:rsidR="008E1B31" w:rsidRDefault="005C5514">
      <w:pPr>
        <w:pStyle w:val="ListParagraph"/>
        <w:numPr>
          <w:ilvl w:val="0"/>
          <w:numId w:val="2"/>
        </w:numPr>
        <w:spacing w:after="80" w:line="320" w:lineRule="auto"/>
        <w:jc w:val="both"/>
      </w:pPr>
      <w:r>
        <w:t>B.6 — Implications for the GNN model in this thesis.</w:t>
      </w:r>
    </w:p>
    <w:p w14:paraId="36BCFE31" w14:textId="77777777" w:rsidR="008E1B31" w:rsidRDefault="005C5514">
      <w:pPr>
        <w:spacing w:after="80"/>
      </w:pPr>
      <w:r>
        <w:rPr>
          <w:sz w:val="12"/>
          <w:szCs w:val="12"/>
        </w:rPr>
        <w:t xml:space="preserve"> </w:t>
      </w:r>
    </w:p>
    <w:p w14:paraId="36BCFE32" w14:textId="77777777" w:rsidR="008E1B31" w:rsidRDefault="005C5514">
      <w:pPr>
        <w:pStyle w:val="ListParagraph"/>
        <w:numPr>
          <w:ilvl w:val="0"/>
          <w:numId w:val="2"/>
        </w:numPr>
        <w:spacing w:after="80" w:line="320" w:lineRule="auto"/>
        <w:jc w:val="both"/>
      </w:pPr>
      <w:r>
        <w:t>B.7 — Persistent asset graph and scenario graph separation.</w:t>
      </w:r>
    </w:p>
    <w:p w14:paraId="36BCFE33" w14:textId="77777777" w:rsidR="008E1B31" w:rsidRDefault="005C5514">
      <w:pPr>
        <w:spacing w:after="80"/>
      </w:pPr>
      <w:r>
        <w:rPr>
          <w:sz w:val="12"/>
          <w:szCs w:val="12"/>
        </w:rPr>
        <w:t xml:space="preserve"> </w:t>
      </w:r>
    </w:p>
    <w:p w14:paraId="36BCFE34" w14:textId="77777777" w:rsidR="008E1B31" w:rsidRDefault="005C5514">
      <w:pPr>
        <w:pStyle w:val="ListParagraph"/>
        <w:numPr>
          <w:ilvl w:val="0"/>
          <w:numId w:val="2"/>
        </w:numPr>
        <w:spacing w:after="80" w:line="320" w:lineRule="auto"/>
        <w:jc w:val="both"/>
      </w:pPr>
      <w:r>
        <w:t>B.8 — The observational aggregation layer.</w:t>
      </w:r>
    </w:p>
    <w:p w14:paraId="36BCFE35" w14:textId="77777777" w:rsidR="008E1B31" w:rsidRDefault="005C5514">
      <w:pPr>
        <w:spacing w:after="80"/>
      </w:pPr>
      <w:r>
        <w:rPr>
          <w:sz w:val="12"/>
          <w:szCs w:val="12"/>
        </w:rPr>
        <w:t xml:space="preserve"> </w:t>
      </w:r>
    </w:p>
    <w:p w14:paraId="36BCFE36" w14:textId="77777777" w:rsidR="008E1B31" w:rsidRDefault="005C5514">
      <w:pPr>
        <w:pStyle w:val="ListParagraph"/>
        <w:numPr>
          <w:ilvl w:val="0"/>
          <w:numId w:val="2"/>
        </w:numPr>
        <w:spacing w:after="80" w:line="320" w:lineRule="auto"/>
        <w:jc w:val="both"/>
      </w:pPr>
      <w:r>
        <w:t>B.9 — Geography metadata and administrative aggregations.</w:t>
      </w:r>
    </w:p>
    <w:p w14:paraId="36BCFE37" w14:textId="77777777" w:rsidR="008E1B31" w:rsidRDefault="005C5514">
      <w:pPr>
        <w:spacing w:after="80"/>
      </w:pPr>
      <w:r>
        <w:rPr>
          <w:sz w:val="12"/>
          <w:szCs w:val="12"/>
        </w:rPr>
        <w:t xml:space="preserve"> </w:t>
      </w:r>
    </w:p>
    <w:p w14:paraId="36BCFE38" w14:textId="77777777" w:rsidR="008E1B31" w:rsidRDefault="005C5514">
      <w:pPr>
        <w:pStyle w:val="ListParagraph"/>
        <w:numPr>
          <w:ilvl w:val="0"/>
          <w:numId w:val="2"/>
        </w:numPr>
        <w:spacing w:after="80" w:line="320" w:lineRule="auto"/>
        <w:jc w:val="both"/>
      </w:pPr>
      <w:r>
        <w:t>B.10 — Resolution hierarchy and forward compatibility.</w:t>
      </w:r>
    </w:p>
    <w:p w14:paraId="36BCFE39" w14:textId="77777777" w:rsidR="008E1B31" w:rsidRDefault="005C5514">
      <w:pPr>
        <w:spacing w:after="80"/>
      </w:pPr>
      <w:r>
        <w:rPr>
          <w:sz w:val="12"/>
          <w:szCs w:val="12"/>
        </w:rPr>
        <w:t xml:space="preserve"> </w:t>
      </w:r>
    </w:p>
    <w:p w14:paraId="36BCFE3A" w14:textId="77777777" w:rsidR="008E1B31" w:rsidRDefault="005C5514">
      <w:pPr>
        <w:pStyle w:val="ListParagraph"/>
        <w:numPr>
          <w:ilvl w:val="0"/>
          <w:numId w:val="2"/>
        </w:numPr>
        <w:spacing w:after="80" w:line="320" w:lineRule="auto"/>
        <w:jc w:val="both"/>
      </w:pPr>
      <w:r>
        <w:t>B.11 — Assignment tables, the observed/derived invariant, and coverage contracts.</w:t>
      </w:r>
    </w:p>
    <w:p w14:paraId="36BCFE3B" w14:textId="77777777" w:rsidR="008E1B31" w:rsidRDefault="005C5514">
      <w:pPr>
        <w:spacing w:after="80"/>
      </w:pPr>
      <w:r>
        <w:rPr>
          <w:sz w:val="12"/>
          <w:szCs w:val="12"/>
        </w:rPr>
        <w:t xml:space="preserve"> </w:t>
      </w:r>
    </w:p>
    <w:p w14:paraId="36BCFE3C" w14:textId="77777777" w:rsidR="008E1B31" w:rsidRDefault="005C5514">
      <w:pPr>
        <w:pStyle w:val="ListParagraph"/>
        <w:numPr>
          <w:ilvl w:val="0"/>
          <w:numId w:val="2"/>
        </w:numPr>
        <w:spacing w:after="80" w:line="320" w:lineRule="auto"/>
        <w:jc w:val="both"/>
      </w:pPr>
      <w:r>
        <w:t>B.12 — Junction nodes, collapsed states, and latent allocation.</w:t>
      </w:r>
    </w:p>
    <w:p w14:paraId="36BCFE3D" w14:textId="77777777" w:rsidR="008E1B31" w:rsidRDefault="005C5514">
      <w:pPr>
        <w:spacing w:after="80"/>
      </w:pPr>
      <w:r>
        <w:rPr>
          <w:sz w:val="12"/>
          <w:szCs w:val="12"/>
        </w:rPr>
        <w:t xml:space="preserve"> </w:t>
      </w:r>
    </w:p>
    <w:p w14:paraId="36BCFE3E" w14:textId="77777777" w:rsidR="008E1B31" w:rsidRDefault="005C5514">
      <w:pPr>
        <w:pStyle w:val="ListParagraph"/>
        <w:numPr>
          <w:ilvl w:val="0"/>
          <w:numId w:val="2"/>
        </w:numPr>
        <w:spacing w:after="80" w:line="320" w:lineRule="auto"/>
        <w:jc w:val="both"/>
      </w:pPr>
      <w:r>
        <w:t>B.13 — Summary and position in the thesis.</w:t>
      </w:r>
    </w:p>
    <w:p w14:paraId="36BCFE3F" w14:textId="77777777" w:rsidR="008E1B31" w:rsidRDefault="005C5514">
      <w:pPr>
        <w:spacing w:after="80"/>
      </w:pPr>
      <w:r>
        <w:rPr>
          <w:sz w:val="12"/>
          <w:szCs w:val="12"/>
        </w:rPr>
        <w:t xml:space="preserve"> </w:t>
      </w:r>
    </w:p>
    <w:p w14:paraId="36BCFE40" w14:textId="77777777" w:rsidR="008E1B31" w:rsidRDefault="005C5514">
      <w:pPr>
        <w:pStyle w:val="Heading1"/>
        <w:pageBreakBefore/>
      </w:pPr>
      <w:r>
        <w:lastRenderedPageBreak/>
        <w:t>B.2 Location-Centric Representation</w:t>
      </w:r>
    </w:p>
    <w:p w14:paraId="36BCFE41" w14:textId="77777777" w:rsidR="008E1B31" w:rsidRDefault="005C5514">
      <w:pPr>
        <w:spacing w:after="160" w:line="320" w:lineRule="auto"/>
        <w:jc w:val="both"/>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 do not hold inventory of their own.</w:t>
      </w:r>
    </w:p>
    <w:p w14:paraId="36BCFE42" w14:textId="77777777" w:rsidR="008E1B31" w:rsidRDefault="005C5514">
      <w:pPr>
        <w:spacing w:after="160" w:line="320" w:lineRule="auto"/>
        <w:jc w:val="both"/>
      </w:pPr>
      <w:r>
        <w:rPr>
          <w:i/>
          <w:iCs/>
        </w:rPr>
        <w:t>Figure B.1 — Location-centric graph of the Cushing subnetwork. Nodes are fixed sites; pipelines are edges carrying flow and transit-time attributes. Dashed edge indicates the SPR release route, which is inactive in normal operations.</w:t>
      </w:r>
    </w:p>
    <w:p w14:paraId="36BCFE43" w14:textId="77777777" w:rsidR="008E1B31" w:rsidRDefault="005C5514">
      <w:pPr>
        <w:spacing w:after="160" w:line="320" w:lineRule="auto"/>
        <w:jc w:val="both"/>
      </w:pPr>
      <w:r>
        <w:t>This is the dominant convention in the traffic forecasting literature. DCRNN and STGCN, for example, represent road sensor networks with sensors as nodes and road segments as edges. It is also the convention used in the SupplyGraph benchmark for supply chain GNNs.</w:t>
      </w:r>
    </w:p>
    <w:p w14:paraId="36BCFE44" w14:textId="77777777" w:rsidR="008E1B31" w:rsidRDefault="005C5514">
      <w:pPr>
        <w:spacing w:after="160" w:line="320" w:lineRule="auto"/>
        <w:jc w:val="both"/>
      </w:pPr>
      <w:r>
        <w:rPr>
          <w:b/>
          <w:bCs/>
        </w:rPr>
        <w:t>What is captured</w:t>
      </w:r>
    </w:p>
    <w:p w14:paraId="36BCFE45" w14:textId="77777777" w:rsidR="008E1B31" w:rsidRDefault="005C5514">
      <w:pPr>
        <w:pStyle w:val="ListParagraph"/>
        <w:numPr>
          <w:ilvl w:val="0"/>
          <w:numId w:val="2"/>
        </w:numPr>
        <w:spacing w:after="80" w:line="320" w:lineRule="auto"/>
        <w:jc w:val="both"/>
      </w:pPr>
      <w:r>
        <w:t>Inventory at fixed sites (Cushing stock level, SPR reserves).</w:t>
      </w:r>
    </w:p>
    <w:p w14:paraId="36BCFE46" w14:textId="77777777" w:rsidR="008E1B31" w:rsidRDefault="005C5514">
      <w:pPr>
        <w:spacing w:after="80"/>
      </w:pPr>
      <w:r>
        <w:rPr>
          <w:sz w:val="12"/>
          <w:szCs w:val="12"/>
        </w:rPr>
        <w:t xml:space="preserve"> </w:t>
      </w:r>
    </w:p>
    <w:p w14:paraId="36BCFE47" w14:textId="77777777" w:rsidR="008E1B31" w:rsidRDefault="005C5514">
      <w:pPr>
        <w:pStyle w:val="ListParagraph"/>
        <w:numPr>
          <w:ilvl w:val="0"/>
          <w:numId w:val="2"/>
        </w:numPr>
        <w:spacing w:after="80" w:line="320" w:lineRule="auto"/>
        <w:jc w:val="both"/>
      </w:pPr>
      <w:r>
        <w:t>Flow rates on each pipeline (barrels per day arriving and departing).</w:t>
      </w:r>
    </w:p>
    <w:p w14:paraId="36BCFE48" w14:textId="77777777" w:rsidR="008E1B31" w:rsidRDefault="005C5514">
      <w:pPr>
        <w:spacing w:after="80"/>
      </w:pPr>
      <w:r>
        <w:rPr>
          <w:sz w:val="12"/>
          <w:szCs w:val="12"/>
        </w:rPr>
        <w:t xml:space="preserve"> </w:t>
      </w:r>
    </w:p>
    <w:p w14:paraId="36BCFE49" w14:textId="77777777" w:rsidR="008E1B31" w:rsidRDefault="005C5514">
      <w:pPr>
        <w:pStyle w:val="ListParagraph"/>
        <w:numPr>
          <w:ilvl w:val="0"/>
          <w:numId w:val="2"/>
        </w:numPr>
        <w:spacing w:after="80" w:line="320" w:lineRule="auto"/>
        <w:jc w:val="both"/>
      </w:pPr>
      <w:r>
        <w:t>Transit time as an edge attribute — crude dispatched today arrives at Cushing after the pipeline transit delay.</w:t>
      </w:r>
    </w:p>
    <w:p w14:paraId="36BCFE4A" w14:textId="77777777" w:rsidR="008E1B31" w:rsidRDefault="005C5514">
      <w:pPr>
        <w:spacing w:after="80"/>
      </w:pPr>
      <w:r>
        <w:rPr>
          <w:sz w:val="12"/>
          <w:szCs w:val="12"/>
        </w:rPr>
        <w:t xml:space="preserve"> </w:t>
      </w:r>
    </w:p>
    <w:p w14:paraId="36BCFE4B" w14:textId="77777777" w:rsidR="008E1B31" w:rsidRDefault="005C5514">
      <w:pPr>
        <w:pStyle w:val="ListParagraph"/>
        <w:numPr>
          <w:ilvl w:val="0"/>
          <w:numId w:val="2"/>
        </w:numPr>
        <w:spacing w:after="80" w:line="320" w:lineRule="auto"/>
        <w:jc w:val="both"/>
      </w:pPr>
      <w:r>
        <w:t>Capacity constraints on each route.</w:t>
      </w:r>
    </w:p>
    <w:p w14:paraId="36BCFE4C" w14:textId="77777777" w:rsidR="008E1B31" w:rsidRDefault="005C5514">
      <w:pPr>
        <w:spacing w:after="80"/>
      </w:pPr>
      <w:r>
        <w:rPr>
          <w:sz w:val="12"/>
          <w:szCs w:val="12"/>
        </w:rPr>
        <w:t xml:space="preserve"> </w:t>
      </w:r>
    </w:p>
    <w:p w14:paraId="36BCFE4D" w14:textId="77777777" w:rsidR="008E1B31" w:rsidRDefault="005C5514">
      <w:pPr>
        <w:spacing w:after="160" w:line="320" w:lineRule="auto"/>
        <w:jc w:val="both"/>
      </w:pPr>
      <w:r>
        <w:rPr>
          <w:b/>
          <w:bCs/>
        </w:rPr>
        <w:t>What is not captured</w:t>
      </w:r>
    </w:p>
    <w:p w14:paraId="36BCFE4E" w14:textId="77777777" w:rsidR="008E1B31" w:rsidRDefault="005C5514">
      <w:pPr>
        <w:spacing w:after="160" w:line="320" w:lineRule="auto"/>
        <w:jc w:val="both"/>
      </w:pPr>
      <w:r>
        <w:t>The crude oil physically inside the pipeline at any given moment — the line-fill — has no node. The Longhorn pipeline, operating at 800 b/d with a two-day transit time, contains about 1,600 barrels at any given moment. In the location-centric model, these barrels are invisible: they have left Permian (an outflow) but have not yet arrived at Cushing (no inflow yet). They exist only implicitly in the transit-time edge attribute.</w:t>
      </w:r>
    </w:p>
    <w:p w14:paraId="36BCFE4F" w14:textId="77777777" w:rsidR="008E1B31" w:rsidRDefault="005C5514">
      <w:pPr>
        <w:spacing w:after="160" w:line="320" w:lineRule="auto"/>
        <w:jc w:val="both"/>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36BCFE50" w14:textId="77777777" w:rsidR="008E1B31" w:rsidRDefault="005C5514">
      <w:pPr>
        <w:pStyle w:val="Heading1"/>
        <w:pageBreakBefore/>
      </w:pPr>
      <w:r>
        <w:lastRenderedPageBreak/>
        <w:t>B.3 Asset-Centric Representation</w:t>
      </w:r>
    </w:p>
    <w:p w14:paraId="36BCFE51" w14:textId="77777777" w:rsidR="008E1B31" w:rsidRDefault="005C5514">
      <w:pPr>
        <w:spacing w:after="160" w:line="320" w:lineRule="auto"/>
        <w:jc w:val="both"/>
      </w:pPr>
      <w:r>
        <w:t>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connections between assets: loading events connect a terminal node to a vessel node; discharge events connect a vessel node to a destination terminal.</w:t>
      </w:r>
    </w:p>
    <w:p w14:paraId="36BCFE52" w14:textId="77777777" w:rsidR="008E1B31" w:rsidRDefault="005C5514">
      <w:pPr>
        <w:spacing w:after="160" w:line="320" w:lineRule="auto"/>
        <w:jc w:val="both"/>
      </w:pPr>
      <w:r>
        <w:rPr>
          <w:i/>
          <w:iCs/>
        </w:rPr>
        <w:t>Figure B.2 — Asset-centric graph of the Cushing subnetwork. Pipelines become nodes (amber) with their own line-fill inventory. Edges represent flow connections between assets. The SPR pipeline node has S = 0 (inactive, zero-flow edge).</w:t>
      </w:r>
    </w:p>
    <w:p w14:paraId="36BCFE53" w14:textId="77777777" w:rsidR="008E1B31" w:rsidRDefault="005C5514">
      <w:pPr>
        <w:spacing w:after="160" w:line="320" w:lineRule="auto"/>
        <w:jc w:val="both"/>
      </w:pPr>
      <w:r>
        <w:rPr>
          <w:b/>
          <w:bCs/>
        </w:rPr>
        <w:t>Stable topology through zero-flow edges</w:t>
      </w:r>
    </w:p>
    <w:p w14:paraId="36BCFE54" w14:textId="77777777" w:rsidR="008E1B31" w:rsidRDefault="005C5514">
      <w:pPr>
        <w:spacing w:after="160" w:line="320" w:lineRule="auto"/>
        <w:jc w:val="both"/>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36BCFE55" w14:textId="77777777" w:rsidR="008E1B31" w:rsidRDefault="005C5514">
      <w:pPr>
        <w:spacing w:after="160" w:line="320" w:lineRule="auto"/>
        <w:jc w:val="both"/>
      </w:pPr>
      <w:r>
        <w:rPr>
          <w:i/>
          <w:iCs/>
        </w:rPr>
        <w:t>Figure B.3 — Topology stability under the zero-flow convention. In Week 1, VLCC-01 carries active flows on its loading and discharge edges. In Week 2, the vessel is in transit and all edge flows are zero. The graph structure — nodes and edges — is identical in both weeks. Only the flow values change.</w:t>
      </w:r>
    </w:p>
    <w:p w14:paraId="36BCFE56" w14:textId="77777777" w:rsidR="008E1B31" w:rsidRDefault="005C5514">
      <w:pPr>
        <w:spacing w:after="160" w:line="320" w:lineRule="auto"/>
        <w:jc w:val="both"/>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36BCFE57" w14:textId="77777777" w:rsidR="008E1B31" w:rsidRDefault="005C5514">
      <w:pPr>
        <w:spacing w:after="160" w:line="320" w:lineRule="auto"/>
        <w:jc w:val="both"/>
      </w:pPr>
      <w:r>
        <w:rPr>
          <w:b/>
          <w:bCs/>
        </w:rPr>
        <w:t>What the asset-centric model additionally captures</w:t>
      </w:r>
    </w:p>
    <w:p w14:paraId="36BCFE58" w14:textId="77777777" w:rsidR="008E1B31" w:rsidRDefault="005C5514">
      <w:pPr>
        <w:pStyle w:val="ListParagraph"/>
        <w:numPr>
          <w:ilvl w:val="0"/>
          <w:numId w:val="2"/>
        </w:numPr>
        <w:spacing w:after="80" w:line="320" w:lineRule="auto"/>
        <w:jc w:val="both"/>
      </w:pPr>
      <w:r>
        <w:rPr>
          <w:b/>
          <w:bCs/>
        </w:rPr>
        <w:t>Line-fill inventory</w:t>
      </w:r>
      <w:r>
        <w:t xml:space="preserve"> — the crude inside the Longhorn pipe (1,600 barrels at 800 b/d × 2 days) is a first-class tracked variable, subject to the mass balance constraint.</w:t>
      </w:r>
    </w:p>
    <w:p w14:paraId="36BCFE59" w14:textId="77777777" w:rsidR="008E1B31" w:rsidRDefault="005C5514">
      <w:pPr>
        <w:spacing w:after="80"/>
      </w:pPr>
      <w:r>
        <w:rPr>
          <w:sz w:val="12"/>
          <w:szCs w:val="12"/>
        </w:rPr>
        <w:t xml:space="preserve"> </w:t>
      </w:r>
    </w:p>
    <w:p w14:paraId="36BCFE5A" w14:textId="77777777" w:rsidR="008E1B31" w:rsidRDefault="005C5514">
      <w:pPr>
        <w:pStyle w:val="ListParagraph"/>
        <w:numPr>
          <w:ilvl w:val="0"/>
          <w:numId w:val="2"/>
        </w:numPr>
        <w:spacing w:after="80" w:line="320" w:lineRule="auto"/>
        <w:jc w:val="both"/>
      </w:pPr>
      <w:r>
        <w:rPr>
          <w:b/>
          <w:bCs/>
        </w:rPr>
        <w:t>Maritime cargo</w:t>
      </w:r>
      <w:r>
        <w:t xml:space="preserve"> — a VLCC carrying 2 million barrels is a node with its own inventory, tracked from loading through transit to discharge.</w:t>
      </w:r>
    </w:p>
    <w:p w14:paraId="36BCFE5B" w14:textId="77777777" w:rsidR="008E1B31" w:rsidRDefault="005C5514">
      <w:pPr>
        <w:spacing w:after="80"/>
      </w:pPr>
      <w:r>
        <w:rPr>
          <w:sz w:val="12"/>
          <w:szCs w:val="12"/>
        </w:rPr>
        <w:t xml:space="preserve"> </w:t>
      </w:r>
    </w:p>
    <w:p w14:paraId="36BCFE5C" w14:textId="77777777" w:rsidR="008E1B31" w:rsidRDefault="005C5514">
      <w:pPr>
        <w:pStyle w:val="ListParagraph"/>
        <w:numPr>
          <w:ilvl w:val="0"/>
          <w:numId w:val="2"/>
        </w:numPr>
        <w:spacing w:after="80" w:line="320" w:lineRule="auto"/>
        <w:jc w:val="both"/>
      </w:pPr>
      <w:r>
        <w:rPr>
          <w:b/>
          <w:bCs/>
        </w:rPr>
        <w:t>Extensibility</w:t>
      </w:r>
      <w:r>
        <w:t xml:space="preserve"> — adding a new pipeline route or vessel class requires only introducing new nodes with zero-valued edges until the asset becomes active. No schema change is needed.</w:t>
      </w:r>
    </w:p>
    <w:p w14:paraId="36BCFE5D" w14:textId="77777777" w:rsidR="008E1B31" w:rsidRDefault="005C5514">
      <w:pPr>
        <w:spacing w:after="80"/>
      </w:pPr>
      <w:r>
        <w:rPr>
          <w:sz w:val="12"/>
          <w:szCs w:val="12"/>
        </w:rPr>
        <w:t xml:space="preserve"> </w:t>
      </w:r>
    </w:p>
    <w:p w14:paraId="36BCFE5E" w14:textId="77777777" w:rsidR="008E1B31" w:rsidRDefault="005C5514">
      <w:pPr>
        <w:pStyle w:val="ListParagraph"/>
        <w:numPr>
          <w:ilvl w:val="0"/>
          <w:numId w:val="2"/>
        </w:numPr>
        <w:spacing w:after="80" w:line="320" w:lineRule="auto"/>
        <w:jc w:val="both"/>
      </w:pPr>
      <w:r>
        <w:rPr>
          <w:b/>
          <w:bCs/>
        </w:rPr>
        <w:lastRenderedPageBreak/>
        <w:t>Grade-level tracking</w:t>
      </w:r>
      <w:r>
        <w:t xml:space="preserve"> — in future extensions, different crude grades can be treated as separate variable instances on each node, including pipeline and vessel nodes, consistent with the formula-implies-edge framework in Section 3.6.</w:t>
      </w:r>
    </w:p>
    <w:p w14:paraId="36BCFE5F" w14:textId="77777777" w:rsidR="008E1B31" w:rsidRDefault="005C5514">
      <w:pPr>
        <w:spacing w:after="80"/>
      </w:pPr>
      <w:r>
        <w:rPr>
          <w:sz w:val="12"/>
          <w:szCs w:val="12"/>
        </w:rPr>
        <w:t xml:space="preserve"> </w:t>
      </w:r>
    </w:p>
    <w:p w14:paraId="36BCFE60" w14:textId="77777777" w:rsidR="008E1B31" w:rsidRDefault="005C5514">
      <w:pPr>
        <w:pStyle w:val="Heading1"/>
        <w:pageBreakBefore/>
      </w:pPr>
      <w:r>
        <w:lastRenderedPageBreak/>
        <w:t>B.4 Comparison</w:t>
      </w:r>
    </w:p>
    <w:p w14:paraId="36BCFE61" w14:textId="77777777" w:rsidR="008E1B31" w:rsidRDefault="005C5514">
      <w:pPr>
        <w:spacing w:after="160" w:line="320" w:lineRule="auto"/>
        <w:jc w:val="both"/>
      </w:pPr>
      <w:r>
        <w:t>The table below summarises the key differences between the two conventions across the dimensions most relevant to this thesis.</w:t>
      </w:r>
    </w:p>
    <w:p w14:paraId="36BCFE62" w14:textId="77777777" w:rsidR="008E1B31" w:rsidRDefault="005C5514">
      <w:pPr>
        <w:spacing w:after="160" w:line="320" w:lineRule="auto"/>
        <w:jc w:val="both"/>
      </w:pPr>
      <w:r>
        <w:t xml:space="preserve">——————- ————————-- ————————--   </w:t>
      </w:r>
      <w:r>
        <w:rPr>
          <w:b/>
          <w:bCs/>
        </w:rPr>
        <w:t>Dimension</w:t>
      </w:r>
      <w:r>
        <w:t xml:space="preserve">       </w:t>
      </w:r>
      <w:r>
        <w:rPr>
          <w:b/>
          <w:bCs/>
        </w:rPr>
        <w:t>Location-centric</w:t>
      </w:r>
      <w:r>
        <w:t xml:space="preserve">       </w:t>
      </w:r>
      <w:r>
        <w:rPr>
          <w:b/>
          <w:bCs/>
        </w:rPr>
        <w:t>Asset-centric</w:t>
      </w:r>
    </w:p>
    <w:p w14:paraId="36BCFE63" w14:textId="77777777" w:rsidR="008E1B31" w:rsidRDefault="005C5514">
      <w:pPr>
        <w:spacing w:after="160" w:line="320" w:lineRule="auto"/>
        <w:jc w:val="both"/>
      </w:pPr>
      <w:r>
        <w:rPr>
          <w:b/>
          <w:bCs/>
        </w:rPr>
        <w:t>Node definition</w:t>
      </w:r>
      <w:r>
        <w:t xml:space="preserve"> Geographic site or         Individual physical asset                       facility</w:t>
      </w:r>
    </w:p>
    <w:p w14:paraId="36BCFE64" w14:textId="77777777" w:rsidR="008E1B31" w:rsidRDefault="005C5514">
      <w:pPr>
        <w:spacing w:after="160" w:line="320" w:lineRule="auto"/>
        <w:jc w:val="both"/>
      </w:pPr>
      <w:r>
        <w:rPr>
          <w:b/>
          <w:bCs/>
        </w:rPr>
        <w:t>Pipeline</w:t>
      </w:r>
      <w:r>
        <w:t xml:space="preserve">        Edge with flow attribute   Node with line-fill                                                  inventory</w:t>
      </w:r>
    </w:p>
    <w:p w14:paraId="36BCFE65" w14:textId="77777777" w:rsidR="008E1B31" w:rsidRDefault="005C5514">
      <w:pPr>
        <w:spacing w:after="160" w:line="320" w:lineRule="auto"/>
        <w:jc w:val="both"/>
      </w:pPr>
      <w:r>
        <w:rPr>
          <w:b/>
          <w:bCs/>
        </w:rPr>
        <w:t>VLCC tanker</w:t>
      </w:r>
      <w:r>
        <w:t xml:space="preserve">     Implicit in shipping route Node with cargo inventory                       edge</w:t>
      </w:r>
    </w:p>
    <w:p w14:paraId="36BCFE66" w14:textId="77777777" w:rsidR="008E1B31" w:rsidRDefault="005C5514">
      <w:pPr>
        <w:spacing w:after="160" w:line="320" w:lineRule="auto"/>
        <w:jc w:val="both"/>
      </w:pPr>
      <w:r>
        <w:rPr>
          <w:b/>
          <w:bCs/>
        </w:rPr>
        <w:t>Topology</w:t>
      </w:r>
      <w:r>
        <w:t xml:space="preserve">        Fixed (locations don't    Fixed (zero-flow inactive                       move)                      edges)</w:t>
      </w:r>
    </w:p>
    <w:p w14:paraId="36BCFE67" w14:textId="77777777" w:rsidR="008E1B31" w:rsidRDefault="005C5514">
      <w:pPr>
        <w:spacing w:after="160" w:line="320" w:lineRule="auto"/>
        <w:jc w:val="both"/>
      </w:pPr>
      <w:r>
        <w:rPr>
          <w:b/>
          <w:bCs/>
        </w:rPr>
        <w:t>New asset</w:t>
      </w:r>
      <w:r>
        <w:t xml:space="preserve">       New node or edge added     New node, edges exist at                                                  zero</w:t>
      </w:r>
    </w:p>
    <w:p w14:paraId="36BCFE68" w14:textId="77777777" w:rsidR="008E1B31" w:rsidRDefault="005C5514">
      <w:pPr>
        <w:spacing w:after="160" w:line="320" w:lineRule="auto"/>
        <w:jc w:val="both"/>
      </w:pPr>
      <w:r>
        <w:rPr>
          <w:b/>
          <w:bCs/>
        </w:rPr>
        <w:t>In-transit        Not trackable              First-class inventory   cargo</w:t>
      </w:r>
      <w:r>
        <w:t xml:space="preserve">                                        variable</w:t>
      </w:r>
    </w:p>
    <w:p w14:paraId="36BCFE69" w14:textId="77777777" w:rsidR="008E1B31" w:rsidRDefault="005C5514">
      <w:pPr>
        <w:spacing w:after="160" w:line="320" w:lineRule="auto"/>
        <w:jc w:val="both"/>
      </w:pPr>
      <w:r>
        <w:rPr>
          <w:b/>
          <w:bCs/>
        </w:rPr>
        <w:t>GNN               Standard architectures     Standard architectures   compatibility</w:t>
      </w:r>
    </w:p>
    <w:p w14:paraId="36BCFE6A" w14:textId="77777777" w:rsidR="008E1B31" w:rsidRDefault="005C5514">
      <w:pPr>
        <w:spacing w:after="160" w:line="320" w:lineRule="auto"/>
        <w:jc w:val="both"/>
      </w:pPr>
      <w:r>
        <w:rPr>
          <w:b/>
          <w:bCs/>
        </w:rPr>
        <w:t>Data source       EIA regional aggregates    EIA + AIS for full   match</w:t>
      </w:r>
      <w:r>
        <w:t xml:space="preserve">                                        resolution</w:t>
      </w:r>
    </w:p>
    <w:p w14:paraId="36BCFE6B" w14:textId="77777777" w:rsidR="008E1B31" w:rsidRDefault="005C5514">
      <w:pPr>
        <w:spacing w:after="160" w:line="320" w:lineRule="auto"/>
        <w:jc w:val="both"/>
      </w:pPr>
      <w:r>
        <w:rPr>
          <w:b/>
          <w:bCs/>
        </w:rPr>
        <w:t>Extensibility</w:t>
      </w:r>
      <w:r>
        <w:t xml:space="preserve">   Limited by location        Extends to any asset type                       granularity                   ——————- ————————-- ————————--</w:t>
      </w:r>
    </w:p>
    <w:p w14:paraId="36BCFE6C" w14:textId="77777777" w:rsidR="008E1B31" w:rsidRDefault="005C5514">
      <w:pPr>
        <w:spacing w:after="160" w:line="320" w:lineRule="auto"/>
        <w:jc w:val="both"/>
      </w:pPr>
      <w:r>
        <w:t>The asset-centric convention is adopted in this thesis because it fits the physical structure of the crude oil supply chain and extends more naturally as richer data becomes available. Crude oil networks are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leaving the asset-centric graph fully compatible with standard GNN architectures.</w:t>
      </w:r>
    </w:p>
    <w:p w14:paraId="36BCFE6D" w14:textId="77777777" w:rsidR="008E1B31" w:rsidRDefault="005C5514">
      <w:pPr>
        <w:spacing w:after="160" w:line="320" w:lineRule="auto"/>
        <w:jc w:val="both"/>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36BCFE6E" w14:textId="77777777" w:rsidR="008E1B31" w:rsidRDefault="005C5514">
      <w:pPr>
        <w:pStyle w:val="Heading1"/>
        <w:pageBreakBefore/>
      </w:pPr>
      <w:r>
        <w:lastRenderedPageBreak/>
        <w:t>B.5 The Mass Balance Equation and the Balancing Item</w:t>
      </w:r>
    </w:p>
    <w:p w14:paraId="36BCFE6F" w14:textId="77777777" w:rsidR="008E1B31" w:rsidRDefault="005C5514">
      <w:pPr>
        <w:spacing w:after="160" w:line="320" w:lineRule="auto"/>
        <w:jc w:val="both"/>
      </w:pPr>
      <w:r>
        <w:t>Every node in the asset-centric graph — whether a production field, a storage terminal, a pipeline segment, or a vessel — must satisfy the same universal mass balance constraint. The change in inventory at node i over time period t must equal the net of all flows into and out of that node:</w:t>
      </w:r>
    </w:p>
    <w:p w14:paraId="36BCFE70" w14:textId="77777777" w:rsidR="008E1B31" w:rsidRDefault="005C5514">
      <w:pPr>
        <w:spacing w:after="160" w:line="320" w:lineRule="auto"/>
        <w:jc w:val="both"/>
      </w:pPr>
      <w:r>
        <w:rPr>
          <w:b/>
          <w:bCs/>
        </w:rPr>
        <w:t>ΔS(i,t) = P(i,t) + F_in(i,t) − C(i,t) − F_out(i,t)</w:t>
      </w:r>
    </w:p>
    <w:p w14:paraId="36BCFE71" w14:textId="77777777" w:rsidR="008E1B31" w:rsidRDefault="005C5514">
      <w:pPr>
        <w:spacing w:after="160" w:line="320" w:lineRule="auto"/>
        <w:jc w:val="both"/>
      </w:pPr>
      <w:r>
        <w:t>where ΔS(i,t) = S(i,t) − S(i,t−1) is the change in stock, P(i,t) is production (non-zero only at wellhead and field nodes), C(i,t) is consumption (non-zero only at refinery and end-use nodes), F_in(i,t) is the sum of all inflows, and F_out(i,t) is the sum of all outflows.</w:t>
      </w:r>
    </w:p>
    <w:p w14:paraId="36BCFE72" w14:textId="77777777" w:rsidR="008E1B31" w:rsidRDefault="005C5514">
      <w:pPr>
        <w:spacing w:after="160" w:line="320" w:lineRule="auto"/>
        <w:jc w:val="both"/>
      </w:pPr>
      <w:r>
        <w:rPr>
          <w:b/>
          <w:bCs/>
        </w:rPr>
        <w:t>B.5.1 The Cushing example</w:t>
      </w:r>
    </w:p>
    <w:p w14:paraId="36BCFE73" w14:textId="77777777" w:rsidR="008E1B31" w:rsidRDefault="005C5514">
      <w:pPr>
        <w:spacing w:after="160" w:line="320" w:lineRule="auto"/>
        <w:jc w:val="both"/>
      </w:pPr>
      <w:r>
        <w:t>For Cushing terminal in a given week, the reported EIA data gives:</w:t>
      </w:r>
    </w:p>
    <w:p w14:paraId="36BCFE74" w14:textId="77777777" w:rsidR="008E1B31" w:rsidRDefault="005C5514">
      <w:pPr>
        <w:pStyle w:val="ListParagraph"/>
        <w:numPr>
          <w:ilvl w:val="0"/>
          <w:numId w:val="2"/>
        </w:numPr>
        <w:spacing w:after="80" w:line="320" w:lineRule="auto"/>
        <w:jc w:val="both"/>
      </w:pPr>
      <w:r>
        <w:t>Opening stock S(t−1) = 45,000 barrels</w:t>
      </w:r>
    </w:p>
    <w:p w14:paraId="36BCFE75" w14:textId="77777777" w:rsidR="008E1B31" w:rsidRDefault="005C5514">
      <w:pPr>
        <w:spacing w:after="80"/>
      </w:pPr>
      <w:r>
        <w:rPr>
          <w:sz w:val="12"/>
          <w:szCs w:val="12"/>
        </w:rPr>
        <w:t xml:space="preserve"> </w:t>
      </w:r>
    </w:p>
    <w:p w14:paraId="36BCFE76" w14:textId="77777777" w:rsidR="008E1B31" w:rsidRDefault="005C5514">
      <w:pPr>
        <w:pStyle w:val="ListParagraph"/>
        <w:numPr>
          <w:ilvl w:val="0"/>
          <w:numId w:val="2"/>
        </w:numPr>
        <w:spacing w:after="80" w:line="320" w:lineRule="auto"/>
        <w:jc w:val="both"/>
      </w:pPr>
      <w:r>
        <w:t>Inflow from Longhorn pipeline: 800 b/d × 7 days = 5,600 barrels</w:t>
      </w:r>
    </w:p>
    <w:p w14:paraId="36BCFE77" w14:textId="77777777" w:rsidR="008E1B31" w:rsidRDefault="005C5514">
      <w:pPr>
        <w:spacing w:after="80"/>
      </w:pPr>
      <w:r>
        <w:rPr>
          <w:sz w:val="12"/>
          <w:szCs w:val="12"/>
        </w:rPr>
        <w:t xml:space="preserve"> </w:t>
      </w:r>
    </w:p>
    <w:p w14:paraId="36BCFE78" w14:textId="77777777" w:rsidR="008E1B31" w:rsidRDefault="005C5514">
      <w:pPr>
        <w:pStyle w:val="ListParagraph"/>
        <w:numPr>
          <w:ilvl w:val="0"/>
          <w:numId w:val="2"/>
        </w:numPr>
        <w:spacing w:after="80" w:line="320" w:lineRule="auto"/>
        <w:jc w:val="both"/>
      </w:pPr>
      <w:r>
        <w:t>Inflow from Seaway pipeline: 600 b/d × 7 days = 4,200 barrels</w:t>
      </w:r>
    </w:p>
    <w:p w14:paraId="36BCFE79" w14:textId="77777777" w:rsidR="008E1B31" w:rsidRDefault="005C5514">
      <w:pPr>
        <w:spacing w:after="80"/>
      </w:pPr>
      <w:r>
        <w:rPr>
          <w:sz w:val="12"/>
          <w:szCs w:val="12"/>
        </w:rPr>
        <w:t xml:space="preserve"> </w:t>
      </w:r>
    </w:p>
    <w:p w14:paraId="36BCFE7A" w14:textId="77777777" w:rsidR="008E1B31" w:rsidRDefault="005C5514">
      <w:pPr>
        <w:pStyle w:val="ListParagraph"/>
        <w:numPr>
          <w:ilvl w:val="0"/>
          <w:numId w:val="2"/>
        </w:numPr>
        <w:spacing w:after="80" w:line="320" w:lineRule="auto"/>
        <w:jc w:val="both"/>
      </w:pPr>
      <w:r>
        <w:t>Outflow to Ozark pipeline (refinery): 950 b/d × 7 days = 6,650 barrels</w:t>
      </w:r>
    </w:p>
    <w:p w14:paraId="36BCFE7B" w14:textId="77777777" w:rsidR="008E1B31" w:rsidRDefault="005C5514">
      <w:pPr>
        <w:spacing w:after="80"/>
      </w:pPr>
      <w:r>
        <w:rPr>
          <w:sz w:val="12"/>
          <w:szCs w:val="12"/>
        </w:rPr>
        <w:t xml:space="preserve"> </w:t>
      </w:r>
    </w:p>
    <w:p w14:paraId="36BCFE7C" w14:textId="77777777" w:rsidR="008E1B31" w:rsidRDefault="005C5514">
      <w:pPr>
        <w:pStyle w:val="ListParagraph"/>
        <w:numPr>
          <w:ilvl w:val="0"/>
          <w:numId w:val="2"/>
        </w:numPr>
        <w:spacing w:after="80" w:line="320" w:lineRule="auto"/>
        <w:jc w:val="both"/>
      </w:pPr>
      <w:r>
        <w:t>Outflow to SPR: 0 barrels</w:t>
      </w:r>
    </w:p>
    <w:p w14:paraId="36BCFE7D" w14:textId="77777777" w:rsidR="008E1B31" w:rsidRDefault="005C5514">
      <w:pPr>
        <w:spacing w:after="80"/>
      </w:pPr>
      <w:r>
        <w:rPr>
          <w:sz w:val="12"/>
          <w:szCs w:val="12"/>
        </w:rPr>
        <w:t xml:space="preserve"> </w:t>
      </w:r>
    </w:p>
    <w:p w14:paraId="36BCFE7E" w14:textId="77777777" w:rsidR="008E1B31" w:rsidRDefault="005C5514">
      <w:pPr>
        <w:pStyle w:val="ListParagraph"/>
        <w:numPr>
          <w:ilvl w:val="0"/>
          <w:numId w:val="2"/>
        </w:numPr>
        <w:spacing w:after="80" w:line="320" w:lineRule="auto"/>
        <w:jc w:val="both"/>
      </w:pPr>
      <w:r>
        <w:t>Closing stock S(t) reported by EIA = 45,300 barrels</w:t>
      </w:r>
    </w:p>
    <w:p w14:paraId="36BCFE7F" w14:textId="77777777" w:rsidR="008E1B31" w:rsidRDefault="005C5514">
      <w:pPr>
        <w:spacing w:after="80"/>
      </w:pPr>
      <w:r>
        <w:rPr>
          <w:sz w:val="12"/>
          <w:szCs w:val="12"/>
        </w:rPr>
        <w:t xml:space="preserve"> </w:t>
      </w:r>
    </w:p>
    <w:p w14:paraId="36BCFE80" w14:textId="77777777" w:rsidR="008E1B31" w:rsidRDefault="005C5514">
      <w:pPr>
        <w:spacing w:after="160" w:line="320" w:lineRule="auto"/>
        <w:jc w:val="both"/>
      </w:pPr>
      <w:r>
        <w:t>The calculated stock change is:</w:t>
      </w:r>
    </w:p>
    <w:p w14:paraId="36BCFE81" w14:textId="77777777" w:rsidR="008E1B31" w:rsidRDefault="005C5514">
      <w:pPr>
        <w:spacing w:after="160" w:line="320" w:lineRule="auto"/>
        <w:jc w:val="both"/>
      </w:pPr>
      <w:r>
        <w:t>ΔS(calc) = F_in − F_out = (5,600 + 4,200) − (6,650 + 0) = +3,150 barrels</w:t>
      </w:r>
    </w:p>
    <w:p w14:paraId="36BCFE82" w14:textId="77777777" w:rsidR="008E1B31" w:rsidRDefault="005C5514">
      <w:pPr>
        <w:spacing w:after="160" w:line="320" w:lineRule="auto"/>
        <w:jc w:val="both"/>
      </w:pPr>
      <w:r>
        <w:t>The observed stock change from the EIA weekly report is:</w:t>
      </w:r>
    </w:p>
    <w:p w14:paraId="36BCFE83" w14:textId="77777777" w:rsidR="008E1B31" w:rsidRDefault="005C5514">
      <w:pPr>
        <w:spacing w:after="160" w:line="320" w:lineRule="auto"/>
        <w:jc w:val="both"/>
      </w:pPr>
      <w:r>
        <w:t>ΔS(obs) = 45,300 − 45,000 = +300 barrels</w:t>
      </w:r>
    </w:p>
    <w:p w14:paraId="36BCFE84" w14:textId="77777777" w:rsidR="008E1B31" w:rsidRDefault="005C5514">
      <w:pPr>
        <w:spacing w:after="160" w:line="320" w:lineRule="auto"/>
        <w:jc w:val="both"/>
      </w:pPr>
      <w:r>
        <w:t>These do not match. The balancing item is the residual:</w:t>
      </w:r>
    </w:p>
    <w:p w14:paraId="36BCFE85" w14:textId="77777777" w:rsidR="008E1B31" w:rsidRDefault="005C5514">
      <w:pPr>
        <w:spacing w:after="160" w:line="320" w:lineRule="auto"/>
        <w:jc w:val="both"/>
      </w:pPr>
      <w:r>
        <w:rPr>
          <w:b/>
          <w:bCs/>
        </w:rPr>
        <w:t>B(i,t) = ΔS(obs) − ΔS(calc) = 300 − 3,150 = −2,850 barrels</w:t>
      </w:r>
    </w:p>
    <w:p w14:paraId="36BCFE86" w14:textId="77777777" w:rsidR="008E1B31" w:rsidRDefault="005C5514">
      <w:pPr>
        <w:spacing w:after="160" w:line="320" w:lineRule="auto"/>
        <w:jc w:val="both"/>
      </w:pPr>
      <w:r>
        <w:rPr>
          <w:i/>
          <w:iCs/>
        </w:rPr>
        <w:t>Figure B.4 — Mass balance at Cushing terminal. Inflows (green) and outflows (red) sum to a calculated ΔS of +450 b/d, but the observed ΔS from EIA data is only +300 b/d. The balancing item B = −150 b/d absorbs the discrepancy.</w:t>
      </w:r>
    </w:p>
    <w:p w14:paraId="36BCFE87" w14:textId="77777777" w:rsidR="008E1B31" w:rsidRDefault="005C5514">
      <w:pPr>
        <w:spacing w:after="160" w:line="320" w:lineRule="auto"/>
        <w:jc w:val="both"/>
      </w:pPr>
      <w:r>
        <w:rPr>
          <w:b/>
          <w:bCs/>
        </w:rPr>
        <w:t>B.5.2 Why the balancing item exists</w:t>
      </w:r>
    </w:p>
    <w:p w14:paraId="36BCFE88" w14:textId="77777777" w:rsidR="008E1B31" w:rsidRDefault="005C5514">
      <w:pPr>
        <w:spacing w:after="160" w:line="320" w:lineRule="auto"/>
        <w:jc w:val="both"/>
      </w:pPr>
      <w:r>
        <w:lastRenderedPageBreak/>
        <w:t>The discrepancy between calculated and observed inventory changes is endemic to commodity reporting and arises from several structural causes:</w:t>
      </w:r>
    </w:p>
    <w:p w14:paraId="36BCFE89" w14:textId="77777777" w:rsidR="008E1B31" w:rsidRDefault="005C5514">
      <w:pPr>
        <w:pStyle w:val="ListParagraph"/>
        <w:numPr>
          <w:ilvl w:val="0"/>
          <w:numId w:val="2"/>
        </w:numPr>
        <w:spacing w:after="80" w:line="320" w:lineRule="auto"/>
        <w:jc w:val="both"/>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6BCFE8A" w14:textId="77777777" w:rsidR="008E1B31" w:rsidRDefault="005C5514">
      <w:pPr>
        <w:spacing w:after="80"/>
      </w:pPr>
      <w:r>
        <w:rPr>
          <w:sz w:val="12"/>
          <w:szCs w:val="12"/>
        </w:rPr>
        <w:t xml:space="preserve"> </w:t>
      </w:r>
    </w:p>
    <w:p w14:paraId="36BCFE8B" w14:textId="77777777" w:rsidR="008E1B31" w:rsidRDefault="005C5514">
      <w:pPr>
        <w:pStyle w:val="ListParagraph"/>
        <w:numPr>
          <w:ilvl w:val="0"/>
          <w:numId w:val="2"/>
        </w:numPr>
        <w:spacing w:after="80" w:line="320" w:lineRule="auto"/>
        <w:jc w:val="both"/>
      </w:pPr>
      <w:r>
        <w:rPr>
          <w:b/>
          <w:bCs/>
        </w:rPr>
        <w:t>Rounding and aggregation</w:t>
      </w:r>
      <w:r>
        <w:t xml:space="preserve"> — EIA aggregates data from multiple operators and reporting entities. Each rounds independently before submitting, so the sum of rounded components differs from the rounded total.</w:t>
      </w:r>
    </w:p>
    <w:p w14:paraId="36BCFE8C" w14:textId="77777777" w:rsidR="008E1B31" w:rsidRDefault="005C5514">
      <w:pPr>
        <w:spacing w:after="80"/>
      </w:pPr>
      <w:r>
        <w:rPr>
          <w:sz w:val="12"/>
          <w:szCs w:val="12"/>
        </w:rPr>
        <w:t xml:space="preserve"> </w:t>
      </w:r>
    </w:p>
    <w:p w14:paraId="36BCFE8D" w14:textId="77777777" w:rsidR="008E1B31" w:rsidRDefault="005C5514">
      <w:pPr>
        <w:pStyle w:val="ListParagraph"/>
        <w:numPr>
          <w:ilvl w:val="0"/>
          <w:numId w:val="2"/>
        </w:numPr>
        <w:spacing w:after="80" w:line="320" w:lineRule="auto"/>
        <w:jc w:val="both"/>
      </w:pPr>
      <w:r>
        <w:rPr>
          <w:b/>
          <w:bCs/>
        </w:rPr>
        <w:t>Unreported or delayed reports</w:t>
      </w:r>
      <w:r>
        <w:t xml:space="preserve"> — some operators file revisions to prior weeks. The current week's stock change may reflect prior-period revisions not captured in the current-week flow data.</w:t>
      </w:r>
    </w:p>
    <w:p w14:paraId="36BCFE8E" w14:textId="77777777" w:rsidR="008E1B31" w:rsidRDefault="005C5514">
      <w:pPr>
        <w:spacing w:after="80"/>
      </w:pPr>
      <w:r>
        <w:rPr>
          <w:sz w:val="12"/>
          <w:szCs w:val="12"/>
        </w:rPr>
        <w:t xml:space="preserve"> </w:t>
      </w:r>
    </w:p>
    <w:p w14:paraId="36BCFE8F" w14:textId="77777777" w:rsidR="008E1B31" w:rsidRDefault="005C5514">
      <w:pPr>
        <w:pStyle w:val="ListParagraph"/>
        <w:numPr>
          <w:ilvl w:val="0"/>
          <w:numId w:val="2"/>
        </w:numPr>
        <w:spacing w:after="80" w:line="320" w:lineRule="auto"/>
        <w:jc w:val="both"/>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36BCFE90" w14:textId="77777777" w:rsidR="008E1B31" w:rsidRDefault="005C5514">
      <w:pPr>
        <w:spacing w:after="80"/>
      </w:pPr>
      <w:r>
        <w:rPr>
          <w:sz w:val="12"/>
          <w:szCs w:val="12"/>
        </w:rPr>
        <w:t xml:space="preserve"> </w:t>
      </w:r>
    </w:p>
    <w:p w14:paraId="36BCFE91" w14:textId="77777777" w:rsidR="008E1B31" w:rsidRDefault="005C5514">
      <w:pPr>
        <w:pStyle w:val="ListParagraph"/>
        <w:numPr>
          <w:ilvl w:val="0"/>
          <w:numId w:val="2"/>
        </w:numPr>
        <w:spacing w:after="80" w:line="320" w:lineRule="auto"/>
        <w:jc w:val="both"/>
      </w:pPr>
      <w:r>
        <w:rPr>
          <w:b/>
          <w:bCs/>
        </w:rPr>
        <w:t>Grade and quality adjustments</w:t>
      </w:r>
      <w:r>
        <w:t xml:space="preserve"> — blending of different crude grades at a terminal can produce apparent volume gains or losses due to density differences that are not separately accounted for.</w:t>
      </w:r>
    </w:p>
    <w:p w14:paraId="36BCFE92" w14:textId="77777777" w:rsidR="008E1B31" w:rsidRDefault="005C5514">
      <w:pPr>
        <w:spacing w:after="80"/>
      </w:pPr>
      <w:r>
        <w:rPr>
          <w:sz w:val="12"/>
          <w:szCs w:val="12"/>
        </w:rPr>
        <w:t xml:space="preserve"> </w:t>
      </w:r>
    </w:p>
    <w:p w14:paraId="36BCFE93" w14:textId="77777777" w:rsidR="008E1B31" w:rsidRDefault="005C5514">
      <w:pPr>
        <w:spacing w:after="160" w:line="320" w:lineRule="auto"/>
        <w:jc w:val="both"/>
      </w:pPr>
      <w:r>
        <w:rPr>
          <w:b/>
          <w:bCs/>
        </w:rPr>
        <w:t>B.5.3 The full mass balance equation with balancing item</w:t>
      </w:r>
    </w:p>
    <w:p w14:paraId="36BCFE94" w14:textId="77777777" w:rsidR="008E1B31" w:rsidRDefault="005C5514">
      <w:pPr>
        <w:spacing w:after="160" w:line="320" w:lineRule="auto"/>
        <w:jc w:val="both"/>
      </w:pPr>
      <w:r>
        <w:t>The complete equation used in this thesis is:</w:t>
      </w:r>
    </w:p>
    <w:p w14:paraId="36BCFE95" w14:textId="77777777" w:rsidR="008E1B31" w:rsidRDefault="005C5514">
      <w:pPr>
        <w:spacing w:after="160" w:line="320" w:lineRule="auto"/>
        <w:jc w:val="both"/>
      </w:pPr>
      <w:r>
        <w:rPr>
          <w:b/>
          <w:bCs/>
        </w:rPr>
        <w:t>S(i,t) = S(i,t−1) + P(i,t) + F_in(i,t)</w:t>
      </w:r>
    </w:p>
    <w:p w14:paraId="36BCFE96" w14:textId="77777777" w:rsidR="008E1B31" w:rsidRDefault="005C5514">
      <w:pPr>
        <w:spacing w:after="160" w:line="320" w:lineRule="auto"/>
        <w:jc w:val="both"/>
      </w:pPr>
      <w:r>
        <w:rPr>
          <w:b/>
          <w:bCs/>
        </w:rPr>
        <w:t>− C(i,t) − F_out(i,t) + B(i,t)</w:t>
      </w:r>
    </w:p>
    <w:p w14:paraId="36BCFE97" w14:textId="77777777" w:rsidR="008E1B31" w:rsidRDefault="005C5514">
      <w:pPr>
        <w:spacing w:after="160" w:line="320" w:lineRule="auto"/>
        <w:jc w:val="both"/>
      </w:pPr>
      <w:r>
        <w:t>where B(i,t)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 event.</w:t>
      </w:r>
    </w:p>
    <w:p w14:paraId="36BCFE98" w14:textId="77777777" w:rsidR="008E1B31" w:rsidRDefault="005C5514">
      <w:pPr>
        <w:spacing w:after="160" w:line="320" w:lineRule="auto"/>
        <w:jc w:val="both"/>
      </w:pPr>
      <w:r>
        <w:t xml:space="preserve">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w:t>
      </w:r>
      <w:r>
        <w:lastRenderedPageBreak/>
        <w:t>predicting the expected balancing item for a future period based on historical patterns. The choice of role is a modelling decision addressed in Chapter 5.</w:t>
      </w:r>
    </w:p>
    <w:p w14:paraId="36BCFE99" w14:textId="77777777" w:rsidR="008E1B31" w:rsidRDefault="005C5514">
      <w:pPr>
        <w:pStyle w:val="Heading1"/>
        <w:pageBreakBefore/>
      </w:pPr>
      <w:r>
        <w:lastRenderedPageBreak/>
        <w:t>B.6 Implications for the GNN Model</w:t>
      </w:r>
    </w:p>
    <w:p w14:paraId="36BCFE9A" w14:textId="77777777" w:rsidR="008E1B31" w:rsidRDefault="005C5514">
      <w:pPr>
        <w:spacing w:after="160" w:line="320" w:lineRule="auto"/>
        <w:jc w:val="both"/>
      </w:pPr>
      <w:r>
        <w:t>The asset-centric convention combined with the zero-flow edge design and the balancing item produces a graph framework with several properties that directly support the forecasting objective of this thesis:</w:t>
      </w:r>
    </w:p>
    <w:p w14:paraId="36BCFE9B" w14:textId="77777777" w:rsidR="008E1B31" w:rsidRDefault="005C5514">
      <w:pPr>
        <w:pStyle w:val="ListParagraph"/>
        <w:numPr>
          <w:ilvl w:val="0"/>
          <w:numId w:val="2"/>
        </w:numPr>
        <w:spacing w:after="80" w:line="320" w:lineRule="auto"/>
        <w:jc w:val="both"/>
      </w:pPr>
      <w:r>
        <w:rPr>
          <w:b/>
          <w:bCs/>
        </w:rPr>
        <w:t>Universal mass balance</w:t>
      </w:r>
      <w:r>
        <w:t xml:space="preserve"> — the same equation S(i,t) = S(i,t−1) + P + F_in − C − F_out + B applies to every node type without special cases. Pipeline nodes have P = 0 and C = 0; vessel nodes have P = 0 and C = 0 with F_in = cargo loaded and F_out = cargo discharged.</w:t>
      </w:r>
    </w:p>
    <w:p w14:paraId="36BCFE9C" w14:textId="77777777" w:rsidR="008E1B31" w:rsidRDefault="005C5514">
      <w:pPr>
        <w:spacing w:after="80"/>
      </w:pPr>
      <w:r>
        <w:rPr>
          <w:sz w:val="12"/>
          <w:szCs w:val="12"/>
        </w:rPr>
        <w:t xml:space="preserve"> </w:t>
      </w:r>
    </w:p>
    <w:p w14:paraId="36BCFE9D" w14:textId="77777777" w:rsidR="008E1B31" w:rsidRDefault="005C5514">
      <w:pPr>
        <w:pStyle w:val="ListParagraph"/>
        <w:numPr>
          <w:ilvl w:val="0"/>
          <w:numId w:val="2"/>
        </w:numPr>
        <w:spacing w:after="80" w:line="320" w:lineRule="auto"/>
        <w:jc w:val="both"/>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GraphSAGE, DCRNN, and STGCN.</w:t>
      </w:r>
    </w:p>
    <w:p w14:paraId="36BCFE9E" w14:textId="77777777" w:rsidR="008E1B31" w:rsidRDefault="005C5514">
      <w:pPr>
        <w:spacing w:after="80"/>
      </w:pPr>
      <w:r>
        <w:rPr>
          <w:sz w:val="12"/>
          <w:szCs w:val="12"/>
        </w:rPr>
        <w:t xml:space="preserve"> </w:t>
      </w:r>
    </w:p>
    <w:p w14:paraId="36BCFE9F" w14:textId="77777777" w:rsidR="008E1B31" w:rsidRDefault="005C5514">
      <w:pPr>
        <w:pStyle w:val="ListParagraph"/>
        <w:numPr>
          <w:ilvl w:val="0"/>
          <w:numId w:val="2"/>
        </w:numPr>
        <w:spacing w:after="80" w:line="320" w:lineRule="auto"/>
        <w:jc w:val="both"/>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6BCFEA0" w14:textId="77777777" w:rsidR="008E1B31" w:rsidRDefault="005C5514">
      <w:pPr>
        <w:spacing w:after="80"/>
      </w:pPr>
      <w:r>
        <w:rPr>
          <w:sz w:val="12"/>
          <w:szCs w:val="12"/>
        </w:rPr>
        <w:t xml:space="preserve"> </w:t>
      </w:r>
    </w:p>
    <w:p w14:paraId="36BCFEA1" w14:textId="77777777" w:rsidR="008E1B31" w:rsidRDefault="005C5514">
      <w:pPr>
        <w:pStyle w:val="ListParagraph"/>
        <w:numPr>
          <w:ilvl w:val="0"/>
          <w:numId w:val="2"/>
        </w:numPr>
        <w:spacing w:after="80" w:line="320" w:lineRule="auto"/>
        <w:jc w:val="both"/>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36BCFEA2" w14:textId="77777777" w:rsidR="008E1B31" w:rsidRDefault="005C5514">
      <w:pPr>
        <w:spacing w:after="80"/>
      </w:pPr>
      <w:r>
        <w:rPr>
          <w:sz w:val="12"/>
          <w:szCs w:val="12"/>
        </w:rPr>
        <w:t xml:space="preserve"> </w:t>
      </w:r>
    </w:p>
    <w:p w14:paraId="36BCFEA3" w14:textId="77777777" w:rsidR="008E1B31" w:rsidRDefault="005C5514">
      <w:pPr>
        <w:pStyle w:val="Heading1"/>
        <w:pageBreakBefore/>
      </w:pPr>
      <w:r>
        <w:lastRenderedPageBreak/>
        <w:t>B.7 Persistent Asset Graph and Scenario Graph</w:t>
      </w:r>
    </w:p>
    <w:p w14:paraId="36BCFEA4" w14:textId="77777777" w:rsidR="008E1B31" w:rsidRDefault="005C5514">
      <w:pPr>
        <w:spacing w:after="160" w:line="320" w:lineRule="auto"/>
        <w:jc w:val="both"/>
      </w:pPr>
      <w:r>
        <w:t xml:space="preserve">Sections B.1 through B.6 describe what the graph looks like. In practice, the graph a model trains on is not a single object — it is produced on demand from three inputs: a </w:t>
      </w:r>
      <w:r>
        <w:rPr>
          <w:b/>
          <w:bCs/>
        </w:rPr>
        <w:t>persistent asset graph</w:t>
      </w:r>
      <w:r>
        <w:t xml:space="preserve"> defining the full physical topology, an </w:t>
      </w:r>
      <w:r>
        <w:rPr>
          <w:b/>
          <w:bCs/>
        </w:rPr>
        <w:t>assignment table</w:t>
      </w:r>
      <w:r>
        <w:t xml:space="preserve"> recording which time series is attached to which node, and a </w:t>
      </w:r>
      <w:r>
        <w:rPr>
          <w:b/>
          <w:bCs/>
        </w:rPr>
        <w:t>coverage contract</w:t>
      </w:r>
      <w:r>
        <w:t xml:space="preserve"> declaring the authoritative level of resolution for each part of the system. This section establishes the separation between these layers.</w:t>
      </w:r>
    </w:p>
    <w:p w14:paraId="36BCFEA5" w14:textId="77777777" w:rsidR="008E1B31" w:rsidRDefault="005C5514">
      <w:pPr>
        <w:spacing w:after="160" w:line="320" w:lineRule="auto"/>
        <w:jc w:val="both"/>
      </w:pPr>
      <w:r>
        <w:t>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principle as the zero-flow edge convention of Section B.3: just as edges are permanent with flow set to zero during inactivity, nodes are permanent with their variables in a collapsed or empty state when data does not populate them.</w:t>
      </w:r>
    </w:p>
    <w:p w14:paraId="36BCFEA6" w14:textId="77777777" w:rsidR="008E1B31" w:rsidRDefault="005C5514">
      <w:pPr>
        <w:spacing w:after="160" w:line="320" w:lineRule="auto"/>
        <w:jc w:val="both"/>
      </w:pPr>
      <w:r>
        <w:t>The scenario graph is what a model actually trains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for the duration of that scenario.</w:t>
      </w:r>
    </w:p>
    <w:p w14:paraId="36BCFEA7" w14:textId="77777777" w:rsidR="008E1B31" w:rsidRDefault="005C5514">
      <w:pPr>
        <w:spacing w:after="160" w:line="320" w:lineRule="auto"/>
        <w:jc w:val="both"/>
      </w:pPr>
      <w:r>
        <w:t>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 a stress-test scenario where a specific pipeline is forced offline — each producing a different scenario graph from a common physical backbone. Figure B.5 illustrates the relationship.</w:t>
      </w:r>
    </w:p>
    <w:p w14:paraId="36BCFEA8" w14:textId="77777777" w:rsidR="008E1B31" w:rsidRDefault="005C5514">
      <w:pPr>
        <w:spacing w:after="160" w:line="320" w:lineRule="auto"/>
        <w:jc w:val="both"/>
      </w:pPr>
      <w:r>
        <w:rPr>
          <w:i/>
          <w:iCs/>
        </w:rPr>
        <w:t>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36BCFEA9" w14:textId="77777777" w:rsidR="008E1B31" w:rsidRDefault="005C5514">
      <w:pPr>
        <w:pStyle w:val="Heading1"/>
        <w:pageBreakBefore/>
      </w:pPr>
      <w:r>
        <w:lastRenderedPageBreak/>
        <w:t>B.8 The Observational Aggregation Layer</w:t>
      </w:r>
    </w:p>
    <w:p w14:paraId="36BCFEAA" w14:textId="77777777" w:rsidR="008E1B31" w:rsidRDefault="005C5514">
      <w:pPr>
        <w:spacing w:after="160" w:line="320" w:lineRule="auto"/>
        <w:jc w:val="both"/>
      </w:pPr>
      <w:r>
        <w:t>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 ship crude; only the physical assets located within it do.</w:t>
      </w:r>
    </w:p>
    <w:p w14:paraId="36BCFEAB" w14:textId="77777777" w:rsidR="008E1B31" w:rsidRDefault="005C5514">
      <w:pPr>
        <w:spacing w:after="160" w:line="320" w:lineRule="auto"/>
        <w:jc w:val="both"/>
      </w:pPr>
      <w:r>
        <w:t xml:space="preserve">The framework handles this cleanly by separating the physical layer — the nodes and edges in the asset graph that represent real assets with real flows — from the </w:t>
      </w:r>
      <w:r>
        <w:rPr>
          <w:b/>
          <w:bCs/>
        </w:rPr>
        <w:t>observational aggregation layer</w:t>
      </w:r>
      <w:r>
        <w:t>, which provides formula-defined views over the physical layer. A PADD-level production variable is defined as a formula: P(PADD_3, t) equals the sum of P(i, t) over all physical nodes i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totals, and used as a validation check, but it does not participate in flow accounting at the physical level.</w:t>
      </w:r>
    </w:p>
    <w:p w14:paraId="36BCFEAC" w14:textId="77777777" w:rsidR="008E1B31" w:rsidRDefault="005C5514">
      <w:pPr>
        <w:spacing w:after="160" w:line="320" w:lineRule="auto"/>
        <w:jc w:val="both"/>
      </w:pPr>
      <w:r>
        <w:t>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36BCFEAD" w14:textId="77777777" w:rsidR="008E1B31" w:rsidRDefault="005C5514">
      <w:pPr>
        <w:spacing w:after="160" w:line="320" w:lineRule="auto"/>
        <w:jc w:val="both"/>
      </w:pPr>
      <w:r>
        <w:t>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36BCFEAE" w14:textId="77777777" w:rsidR="008E1B31" w:rsidRDefault="005C5514">
      <w:pPr>
        <w:pStyle w:val="Heading1"/>
        <w:pageBreakBefore/>
      </w:pPr>
      <w:r>
        <w:lastRenderedPageBreak/>
        <w:t>B.9 Geography Metadata and Administrative Aggregations</w:t>
      </w:r>
    </w:p>
    <w:p w14:paraId="36BCFEAF" w14:textId="77777777" w:rsidR="008E1B31" w:rsidRDefault="005C5514">
      <w:pPr>
        <w:spacing w:after="160" w:line="320" w:lineRule="auto"/>
        <w:jc w:val="both"/>
      </w:pPr>
      <w:r>
        <w:t xml:space="preserve">The observational aggregations of Section B.8 need an implementation. This section describes it. Every physical node in the asset graph carries a block of </w:t>
      </w:r>
      <w:r>
        <w:rPr>
          <w:b/>
          <w:bCs/>
        </w:rPr>
        <w:t>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node in itself.</w:t>
      </w:r>
    </w:p>
    <w:p w14:paraId="36BCFEB0" w14:textId="77777777" w:rsidR="008E1B31" w:rsidRDefault="005C5514">
      <w:pPr>
        <w:spacing w:after="160" w:line="320" w:lineRule="auto"/>
        <w:jc w:val="both"/>
      </w:pPr>
      <w:r>
        <w:t>Administrative aggregations from Section B.8 are implemented as queries that filter physical nodes by their geography metadata. The expression P(PADD_3, t) = sum of P(i, t) where i.location.padd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computed when needed, from the physical nodes that happen to carry the PADD 3 label.</w:t>
      </w:r>
    </w:p>
    <w:p w14:paraId="36BCFEB1" w14:textId="77777777" w:rsidR="008E1B31" w:rsidRDefault="005C5514">
      <w:pPr>
        <w:spacing w:after="160" w:line="320" w:lineRule="auto"/>
        <w:jc w:val="both"/>
      </w:pPr>
      <w:r>
        <w:t>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36BCFEB2" w14:textId="77777777" w:rsidR="008E1B31" w:rsidRDefault="005C5514">
      <w:pPr>
        <w:spacing w:after="160" w:line="320" w:lineRule="auto"/>
        <w:jc w:val="both"/>
      </w:pPr>
      <w:r>
        <w:t>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construction under the invariant of Section B.11, so the geography rollup is always well-defined.</w:t>
      </w:r>
    </w:p>
    <w:p w14:paraId="36BCFEB3" w14:textId="77777777" w:rsidR="008E1B31" w:rsidRDefault="005C5514">
      <w:pPr>
        <w:spacing w:after="160" w:line="320" w:lineRule="auto"/>
        <w:jc w:val="both"/>
      </w:pPr>
      <w:r>
        <w:t>The distinction between geography and resolution hierarchy is summarised in Figure B.6.</w:t>
      </w:r>
    </w:p>
    <w:p w14:paraId="36BCFEB4" w14:textId="77777777" w:rsidR="008E1B31" w:rsidRDefault="005C5514">
      <w:pPr>
        <w:spacing w:after="160" w:line="320" w:lineRule="auto"/>
        <w:jc w:val="both"/>
      </w:pPr>
      <w:r>
        <w:rPr>
          <w:i/>
          <w:iCs/>
        </w:rPr>
        <w:t>Figure B.6 — Geography metadata (labels on nodes) and resolution hierarchy (relationships between nodes). A well has a geography label and also belongs to a resolution hierarchy through its basin and county sub-node parents. The geography labels support administrative aggregations; the resolution hierarchy supports granularity upgrades as finer data becomes available.</w:t>
      </w:r>
    </w:p>
    <w:p w14:paraId="36BCFEB5" w14:textId="77777777" w:rsidR="008E1B31" w:rsidRDefault="005C5514">
      <w:pPr>
        <w:pStyle w:val="Heading1"/>
        <w:pageBreakBefore/>
      </w:pPr>
      <w:r>
        <w:lastRenderedPageBreak/>
        <w:t>B.10 Resolution Hierarchy and Forward Compatibility</w:t>
      </w:r>
    </w:p>
    <w:p w14:paraId="36BCFEB6" w14:textId="77777777" w:rsidR="008E1B31" w:rsidRDefault="005C5514">
      <w:pPr>
        <w:spacing w:after="160" w:line="320" w:lineRule="auto"/>
        <w:jc w:val="both"/>
      </w:pPr>
      <w:r>
        <w:t xml:space="preserve">Every node class in the asset graph has an associated </w:t>
      </w:r>
      <w:r>
        <w:rPr>
          <w:b/>
          <w:bCs/>
        </w:rPr>
        <w:t>resolution hierarchy</w:t>
      </w:r>
      <w:r>
        <w:t>: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representation of the same processing capacity that its individual refineries and, at a finer level still, their process units represent.</w:t>
      </w:r>
    </w:p>
    <w:p w14:paraId="36BCFEB7" w14:textId="77777777" w:rsidR="008E1B31" w:rsidRDefault="005C5514">
      <w:pPr>
        <w:spacing w:after="160" w:line="320" w:lineRule="auto"/>
        <w:jc w:val="both"/>
      </w:pPr>
      <w:r>
        <w:t>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36BCFEB8" w14:textId="77777777" w:rsidR="008E1B31" w:rsidRDefault="005C5514">
      <w:pPr>
        <w:spacing w:after="160" w:line="320" w:lineRule="auto"/>
        <w:jc w:val="both"/>
      </w:pPr>
      <w:r>
        <w:t>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36BCFEB9" w14:textId="77777777" w:rsidR="008E1B31" w:rsidRDefault="005C5514">
      <w:pPr>
        <w:spacing w:after="160" w:line="320" w:lineRule="auto"/>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promoted</w:t>
      </w:r>
      <w:r>
        <w:t xml:space="preserve"> from a pure-view status to the authoritative representation of production for the duration of that scenario. The basins that would normally be authoritative in its place are </w:t>
      </w:r>
      <w:r>
        <w:rPr>
          <w:b/>
          <w:bCs/>
        </w:rPr>
        <w:t>collapsed</w:t>
      </w:r>
      <w:r>
        <w:t>: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 contract is updated, the PADD 3 node reverts to a pure view, and the basins become authoritative again. The asset graph is unchanged throughout; only the coverage contract and the resulting scenario graph change.</w:t>
      </w:r>
    </w:p>
    <w:p w14:paraId="36BCFEBA" w14:textId="77777777" w:rsidR="008E1B31" w:rsidRDefault="005C5514">
      <w:pPr>
        <w:spacing w:after="160" w:line="320" w:lineRule="auto"/>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w:t>
      </w:r>
      <w:r>
        <w:lastRenderedPageBreak/>
        <w:t>acknowledging that in practice the authoritative level for some variables, in some scenarios, is the administrative aggregate rather than a named physical asset.</w:t>
      </w:r>
    </w:p>
    <w:p w14:paraId="36BCFEBB" w14:textId="77777777" w:rsidR="008E1B31" w:rsidRDefault="005C5514">
      <w:pPr>
        <w:spacing w:after="160" w:line="320" w:lineRule="auto"/>
        <w:jc w:val="both"/>
      </w:pPr>
      <w:r>
        <w:t>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graph and the formula layer absorb the change automatically. This is a methodological choice rather than an implementation detail, and it is what makes the framework suitable for deployment in a setting where data sources are expected to improve over time.</w:t>
      </w:r>
    </w:p>
    <w:p w14:paraId="36BCFEBC" w14:textId="77777777" w:rsidR="008E1B31" w:rsidRDefault="005C5514">
      <w:pPr>
        <w:pStyle w:val="Heading1"/>
        <w:pageBreakBefore/>
      </w:pPr>
      <w:r>
        <w:lastRenderedPageBreak/>
        <w:t>B.11 Assignment Tables, the Observed/Derived Invariant, and Coverage Contracts</w:t>
      </w:r>
    </w:p>
    <w:p w14:paraId="36BCFEBD" w14:textId="77777777" w:rsidR="008E1B31" w:rsidRDefault="005C5514">
      <w:pPr>
        <w:spacing w:after="160" w:line="320" w:lineRule="auto"/>
        <w:jc w:val="both"/>
      </w:pPr>
      <w:r>
        <w:t>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36BCFEBE" w14:textId="77777777" w:rsidR="008E1B31" w:rsidRDefault="005C5514">
      <w:pPr>
        <w:spacing w:after="160" w:line="320" w:lineRule="auto"/>
        <w:jc w:val="both"/>
      </w:pPr>
      <w:r>
        <w:t>For any given combination of node, variable, commodity, and timestamp, a single constraint governs the scenario graph:</w:t>
      </w:r>
    </w:p>
    <w:p w14:paraId="36BCFEBF" w14:textId="77777777" w:rsidR="008E1B31" w:rsidRDefault="005C5514">
      <w:pPr>
        <w:spacing w:after="160" w:line="320" w:lineRule="auto"/>
        <w:jc w:val="both"/>
      </w:pPr>
      <w:r>
        <w:t xml:space="preserve">Exactly one of </w:t>
      </w:r>
      <w:r>
        <w:rPr>
          <w:b/>
          <w:bCs/>
        </w:rPr>
        <w:t>observed_authoritative</w:t>
      </w:r>
      <w:r>
        <w:t xml:space="preserve"> or </w:t>
      </w:r>
      <w:r>
        <w:rPr>
          <w:b/>
          <w:bCs/>
        </w:rPr>
        <w:t>derived</w:t>
      </w:r>
      <w:r>
        <w:t xml:space="preserve"> holds. Additional observed series may be attached as </w:t>
      </w:r>
      <w:r>
        <w:rPr>
          <w:b/>
          <w:bCs/>
        </w:rPr>
        <w:t>observed_auxiliary</w:t>
      </w:r>
      <w:r>
        <w:t>, which are stored on the node but do not participate in the mass balance at their own level.</w:t>
      </w:r>
    </w:p>
    <w:p w14:paraId="36BCFEC0" w14:textId="77777777" w:rsidR="008E1B31" w:rsidRDefault="005C5514">
      <w:pPr>
        <w:spacing w:after="160" w:line="320" w:lineRule="auto"/>
        <w:jc w:val="both"/>
      </w:pPr>
      <w:r>
        <w:t xml:space="preserve">This is the </w:t>
      </w:r>
      <w:r>
        <w:rPr>
          <w:b/>
          <w:bCs/>
        </w:rPr>
        <w:t>observed/derived invariant</w:t>
      </w:r>
      <w:r>
        <w:t>. A node-variable is either populated directly from an assigned time series (observed authoritative), or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36BCFEC1" w14:textId="77777777" w:rsidR="008E1B31" w:rsidRDefault="005C5514">
      <w:pPr>
        <w:spacing w:after="160" w:line="320" w:lineRule="auto"/>
        <w:jc w:val="both"/>
      </w:pPr>
      <w:r>
        <w:t xml:space="preserve">The </w:t>
      </w:r>
      <w:r>
        <w:rPr>
          <w:b/>
          <w:bCs/>
        </w:rPr>
        <w:t>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contract is scenario-specific: different scenarios can be assembled from the same asset graph with different authoritative levels for different subsystems, producing scenario graphs suited to different purposes.</w:t>
      </w:r>
    </w:p>
    <w:p w14:paraId="36BCFEC2" w14:textId="77777777" w:rsidR="008E1B31" w:rsidRDefault="005C5514">
      <w:pPr>
        <w:spacing w:after="160" w:line="320" w:lineRule="auto"/>
        <w:jc w:val="both"/>
      </w:pPr>
      <w:r>
        <w:t>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6BCFEC3" w14:textId="77777777" w:rsidR="008E1B31" w:rsidRDefault="005C5514">
      <w:pPr>
        <w:spacing w:after="160" w:line="320" w:lineRule="auto"/>
        <w:jc w:val="both"/>
      </w:pPr>
      <w:r>
        <w:rPr>
          <w:i/>
          <w:iCs/>
        </w:rPr>
        <w:lastRenderedPageBreak/>
        <w:t>Figure B.7 — State machine for a single node-variable under the scenario loader. Valid end states are observed_authoritative, derived, observed_auxiliary, and null. The invariant excludes any combination of observed_authoritative and derived on the same variable at the same time.</w:t>
      </w:r>
    </w:p>
    <w:p w14:paraId="36BCFEC4" w14:textId="77777777" w:rsidR="008E1B31" w:rsidRDefault="005C5514">
      <w:pPr>
        <w:spacing w:after="160" w:line="320" w:lineRule="auto"/>
        <w:jc w:val="both"/>
      </w:pPr>
      <w:r>
        <w:t>The invariant does not cover every failure mode. Sibling overlap — two assigned series whose coverage descriptors overlap geographically or temporally without one being an ancestor of the other — can still occur, and requires a pairwise coverage disjointness check across the assigned series at each level. The mass balance diagnostic at the authoritative level serves as a backstop for any remaining inconsistencies, surfacing them as large balancing items that the user can investigate. The invariant, the coverage disjointness check, and the mass balance diagnostic together form a layered defence against the aggregation and duplication errors that are otherwise endemic in multi-source commodity data pipelines.</w:t>
      </w:r>
    </w:p>
    <w:p w14:paraId="36BCFEC5" w14:textId="77777777" w:rsidR="008E1B31" w:rsidRDefault="005C5514">
      <w:pPr>
        <w:pStyle w:val="Heading1"/>
        <w:pageBreakBefore/>
      </w:pPr>
      <w:r>
        <w:lastRenderedPageBreak/>
        <w:t>B.12 Junction Nodes, Collapsed States, and Latent Allocation</w:t>
      </w:r>
    </w:p>
    <w:p w14:paraId="36BCFEC6" w14:textId="77777777" w:rsidR="008E1B31" w:rsidRDefault="005C5514">
      <w:pPr>
        <w:spacing w:after="160" w:line="320" w:lineRule="auto"/>
        <w:jc w:val="both"/>
      </w:pPr>
      <w:r>
        <w:t>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36BCFEC7" w14:textId="77777777" w:rsidR="008E1B31" w:rsidRDefault="005C5514">
      <w:pPr>
        <w:spacing w:after="160" w:line="320" w:lineRule="auto"/>
        <w:jc w:val="both"/>
      </w:pPr>
      <w:r>
        <w:t>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spurious precision.</w:t>
      </w:r>
    </w:p>
    <w:p w14:paraId="36BCFEC8" w14:textId="77777777" w:rsidR="008E1B31" w:rsidRDefault="005C5514">
      <w:pPr>
        <w:spacing w:after="160" w:line="320" w:lineRule="auto"/>
        <w:jc w:val="both"/>
      </w:pPr>
      <w:r>
        <w:t xml:space="preserve">The framework handles this through the </w:t>
      </w:r>
      <w:r>
        <w:rPr>
          <w:b/>
          <w:bCs/>
        </w:rPr>
        <w:t>collapsed state</w:t>
      </w:r>
      <w:r>
        <w:t>.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commercial provider — the coverage contract is updated, the junction node's collapsed flag is removed, and it wakes up with its own observed flow variables. The topology is never rebuilt; only the scenario graph's interpretation of the existing topology changes.</w:t>
      </w:r>
    </w:p>
    <w:p w14:paraId="36BCFEC9" w14:textId="77777777" w:rsidR="008E1B31" w:rsidRDefault="005C5514">
      <w:pPr>
        <w:spacing w:after="160" w:line="320" w:lineRule="auto"/>
        <w:jc w:val="both"/>
      </w:pPr>
      <w:r>
        <w:t>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in the asset graph, inactive in the scenario graph, and ready to activate when appropriate data becomes available.</w:t>
      </w:r>
    </w:p>
    <w:p w14:paraId="36BCFECA" w14:textId="77777777" w:rsidR="008E1B31" w:rsidRDefault="005C5514">
      <w:pPr>
        <w:spacing w:after="160" w:line="320" w:lineRule="auto"/>
        <w:jc w:val="both"/>
      </w:pPr>
      <w:r>
        <w:t>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and spot-market economics, none of which are directly observable at the aggregate data level.</w:t>
      </w:r>
    </w:p>
    <w:p w14:paraId="36BCFECB" w14:textId="77777777" w:rsidR="008E1B31" w:rsidRDefault="005C5514">
      <w:pPr>
        <w:spacing w:after="160" w:line="320" w:lineRule="auto"/>
        <w:jc w:val="both"/>
      </w:pPr>
      <w:r>
        <w:lastRenderedPageBreak/>
        <w:t xml:space="preserve">This is the </w:t>
      </w:r>
      <w:r>
        <w:rPr>
          <w:b/>
          <w:bCs/>
        </w:rPr>
        <w:t>latent allocation problem</w:t>
      </w:r>
      <w:r>
        <w:t>.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 any partial observations that may exist (pipeline-specific tariff filings, downstream terminal receipts that can be attributed to specific pipelines). This is a natural use case for attention-based temporal graph models: GAT and TGAT learn attention weights over neighbours conditional on node state, and the Permian-to-pipeline allocation problem is exactly of that form. The attention weights on the outbound edges from the Permian node, learned from historical co-movement of basin production and downstream terminal inflows, approximate the latent allocation.</w:t>
      </w:r>
    </w:p>
    <w:p w14:paraId="36BCFECC" w14:textId="77777777" w:rsidR="008E1B31" w:rsidRDefault="005C5514">
      <w:pPr>
        <w:spacing w:after="160" w:line="320" w:lineRule="auto"/>
        <w:jc w:val="both"/>
      </w:pPr>
      <w:r>
        <w:t>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have to be handled outside the model through ad-hoc rules.</w:t>
      </w:r>
    </w:p>
    <w:p w14:paraId="36BCFECD" w14:textId="77777777" w:rsidR="008E1B31" w:rsidRDefault="005C5514">
      <w:pPr>
        <w:spacing w:after="160" w:line="320" w:lineRule="auto"/>
        <w:jc w:val="both"/>
      </w:pPr>
      <w:r>
        <w:rPr>
          <w:i/>
          <w:iCs/>
        </w:rPr>
        <w:t>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36BCFECE" w14:textId="77777777" w:rsidR="008E1B31" w:rsidRDefault="005C5514">
      <w:pPr>
        <w:pStyle w:val="Heading1"/>
        <w:pageBreakBefore/>
      </w:pPr>
      <w:r>
        <w:lastRenderedPageBreak/>
        <w:t>B.13 Summary and Position in the Thesis</w:t>
      </w:r>
    </w:p>
    <w:p w14:paraId="36BCFECF" w14:textId="77777777" w:rsidR="008E1B31" w:rsidRDefault="005C5514">
      <w:pPr>
        <w:spacing w:after="160" w:line="320" w:lineRule="auto"/>
        <w:jc w:val="both"/>
      </w:pPr>
      <w:r>
        <w:t>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36BCFED0" w14:textId="77777777" w:rsidR="008E1B31" w:rsidRDefault="005C5514">
      <w:pPr>
        <w:spacing w:after="160" w:line="320" w:lineRule="auto"/>
        <w:jc w:val="both"/>
      </w:pPr>
      <w:r>
        <w:t>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6BCFED1" w14:textId="77777777" w:rsidR="008E1B31" w:rsidRDefault="005C5514">
      <w:pPr>
        <w:spacing w:after="160" w:line="320" w:lineRule="auto"/>
        <w:jc w:val="both"/>
      </w:pPr>
      <w:r>
        <w:t>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model to be evaluated on historical periods with coarser data and recent periods with finer data, without retraining from scratch.</w:t>
      </w:r>
    </w:p>
    <w:p w14:paraId="36BCFED2" w14:textId="77777777" w:rsidR="008E1B31" w:rsidRDefault="005C5514">
      <w:pPr>
        <w:pStyle w:val="Heading1"/>
        <w:pageBreakBefore/>
      </w:pPr>
      <w:r>
        <w:lastRenderedPageBreak/>
        <w:t>References</w:t>
      </w:r>
    </w:p>
    <w:p w14:paraId="36BCFED3" w14:textId="77777777" w:rsidR="008E1B31" w:rsidRDefault="005C5514">
      <w:pPr>
        <w:spacing w:after="160" w:line="320" w:lineRule="auto"/>
        <w:jc w:val="both"/>
      </w:pPr>
      <w:r>
        <w:t>Energy Information Administration (EIA). Weekly Petroleum Status Report. U.S. Department of Energy. https://www.eia.gov/petroleum/supply/weekly/</w:t>
      </w:r>
    </w:p>
    <w:p w14:paraId="36BCFED4" w14:textId="77777777" w:rsidR="008E1B31" w:rsidRDefault="005C5514">
      <w:pPr>
        <w:spacing w:after="160" w:line="320" w:lineRule="auto"/>
        <w:jc w:val="both"/>
      </w:pPr>
      <w:r>
        <w:t>Fattouh, B. (2011). An Anatomy of the Crude Oil Pricing System. Oxford Institute for Energy Studies, WPM 40.</w:t>
      </w:r>
    </w:p>
    <w:p w14:paraId="36BCFED5" w14:textId="77777777" w:rsidR="008E1B31" w:rsidRDefault="005C5514">
      <w:pPr>
        <w:spacing w:after="160" w:line="320" w:lineRule="auto"/>
        <w:jc w:val="both"/>
      </w:pPr>
      <w:r>
        <w:t>Kazemi, Y. and Szmerekovsky, J. (2015). Modeling Downstream Petroleum Supply Chain. Transportation Research Part E, 83, pp. 111--125.</w:t>
      </w:r>
    </w:p>
    <w:p w14:paraId="36BCFED6" w14:textId="77777777" w:rsidR="008E1B31" w:rsidRDefault="005C5514">
      <w:pPr>
        <w:spacing w:after="160" w:line="320" w:lineRule="auto"/>
        <w:jc w:val="both"/>
      </w:pPr>
      <w:r>
        <w:t>Li, Y., Yu, R., Shahabi, C., and Liu, Y. (2018). Diffusion Convolutional Recurrent Neural Network. ICLR.</w:t>
      </w:r>
    </w:p>
    <w:p w14:paraId="36BCFED7" w14:textId="77777777" w:rsidR="008E1B31" w:rsidRDefault="005C5514">
      <w:pPr>
        <w:spacing w:after="160" w:line="320" w:lineRule="auto"/>
        <w:jc w:val="both"/>
      </w:pPr>
      <w:r>
        <w:t>Stopford, M. (2009). Maritime Economics. 3rd ed. Routledge.</w:t>
      </w:r>
    </w:p>
    <w:p w14:paraId="36BCFED8" w14:textId="77777777" w:rsidR="008E1B31" w:rsidRDefault="005C5514">
      <w:pPr>
        <w:spacing w:after="160" w:line="320" w:lineRule="auto"/>
        <w:jc w:val="both"/>
      </w:pPr>
      <w:r>
        <w:t>Wasi, A. T., Islam, S. R., Karim, R., and Brintrup, A. (2024). SupplyGraph: A Benchmark Dataset for Supply Chain Planning using Graph Neural Networks. arXiv:2401.15299.</w:t>
      </w:r>
    </w:p>
    <w:p w14:paraId="36BCFED9" w14:textId="77777777" w:rsidR="008E1B31" w:rsidRDefault="005C5514">
      <w:pPr>
        <w:spacing w:after="160" w:line="320" w:lineRule="auto"/>
        <w:jc w:val="both"/>
      </w:pPr>
      <w:r>
        <w:t>Yu, B., Yin, H., and Zhu, Z. (2018). Spatio-Temporal Graph Convolutional Networks. IJCAI.</w:t>
      </w:r>
    </w:p>
    <w:p w14:paraId="36BCFEDA" w14:textId="77777777" w:rsidR="008E1B31" w:rsidRDefault="005C5514">
      <w:pPr>
        <w:pStyle w:val="Heading1"/>
        <w:pageBreakBefore/>
      </w:pPr>
      <w:r>
        <w:lastRenderedPageBreak/>
        <w:t>Annex C: Resolver Dispatch Rule Reference</w:t>
      </w:r>
    </w:p>
    <w:p w14:paraId="36BCFEDB" w14:textId="77777777" w:rsidR="008E1B31" w:rsidRDefault="005C5514">
      <w:pPr>
        <w:spacing w:after="160" w:line="320" w:lineRule="auto"/>
        <w:jc w:val="both"/>
      </w:pPr>
      <w:r>
        <w:t>This annex provides a concise reference for the resolver's dispatch rules, intended as a lookup aid for readers working with the implementation. The narrative treatment of the resolver appears in Chapter 6; this annex strips out the discussion and presents the rules in compact form.</w:t>
      </w:r>
    </w:p>
    <w:p w14:paraId="36BCFEDC" w14:textId="77777777" w:rsidR="008E1B31" w:rsidRDefault="005C5514">
      <w:pPr>
        <w:pStyle w:val="Heading2"/>
      </w:pPr>
      <w:r>
        <w:t>C.1 Rule priority and short-circuit behaviour</w:t>
      </w:r>
    </w:p>
    <w:p w14:paraId="36BCFEDD" w14:textId="77777777" w:rsidR="008E1B31" w:rsidRDefault="005C5514">
      <w:pPr>
        <w:spacing w:after="160" w:line="320" w:lineRule="auto"/>
        <w:jc w:val="both"/>
      </w:pPr>
      <w:r>
        <w:t>The resolver evaluates each variable through a fixed priority list. The first rule that successfully produces a value short-circuits the remaining rules. The unresolved fallback (Rule 9) should fire zero times in a healthy run; non-zero unresolved counts are bugs and require operator action.</w:t>
      </w:r>
    </w:p>
    <w:tbl>
      <w:tblPr>
        <w:tblStyle w:val="TableGrid"/>
        <w:tblW w:w="9067" w:type="dxa"/>
        <w:tblLook w:val="04A0" w:firstRow="1" w:lastRow="0" w:firstColumn="1" w:lastColumn="0" w:noHBand="0" w:noVBand="1"/>
      </w:tblPr>
      <w:tblGrid>
        <w:gridCol w:w="2266"/>
        <w:gridCol w:w="2266"/>
        <w:gridCol w:w="2266"/>
        <w:gridCol w:w="2269"/>
      </w:tblGrid>
      <w:tr w:rsidR="00537923" w14:paraId="07A00739" w14:textId="77777777">
        <w:trPr>
          <w:tblHeader/>
        </w:trPr>
        <w:tc>
          <w:tcPr>
            <w:tcW w:w="2266" w:type="dxa"/>
            <w:shd w:val="clear" w:color="auto" w:fill="D9E2F3"/>
            <w:vAlign w:val="center"/>
          </w:tcPr>
          <w:p w14:paraId="030DC4FC" w14:textId="77777777" w:rsidR="00537923" w:rsidRDefault="005C5514">
            <w:pPr>
              <w:rPr>
                <w:b/>
              </w:rPr>
            </w:pPr>
            <w:r>
              <w:rPr>
                <w:b/>
              </w:rPr>
              <w:t>Priority</w:t>
            </w:r>
          </w:p>
        </w:tc>
        <w:tc>
          <w:tcPr>
            <w:tcW w:w="2266" w:type="dxa"/>
            <w:shd w:val="clear" w:color="auto" w:fill="D9E2F3"/>
            <w:vAlign w:val="center"/>
          </w:tcPr>
          <w:p w14:paraId="424ABB5B" w14:textId="77777777" w:rsidR="00537923" w:rsidRDefault="005C5514">
            <w:pPr>
              <w:rPr>
                <w:b/>
              </w:rPr>
            </w:pPr>
            <w:r>
              <w:rPr>
                <w:b/>
              </w:rPr>
              <w:t>Rule</w:t>
            </w:r>
          </w:p>
        </w:tc>
        <w:tc>
          <w:tcPr>
            <w:tcW w:w="2266" w:type="dxa"/>
            <w:shd w:val="clear" w:color="auto" w:fill="D9E2F3"/>
            <w:vAlign w:val="center"/>
          </w:tcPr>
          <w:p w14:paraId="48027AA9" w14:textId="77777777" w:rsidR="00537923" w:rsidRDefault="005C5514">
            <w:pPr>
              <w:rPr>
                <w:b/>
              </w:rPr>
            </w:pPr>
            <w:r>
              <w:rPr>
                <w:b/>
              </w:rPr>
              <w:t>Trigger condition</w:t>
            </w:r>
          </w:p>
        </w:tc>
        <w:tc>
          <w:tcPr>
            <w:tcW w:w="2269" w:type="dxa"/>
            <w:shd w:val="clear" w:color="auto" w:fill="D9E2F3"/>
            <w:vAlign w:val="center"/>
          </w:tcPr>
          <w:p w14:paraId="222885C1" w14:textId="77777777" w:rsidR="00537923" w:rsidRDefault="005C5514">
            <w:pPr>
              <w:rPr>
                <w:b/>
              </w:rPr>
            </w:pPr>
            <w:r>
              <w:rPr>
                <w:b/>
              </w:rPr>
              <w:t>Output source</w:t>
            </w:r>
          </w:p>
        </w:tc>
      </w:tr>
      <w:tr w:rsidR="00537923" w14:paraId="27674249" w14:textId="77777777">
        <w:tc>
          <w:tcPr>
            <w:tcW w:w="2266" w:type="dxa"/>
            <w:vAlign w:val="center"/>
          </w:tcPr>
          <w:p w14:paraId="2141BB79" w14:textId="77777777" w:rsidR="00537923" w:rsidRDefault="005C5514">
            <w:r>
              <w:t>1</w:t>
            </w:r>
          </w:p>
        </w:tc>
        <w:tc>
          <w:tcPr>
            <w:tcW w:w="2266" w:type="dxa"/>
            <w:vAlign w:val="center"/>
          </w:tcPr>
          <w:p w14:paraId="71C1D969" w14:textId="77777777" w:rsidR="00537923" w:rsidRDefault="005C5514">
            <w:r>
              <w:t>Observed</w:t>
            </w:r>
          </w:p>
        </w:tc>
        <w:tc>
          <w:tcPr>
            <w:tcW w:w="2266" w:type="dxa"/>
            <w:vAlign w:val="center"/>
          </w:tcPr>
          <w:p w14:paraId="34BE83C9" w14:textId="77777777" w:rsidR="00537923" w:rsidRDefault="005C5514">
            <w:r>
              <w:t>timeseries_id IS NOT NULL</w:t>
            </w:r>
          </w:p>
        </w:tc>
        <w:tc>
          <w:tcPr>
            <w:tcW w:w="2269" w:type="dxa"/>
            <w:vAlign w:val="center"/>
          </w:tcPr>
          <w:p w14:paraId="0BD28C91" w14:textId="77777777" w:rsidR="00537923" w:rsidRDefault="005C5514">
            <w:r>
              <w:t>observed</w:t>
            </w:r>
          </w:p>
        </w:tc>
      </w:tr>
      <w:tr w:rsidR="00537923" w14:paraId="4E00CDEF" w14:textId="77777777">
        <w:tc>
          <w:tcPr>
            <w:tcW w:w="2266" w:type="dxa"/>
            <w:vAlign w:val="center"/>
          </w:tcPr>
          <w:p w14:paraId="3F66B96B" w14:textId="77777777" w:rsidR="00537923" w:rsidRDefault="005C5514">
            <w:r>
              <w:t>2</w:t>
            </w:r>
          </w:p>
        </w:tc>
        <w:tc>
          <w:tcPr>
            <w:tcW w:w="2266" w:type="dxa"/>
            <w:vAlign w:val="center"/>
          </w:tcPr>
          <w:p w14:paraId="62E421F9" w14:textId="77777777" w:rsidR="00537923" w:rsidRDefault="005C5514">
            <w:r>
              <w:t>Zero</w:t>
            </w:r>
          </w:p>
        </w:tc>
        <w:tc>
          <w:tcPr>
            <w:tcW w:w="2266" w:type="dxa"/>
            <w:vAlign w:val="center"/>
          </w:tcPr>
          <w:p w14:paraId="64F84112" w14:textId="77777777" w:rsidR="00537923" w:rsidRDefault="005C5514">
            <w:r>
              <w:t>formula = '0'</w:t>
            </w:r>
          </w:p>
        </w:tc>
        <w:tc>
          <w:tcPr>
            <w:tcW w:w="2269" w:type="dxa"/>
            <w:vAlign w:val="center"/>
          </w:tcPr>
          <w:p w14:paraId="22E533CC" w14:textId="77777777" w:rsidR="00537923" w:rsidRDefault="005C5514">
            <w:r>
              <w:t>zero</w:t>
            </w:r>
          </w:p>
        </w:tc>
      </w:tr>
      <w:tr w:rsidR="00537923" w14:paraId="6581F7ED" w14:textId="77777777">
        <w:tc>
          <w:tcPr>
            <w:tcW w:w="2266" w:type="dxa"/>
            <w:vAlign w:val="center"/>
          </w:tcPr>
          <w:p w14:paraId="0FE925D7" w14:textId="77777777" w:rsidR="00537923" w:rsidRDefault="005C5514">
            <w:r>
              <w:t>3</w:t>
            </w:r>
          </w:p>
        </w:tc>
        <w:tc>
          <w:tcPr>
            <w:tcW w:w="2266" w:type="dxa"/>
            <w:vAlign w:val="center"/>
          </w:tcPr>
          <w:p w14:paraId="7E5D5EAD" w14:textId="77777777" w:rsidR="00537923" w:rsidRDefault="005C5514">
            <w:r>
              <w:t>Latent (with reverse-mirror promotion)</w:t>
            </w:r>
          </w:p>
        </w:tc>
        <w:tc>
          <w:tcPr>
            <w:tcW w:w="2266" w:type="dxa"/>
            <w:vAlign w:val="center"/>
          </w:tcPr>
          <w:p w14:paraId="5F060E2E" w14:textId="77777777" w:rsidR="00537923" w:rsidRDefault="005C5514">
            <w:r>
              <w:t>formula = 'latent()'</w:t>
            </w:r>
          </w:p>
        </w:tc>
        <w:tc>
          <w:tcPr>
            <w:tcW w:w="2269" w:type="dxa"/>
            <w:vAlign w:val="center"/>
          </w:tcPr>
          <w:p w14:paraId="065AD3F4" w14:textId="77777777" w:rsidR="00537923" w:rsidRDefault="005C5514">
            <w:r>
              <w:t>latent or reverse-mirror</w:t>
            </w:r>
          </w:p>
        </w:tc>
      </w:tr>
      <w:tr w:rsidR="00537923" w14:paraId="07FF58C8" w14:textId="77777777">
        <w:tc>
          <w:tcPr>
            <w:tcW w:w="2266" w:type="dxa"/>
            <w:vAlign w:val="center"/>
          </w:tcPr>
          <w:p w14:paraId="46113975" w14:textId="77777777" w:rsidR="00537923" w:rsidRDefault="005C5514">
            <w:r>
              <w:t>4</w:t>
            </w:r>
          </w:p>
        </w:tc>
        <w:tc>
          <w:tcPr>
            <w:tcW w:w="2266" w:type="dxa"/>
            <w:vAlign w:val="center"/>
          </w:tcPr>
          <w:p w14:paraId="1DD608BC" w14:textId="77777777" w:rsidR="00537923" w:rsidRDefault="005C5514">
            <w:r>
              <w:t>Sum</w:t>
            </w:r>
          </w:p>
        </w:tc>
        <w:tc>
          <w:tcPr>
            <w:tcW w:w="2266" w:type="dxa"/>
            <w:vAlign w:val="center"/>
          </w:tcPr>
          <w:p w14:paraId="3719D5DC" w14:textId="77777777" w:rsidR="00537923" w:rsidRDefault="005C5514">
            <w:r>
              <w:t>formula = 'sum'</w:t>
            </w:r>
          </w:p>
        </w:tc>
        <w:tc>
          <w:tcPr>
            <w:tcW w:w="2269" w:type="dxa"/>
            <w:vAlign w:val="center"/>
          </w:tcPr>
          <w:p w14:paraId="752E3049" w14:textId="77777777" w:rsidR="00537923" w:rsidRDefault="005C5514">
            <w:r>
              <w:t>derived</w:t>
            </w:r>
          </w:p>
        </w:tc>
      </w:tr>
      <w:tr w:rsidR="00537923" w14:paraId="12D77FB7" w14:textId="77777777">
        <w:tc>
          <w:tcPr>
            <w:tcW w:w="2266" w:type="dxa"/>
            <w:vAlign w:val="center"/>
          </w:tcPr>
          <w:p w14:paraId="69FDB8A9" w14:textId="77777777" w:rsidR="00537923" w:rsidRDefault="005C5514">
            <w:r>
              <w:t>5</w:t>
            </w:r>
          </w:p>
        </w:tc>
        <w:tc>
          <w:tcPr>
            <w:tcW w:w="2266" w:type="dxa"/>
            <w:vAlign w:val="center"/>
          </w:tcPr>
          <w:p w14:paraId="45A21A97" w14:textId="77777777" w:rsidR="00537923" w:rsidRDefault="005C5514">
            <w:r>
              <w:t>Single-variable alias</w:t>
            </w:r>
          </w:p>
        </w:tc>
        <w:tc>
          <w:tcPr>
            <w:tcW w:w="2266" w:type="dxa"/>
            <w:vAlign w:val="center"/>
          </w:tcPr>
          <w:p w14:paraId="76E2DB9C" w14:textId="77777777" w:rsidR="00537923" w:rsidRDefault="005C5514">
            <w:r>
              <w:t>formula = bare_variable_id</w:t>
            </w:r>
          </w:p>
        </w:tc>
        <w:tc>
          <w:tcPr>
            <w:tcW w:w="2269" w:type="dxa"/>
            <w:vAlign w:val="center"/>
          </w:tcPr>
          <w:p w14:paraId="780FD7D2" w14:textId="77777777" w:rsidR="00537923" w:rsidRDefault="005C5514">
            <w:r>
              <w:t>derived</w:t>
            </w:r>
          </w:p>
        </w:tc>
      </w:tr>
      <w:tr w:rsidR="00537923" w14:paraId="169CB482" w14:textId="77777777">
        <w:tc>
          <w:tcPr>
            <w:tcW w:w="2266" w:type="dxa"/>
            <w:vAlign w:val="center"/>
          </w:tcPr>
          <w:p w14:paraId="704B3CA9" w14:textId="77777777" w:rsidR="00537923" w:rsidRDefault="005C5514">
            <w:r>
              <w:t>6</w:t>
            </w:r>
          </w:p>
        </w:tc>
        <w:tc>
          <w:tcPr>
            <w:tcW w:w="2266" w:type="dxa"/>
            <w:vAlign w:val="center"/>
          </w:tcPr>
          <w:p w14:paraId="11630D8B" w14:textId="77777777" w:rsidR="00537923" w:rsidRDefault="005C5514">
            <w:r>
              <w:t>Reverse mirror (standalone)</w:t>
            </w:r>
          </w:p>
        </w:tc>
        <w:tc>
          <w:tcPr>
            <w:tcW w:w="2266" w:type="dxa"/>
            <w:vAlign w:val="center"/>
          </w:tcPr>
          <w:p w14:paraId="200B4193" w14:textId="77777777" w:rsidR="00537923" w:rsidRDefault="005C5514">
            <w:r>
              <w:t>paired direction resolved, this direction has no own formula</w:t>
            </w:r>
          </w:p>
        </w:tc>
        <w:tc>
          <w:tcPr>
            <w:tcW w:w="2269" w:type="dxa"/>
            <w:vAlign w:val="center"/>
          </w:tcPr>
          <w:p w14:paraId="6ADF6118" w14:textId="77777777" w:rsidR="00537923" w:rsidRDefault="005C5514">
            <w:r>
              <w:t>derived</w:t>
            </w:r>
          </w:p>
        </w:tc>
      </w:tr>
      <w:tr w:rsidR="00537923" w14:paraId="308A7775" w14:textId="77777777">
        <w:tc>
          <w:tcPr>
            <w:tcW w:w="2266" w:type="dxa"/>
            <w:vAlign w:val="center"/>
          </w:tcPr>
          <w:p w14:paraId="14C58A2A" w14:textId="77777777" w:rsidR="00537923" w:rsidRDefault="005C5514">
            <w:r>
              <w:t>7</w:t>
            </w:r>
          </w:p>
        </w:tc>
        <w:tc>
          <w:tcPr>
            <w:tcW w:w="2266" w:type="dxa"/>
            <w:vAlign w:val="center"/>
          </w:tcPr>
          <w:p w14:paraId="795223CD" w14:textId="77777777" w:rsidR="00537923" w:rsidRDefault="005C5514">
            <w:r>
              <w:t>Closure formula</w:t>
            </w:r>
          </w:p>
        </w:tc>
        <w:tc>
          <w:tcPr>
            <w:tcW w:w="2266" w:type="dxa"/>
            <w:vAlign w:val="center"/>
          </w:tcPr>
          <w:p w14:paraId="5F3478AA" w14:textId="77777777" w:rsidR="00537923" w:rsidRDefault="005C5514">
            <w:r>
              <w:t>balancing item with mixed-type inputs in formula_inputs</w:t>
            </w:r>
          </w:p>
        </w:tc>
        <w:tc>
          <w:tcPr>
            <w:tcW w:w="2269" w:type="dxa"/>
            <w:vAlign w:val="center"/>
          </w:tcPr>
          <w:p w14:paraId="7B060212" w14:textId="77777777" w:rsidR="00537923" w:rsidRDefault="005C5514">
            <w:r>
              <w:t>derived</w:t>
            </w:r>
          </w:p>
        </w:tc>
      </w:tr>
      <w:tr w:rsidR="00537923" w14:paraId="1AE33744" w14:textId="77777777">
        <w:tc>
          <w:tcPr>
            <w:tcW w:w="2266" w:type="dxa"/>
            <w:vAlign w:val="center"/>
          </w:tcPr>
          <w:p w14:paraId="4B15945A" w14:textId="77777777" w:rsidR="00537923" w:rsidRDefault="005C5514">
            <w:r>
              <w:t>8</w:t>
            </w:r>
          </w:p>
        </w:tc>
        <w:tc>
          <w:tcPr>
            <w:tcW w:w="2266" w:type="dxa"/>
            <w:vAlign w:val="center"/>
          </w:tcPr>
          <w:p w14:paraId="15E91A2A" w14:textId="77777777" w:rsidR="00537923" w:rsidRDefault="005C5514">
            <w:r>
              <w:t>Arithmetic</w:t>
            </w:r>
          </w:p>
        </w:tc>
        <w:tc>
          <w:tcPr>
            <w:tcW w:w="2266" w:type="dxa"/>
            <w:vAlign w:val="center"/>
          </w:tcPr>
          <w:p w14:paraId="2A9D6C17" w14:textId="77777777" w:rsidR="00537923" w:rsidRDefault="005C5514">
            <w:r>
              <w:t>formula matches signed-variable-references pattern</w:t>
            </w:r>
          </w:p>
        </w:tc>
        <w:tc>
          <w:tcPr>
            <w:tcW w:w="2269" w:type="dxa"/>
            <w:vAlign w:val="center"/>
          </w:tcPr>
          <w:p w14:paraId="744875FC" w14:textId="77777777" w:rsidR="00537923" w:rsidRDefault="005C5514">
            <w:r>
              <w:t>derived</w:t>
            </w:r>
          </w:p>
        </w:tc>
      </w:tr>
      <w:tr w:rsidR="00537923" w14:paraId="417966F7" w14:textId="77777777">
        <w:tc>
          <w:tcPr>
            <w:tcW w:w="2266" w:type="dxa"/>
            <w:vAlign w:val="center"/>
          </w:tcPr>
          <w:p w14:paraId="19CBE2C7" w14:textId="77777777" w:rsidR="00537923" w:rsidRDefault="005C5514">
            <w:r>
              <w:t>9</w:t>
            </w:r>
          </w:p>
        </w:tc>
        <w:tc>
          <w:tcPr>
            <w:tcW w:w="2266" w:type="dxa"/>
            <w:vAlign w:val="center"/>
          </w:tcPr>
          <w:p w14:paraId="3DC7B32D" w14:textId="77777777" w:rsidR="00537923" w:rsidRDefault="005C5514">
            <w:r>
              <w:t>Unresolved (fallback)</w:t>
            </w:r>
          </w:p>
        </w:tc>
        <w:tc>
          <w:tcPr>
            <w:tcW w:w="2266" w:type="dxa"/>
            <w:vAlign w:val="center"/>
          </w:tcPr>
          <w:p w14:paraId="313198BE" w14:textId="77777777" w:rsidR="00537923" w:rsidRDefault="005C5514">
            <w:r>
              <w:t>none of the above matched</w:t>
            </w:r>
          </w:p>
        </w:tc>
        <w:tc>
          <w:tcPr>
            <w:tcW w:w="2269" w:type="dxa"/>
            <w:vAlign w:val="center"/>
          </w:tcPr>
          <w:p w14:paraId="56BD913B" w14:textId="77777777" w:rsidR="00537923" w:rsidRDefault="005C5514">
            <w:r>
              <w:t>unresolved</w:t>
            </w:r>
          </w:p>
        </w:tc>
      </w:tr>
    </w:tbl>
    <w:p w14:paraId="36BCFEE9" w14:textId="77777777" w:rsidR="008E1B31" w:rsidRDefault="005C5514">
      <w:pPr>
        <w:pStyle w:val="Heading2"/>
      </w:pPr>
      <w:r>
        <w:t>C.2 Rule details</w:t>
      </w:r>
    </w:p>
    <w:p w14:paraId="36BCFEEA" w14:textId="77777777" w:rsidR="008E1B31" w:rsidRDefault="005C5514">
      <w:pPr>
        <w:pStyle w:val="Heading3"/>
      </w:pPr>
      <w:r>
        <w:t>C.2.1 Rule 1: Observed</w:t>
      </w:r>
    </w:p>
    <w:p w14:paraId="36BCFEEB" w14:textId="77777777" w:rsidR="008E1B31" w:rsidRDefault="005C5514">
      <w:pPr>
        <w:spacing w:after="160" w:line="320" w:lineRule="auto"/>
        <w:jc w:val="both"/>
      </w:pPr>
      <w:r>
        <w:t xml:space="preserve">The variable carries </w:t>
      </w:r>
      <w:r>
        <w:rPr>
          <w:rFonts w:ascii="Consolas" w:eastAsia="Consolas" w:hAnsi="Consolas" w:cs="Consolas"/>
        </w:rPr>
        <w:t>timeseries_id IS NOT NULL</w:t>
      </w:r>
      <w:r>
        <w:t xml:space="preserve">. The rule performs a direct lookup against </w:t>
      </w:r>
      <w:r>
        <w:rPr>
          <w:rFonts w:ascii="Consolas" w:eastAsia="Consolas" w:hAnsi="Consolas" w:cs="Consolas"/>
        </w:rPr>
        <w:t>timeseries_data</w:t>
      </w:r>
      <w:r>
        <w:t xml:space="preserve"> at the observation date. The lookup is a primary key access on </w:t>
      </w:r>
      <w:r>
        <w:rPr>
          <w:rFonts w:ascii="Consolas" w:eastAsia="Consolas" w:hAnsi="Consolas" w:cs="Consolas"/>
        </w:rPr>
        <w:t>(timeseries_id, observation_date)</w:t>
      </w:r>
      <w:r>
        <w:t>.</w:t>
      </w:r>
    </w:p>
    <w:p w14:paraId="36BCFEEC" w14:textId="77777777" w:rsidR="008E1B31" w:rsidRDefault="005C5514">
      <w:pPr>
        <w:spacing w:after="160" w:line="320" w:lineRule="auto"/>
        <w:jc w:val="both"/>
      </w:pPr>
      <w:r>
        <w:rPr>
          <w:b/>
          <w:bCs/>
        </w:rPr>
        <w:t>Output:</w:t>
      </w:r>
      <w:r>
        <w:t xml:space="preserve"> </w:t>
      </w:r>
      <w:r>
        <w:rPr>
          <w:rFonts w:ascii="Consolas" w:eastAsia="Consolas" w:hAnsi="Consolas" w:cs="Consolas"/>
        </w:rPr>
        <w:t>value = &lt;time series value&gt;</w:t>
      </w:r>
      <w:r>
        <w:t xml:space="preserve">, </w:t>
      </w:r>
      <w:r>
        <w:rPr>
          <w:rFonts w:ascii="Consolas" w:eastAsia="Consolas" w:hAnsi="Consolas" w:cs="Consolas"/>
        </w:rPr>
        <w:t>source = 'observed'</w:t>
      </w:r>
      <w:r>
        <w:t xml:space="preserve">, </w:t>
      </w:r>
      <w:r>
        <w:rPr>
          <w:rFonts w:ascii="Consolas" w:eastAsia="Consolas" w:hAnsi="Consolas" w:cs="Consolas"/>
        </w:rPr>
        <w:t>formula_used = &lt;timeseries_id&gt;</w:t>
      </w:r>
      <w:r>
        <w:t>.</w:t>
      </w:r>
    </w:p>
    <w:p w14:paraId="36BCFEED" w14:textId="77777777" w:rsidR="008E1B31" w:rsidRDefault="005C5514">
      <w:pPr>
        <w:spacing w:after="160" w:line="320" w:lineRule="auto"/>
        <w:jc w:val="both"/>
      </w:pPr>
      <w:r>
        <w:rPr>
          <w:b/>
          <w:bCs/>
        </w:rPr>
        <w:t>Failure mode:</w:t>
      </w:r>
      <w:r>
        <w:t xml:space="preserve"> The time series has no value at the observation date. The current implementation records </w:t>
      </w:r>
      <w:r>
        <w:rPr>
          <w:rFonts w:ascii="Consolas" w:eastAsia="Consolas" w:hAnsi="Consolas" w:cs="Consolas"/>
        </w:rPr>
        <w:t>value = NULL</w:t>
      </w:r>
      <w:r>
        <w:t xml:space="preserve">, </w:t>
      </w:r>
      <w:r>
        <w:rPr>
          <w:rFonts w:ascii="Consolas" w:eastAsia="Consolas" w:hAnsi="Consolas" w:cs="Consolas"/>
        </w:rPr>
        <w:t>source = 'observed'</w:t>
      </w:r>
      <w:r>
        <w:t xml:space="preserve"> with a NULL value as a </w:t>
      </w:r>
      <w:r>
        <w:lastRenderedPageBreak/>
        <w:t>transient state, which the L4 views flag as a partial coverage warning. Future revision will distinguish "observed but null" from "unresolved".</w:t>
      </w:r>
    </w:p>
    <w:p w14:paraId="36BCFEEE" w14:textId="77777777" w:rsidR="008E1B31" w:rsidRDefault="005C5514">
      <w:pPr>
        <w:pStyle w:val="Heading3"/>
      </w:pPr>
      <w:r>
        <w:t>C.2.2 Rule 2: Structural zero</w:t>
      </w:r>
    </w:p>
    <w:p w14:paraId="36BCFEEF" w14:textId="77777777" w:rsidR="008E1B31" w:rsidRDefault="005C5514">
      <w:pPr>
        <w:spacing w:after="160" w:line="320" w:lineRule="auto"/>
        <w:jc w:val="both"/>
      </w:pPr>
      <w:r>
        <w:t xml:space="preserve">The variable carries </w:t>
      </w:r>
      <w:r>
        <w:rPr>
          <w:rFonts w:ascii="Consolas" w:eastAsia="Consolas" w:hAnsi="Consolas" w:cs="Consolas"/>
        </w:rPr>
        <w:t>formula = '0'</w:t>
      </w:r>
      <w:r>
        <w:t xml:space="preserve">. Used for pass-through node defaults inherited from </w:t>
      </w:r>
      <w:r>
        <w:rPr>
          <w:rFonts w:ascii="Consolas" w:eastAsia="Consolas" w:hAnsi="Consolas" w:cs="Consolas"/>
        </w:rPr>
        <w:t>node_type_default_formulas</w:t>
      </w:r>
      <w:r>
        <w:t>: pipeline P, C, ΔS, B; refinery outflow; gathering P (within-basin); and other physical structural zeros.</w:t>
      </w:r>
    </w:p>
    <w:p w14:paraId="36BCFEF0" w14:textId="77777777" w:rsidR="008E1B31" w:rsidRDefault="005C5514">
      <w:pPr>
        <w:spacing w:after="160" w:line="320" w:lineRule="auto"/>
        <w:jc w:val="both"/>
      </w:pPr>
      <w:r>
        <w:rPr>
          <w:b/>
          <w:bCs/>
        </w:rPr>
        <w:t>Output:</w:t>
      </w:r>
      <w:r>
        <w:t xml:space="preserve"> </w:t>
      </w:r>
      <w:r>
        <w:rPr>
          <w:rFonts w:ascii="Consolas" w:eastAsia="Consolas" w:hAnsi="Consolas" w:cs="Consolas"/>
        </w:rPr>
        <w:t>value = 0</w:t>
      </w:r>
      <w:r>
        <w:t xml:space="preserve">, </w:t>
      </w:r>
      <w:r>
        <w:rPr>
          <w:rFonts w:ascii="Consolas" w:eastAsia="Consolas" w:hAnsi="Consolas" w:cs="Consolas"/>
        </w:rPr>
        <w:t>source = 'zero'</w:t>
      </w:r>
      <w:r>
        <w:t xml:space="preserve">, </w:t>
      </w:r>
      <w:r>
        <w:rPr>
          <w:rFonts w:ascii="Consolas" w:eastAsia="Consolas" w:hAnsi="Consolas" w:cs="Consolas"/>
        </w:rPr>
        <w:t>formula_used = '0'</w:t>
      </w:r>
      <w:r>
        <w:t>.</w:t>
      </w:r>
    </w:p>
    <w:p w14:paraId="36BCFEF1" w14:textId="77777777" w:rsidR="008E1B31" w:rsidRDefault="005C5514">
      <w:pPr>
        <w:spacing w:after="160" w:line="320" w:lineRule="auto"/>
        <w:jc w:val="both"/>
      </w:pPr>
      <w:r>
        <w:rPr>
          <w:b/>
          <w:bCs/>
        </w:rPr>
        <w:t>Failure mode:</w:t>
      </w:r>
      <w:r>
        <w:t xml:space="preserve"> None. This rule cannot fail.</w:t>
      </w:r>
    </w:p>
    <w:p w14:paraId="36BCFEF2" w14:textId="77777777" w:rsidR="008E1B31" w:rsidRDefault="005C5514">
      <w:pPr>
        <w:pStyle w:val="Heading3"/>
      </w:pPr>
      <w:r>
        <w:t>C.2.3 Rule 3: Latent with reverse-mirror promotion</w:t>
      </w:r>
    </w:p>
    <w:p w14:paraId="36BCFEF3" w14:textId="77777777" w:rsidR="008E1B31" w:rsidRDefault="005C5514">
      <w:pPr>
        <w:spacing w:after="160" w:line="320" w:lineRule="auto"/>
        <w:jc w:val="both"/>
      </w:pPr>
      <w:r>
        <w:t xml:space="preserve">The variable carries </w:t>
      </w:r>
      <w:r>
        <w:rPr>
          <w:rFonts w:ascii="Consolas" w:eastAsia="Consolas" w:hAnsi="Consolas" w:cs="Consolas"/>
        </w:rPr>
        <w:t>formula = 'latent()'</w:t>
      </w:r>
      <w:r>
        <w:t>. The rule first attempts a reverse-mirror promotion: if the paired direction of the variable (opposite variable type, swapped endpoints) has a resolved value (and is itself not plain latent), the rule borrows that value through the mirror identity.</w:t>
      </w:r>
    </w:p>
    <w:p w14:paraId="36BCFEF4" w14:textId="77777777" w:rsidR="008E1B31" w:rsidRDefault="005C5514">
      <w:pPr>
        <w:spacing w:after="160" w:line="320" w:lineRule="auto"/>
        <w:jc w:val="both"/>
      </w:pPr>
      <w:r>
        <w:rPr>
          <w:b/>
          <w:bCs/>
        </w:rPr>
        <w:t>Outputs depending on the promotion:</w:t>
      </w:r>
    </w:p>
    <w:p w14:paraId="36BCFEF5" w14:textId="77777777" w:rsidR="008E1B31" w:rsidRDefault="005C5514">
      <w:pPr>
        <w:pStyle w:val="ListParagraph"/>
        <w:numPr>
          <w:ilvl w:val="0"/>
          <w:numId w:val="2"/>
        </w:numPr>
        <w:spacing w:after="80" w:line="320" w:lineRule="auto"/>
        <w:jc w:val="both"/>
      </w:pPr>
      <w:r>
        <w:t xml:space="preserve">Mirror succeeded: </w:t>
      </w:r>
      <w:r>
        <w:rPr>
          <w:rFonts w:ascii="Consolas" w:eastAsia="Consolas" w:hAnsi="Consolas" w:cs="Consolas"/>
        </w:rPr>
        <w:t>value = &lt;paired direction's value&gt;</w:t>
      </w:r>
      <w:r>
        <w:t xml:space="preserve">, </w:t>
      </w:r>
      <w:r>
        <w:rPr>
          <w:rFonts w:ascii="Consolas" w:eastAsia="Consolas" w:hAnsi="Consolas" w:cs="Consolas"/>
        </w:rPr>
        <w:t>source = 'reverse-mirror'</w:t>
      </w:r>
      <w:r>
        <w:t xml:space="preserve">, </w:t>
      </w:r>
      <w:r>
        <w:rPr>
          <w:rFonts w:ascii="Consolas" w:eastAsia="Consolas" w:hAnsi="Consolas" w:cs="Consolas"/>
        </w:rPr>
        <w:t>formula_used = 'reverse_mirror_promotion'</w:t>
      </w:r>
      <w:r>
        <w:t>.</w:t>
      </w:r>
    </w:p>
    <w:p w14:paraId="36BCFEF6" w14:textId="77777777" w:rsidR="008E1B31" w:rsidRDefault="005C5514">
      <w:pPr>
        <w:pStyle w:val="ListParagraph"/>
        <w:numPr>
          <w:ilvl w:val="0"/>
          <w:numId w:val="2"/>
        </w:numPr>
        <w:spacing w:after="80" w:line="320" w:lineRule="auto"/>
        <w:jc w:val="both"/>
      </w:pPr>
      <w:r>
        <w:t xml:space="preserve">Mirror failed: </w:t>
      </w:r>
      <w:r>
        <w:rPr>
          <w:rFonts w:ascii="Consolas" w:eastAsia="Consolas" w:hAnsi="Consolas" w:cs="Consolas"/>
        </w:rPr>
        <w:t>value = NULL</w:t>
      </w:r>
      <w:r>
        <w:t xml:space="preserve">, </w:t>
      </w:r>
      <w:r>
        <w:rPr>
          <w:rFonts w:ascii="Consolas" w:eastAsia="Consolas" w:hAnsi="Consolas" w:cs="Consolas"/>
        </w:rPr>
        <w:t>source = 'latent'</w:t>
      </w:r>
      <w:r>
        <w:t xml:space="preserve">, </w:t>
      </w:r>
      <w:r>
        <w:rPr>
          <w:rFonts w:ascii="Consolas" w:eastAsia="Consolas" w:hAnsi="Consolas" w:cs="Consolas"/>
        </w:rPr>
        <w:t>formula_used = 'latent()'</w:t>
      </w:r>
      <w:r>
        <w:t>.</w:t>
      </w:r>
    </w:p>
    <w:p w14:paraId="36BCFEF7" w14:textId="77777777" w:rsidR="008E1B31" w:rsidRDefault="005C5514">
      <w:pPr>
        <w:spacing w:after="80"/>
      </w:pPr>
      <w:r>
        <w:rPr>
          <w:sz w:val="12"/>
          <w:szCs w:val="12"/>
        </w:rPr>
        <w:t xml:space="preserve"> </w:t>
      </w:r>
    </w:p>
    <w:p w14:paraId="36BCFEF8" w14:textId="77777777" w:rsidR="008E1B31" w:rsidRDefault="005C5514">
      <w:pPr>
        <w:spacing w:after="160" w:line="320" w:lineRule="auto"/>
        <w:jc w:val="both"/>
      </w:pPr>
      <w:r>
        <w:t>The mirror-promotion logic exists because Rule 3's natural priority position (before Rule 6) would otherwise short-circuit and prevent the standalone Rule 6 from firing for explicitly-latent variables.</w:t>
      </w:r>
    </w:p>
    <w:p w14:paraId="36BCFEF9" w14:textId="77777777" w:rsidR="008E1B31" w:rsidRDefault="005C5514">
      <w:pPr>
        <w:spacing w:after="160" w:line="320" w:lineRule="auto"/>
        <w:jc w:val="both"/>
      </w:pPr>
      <w:r>
        <w:rPr>
          <w:b/>
          <w:bCs/>
        </w:rPr>
        <w:t>Failure mode:</w:t>
      </w:r>
      <w:r>
        <w:t xml:space="preserve"> None at the rule level. Downstream LP consumers must treat </w:t>
      </w:r>
      <w:r>
        <w:rPr>
          <w:rFonts w:ascii="Consolas" w:eastAsia="Consolas" w:hAnsi="Consolas" w:cs="Consolas"/>
        </w:rPr>
        <w:t>source = 'latent'</w:t>
      </w:r>
      <w:r>
        <w:t xml:space="preserve"> rows as decision variables, not as constants.</w:t>
      </w:r>
    </w:p>
    <w:p w14:paraId="36BCFEFA" w14:textId="77777777" w:rsidR="008E1B31" w:rsidRDefault="005C5514">
      <w:pPr>
        <w:pStyle w:val="Heading3"/>
      </w:pPr>
      <w:r>
        <w:t>C.2.4 Rule 4: Sum</w:t>
      </w:r>
    </w:p>
    <w:p w14:paraId="36BCFEFB" w14:textId="77777777" w:rsidR="008E1B31" w:rsidRDefault="005C5514">
      <w:pPr>
        <w:spacing w:after="160" w:line="320" w:lineRule="auto"/>
        <w:jc w:val="both"/>
      </w:pPr>
      <w:r>
        <w:t xml:space="preserve">The variable carries </w:t>
      </w:r>
      <w:r>
        <w:rPr>
          <w:rFonts w:ascii="Consolas" w:eastAsia="Consolas" w:hAnsi="Consolas" w:cs="Consolas"/>
        </w:rPr>
        <w:t>formula = 'sum'</w:t>
      </w:r>
      <w:r>
        <w:t xml:space="preserve">. The rule sums every value in </w:t>
      </w:r>
      <w:r>
        <w:rPr>
          <w:rFonts w:ascii="Consolas" w:eastAsia="Consolas" w:hAnsi="Consolas" w:cs="Consolas"/>
        </w:rPr>
        <w:t>formula_inputs</w:t>
      </w:r>
      <w:r>
        <w:t>; NULL inputs are skipped (treated as zero contribution).</w:t>
      </w:r>
    </w:p>
    <w:p w14:paraId="36BCFEFC" w14:textId="77777777" w:rsidR="008E1B31" w:rsidRDefault="005C5514">
      <w:pPr>
        <w:spacing w:after="160" w:line="320" w:lineRule="auto"/>
        <w:jc w:val="both"/>
      </w:pPr>
      <w:r>
        <w:rPr>
          <w:b/>
          <w:bCs/>
        </w:rPr>
        <w:t>Output:</w:t>
      </w:r>
      <w:r>
        <w:t xml:space="preserve"> </w:t>
      </w:r>
      <w:r>
        <w:rPr>
          <w:rFonts w:ascii="Consolas" w:eastAsia="Consolas" w:hAnsi="Consolas" w:cs="Consolas"/>
        </w:rPr>
        <w:t>value = Σ inputs</w:t>
      </w:r>
      <w:r>
        <w:t xml:space="preserve">, </w:t>
      </w:r>
      <w:r>
        <w:rPr>
          <w:rFonts w:ascii="Consolas" w:eastAsia="Consolas" w:hAnsi="Consolas" w:cs="Consolas"/>
        </w:rPr>
        <w:t>source = 'derived'</w:t>
      </w:r>
      <w:r>
        <w:t xml:space="preserve">, </w:t>
      </w:r>
      <w:r>
        <w:rPr>
          <w:rFonts w:ascii="Consolas" w:eastAsia="Consolas" w:hAnsi="Consolas" w:cs="Consolas"/>
        </w:rPr>
        <w:t>formula_used = 'sum'</w:t>
      </w:r>
      <w:r>
        <w:t>.</w:t>
      </w:r>
    </w:p>
    <w:p w14:paraId="36BCFEFD" w14:textId="77777777" w:rsidR="008E1B31" w:rsidRDefault="005C5514">
      <w:pPr>
        <w:spacing w:after="160" w:line="320" w:lineRule="auto"/>
        <w:jc w:val="both"/>
      </w:pPr>
      <w:r>
        <w:rPr>
          <w:b/>
          <w:bCs/>
        </w:rPr>
        <w:t>Failure mode:</w:t>
      </w:r>
      <w:r>
        <w:t xml:space="preserve"> All inputs are NULL. The rule produces </w:t>
      </w:r>
      <w:r>
        <w:rPr>
          <w:rFonts w:ascii="Consolas" w:eastAsia="Consolas" w:hAnsi="Consolas" w:cs="Consolas"/>
        </w:rPr>
        <w:t>value = 0</w:t>
      </w:r>
      <w:r>
        <w:t xml:space="preserve"> rather than NULL, which is potentially misleading. Operators should check the </w:t>
      </w:r>
      <w:r>
        <w:rPr>
          <w:rFonts w:ascii="Consolas" w:eastAsia="Consolas" w:hAnsi="Consolas" w:cs="Consolas"/>
        </w:rPr>
        <w:t>formula_inputs</w:t>
      </w:r>
      <w:r>
        <w:t xml:space="preserve"> structure when a sum variable resolves to zero unexpectedly.</w:t>
      </w:r>
    </w:p>
    <w:p w14:paraId="36BCFEFE" w14:textId="77777777" w:rsidR="008E1B31" w:rsidRDefault="005C5514">
      <w:pPr>
        <w:spacing w:after="160" w:line="320" w:lineRule="auto"/>
        <w:jc w:val="both"/>
      </w:pPr>
      <w:r>
        <w:t>The rule is the twelfth-pass collapse of three earlier labels (</w:t>
      </w:r>
      <w:r>
        <w:rPr>
          <w:rFonts w:ascii="Consolas" w:eastAsia="Consolas" w:hAnsi="Consolas" w:cs="Consolas"/>
        </w:rPr>
        <w:t>sum_over_children</w:t>
      </w:r>
      <w:r>
        <w:t xml:space="preserve">, </w:t>
      </w:r>
      <w:r>
        <w:rPr>
          <w:rFonts w:ascii="Consolas" w:eastAsia="Consolas" w:hAnsi="Consolas" w:cs="Consolas"/>
        </w:rPr>
        <w:t>sum_over_outflows</w:t>
      </w:r>
      <w:r>
        <w:t xml:space="preserve">, </w:t>
      </w:r>
      <w:r>
        <w:rPr>
          <w:rFonts w:ascii="Consolas" w:eastAsia="Consolas" w:hAnsi="Consolas" w:cs="Consolas"/>
        </w:rPr>
        <w:t>sum_same_type</w:t>
      </w:r>
      <w:r>
        <w:t xml:space="preserve">). The semantic role of any given sum is recoverable from the structure of </w:t>
      </w:r>
      <w:r>
        <w:rPr>
          <w:rFonts w:ascii="Consolas" w:eastAsia="Consolas" w:hAnsi="Consolas" w:cs="Consolas"/>
        </w:rPr>
        <w:t>formula_inputs</w:t>
      </w:r>
      <w:r>
        <w:t xml:space="preserve"> and does not need to be encoded in the formula text.</w:t>
      </w:r>
    </w:p>
    <w:p w14:paraId="36BCFEFF" w14:textId="77777777" w:rsidR="008E1B31" w:rsidRDefault="005C5514">
      <w:pPr>
        <w:pStyle w:val="Heading3"/>
      </w:pPr>
      <w:r>
        <w:lastRenderedPageBreak/>
        <w:t>C.2.5 Rule 5: Single-variable alias</w:t>
      </w:r>
    </w:p>
    <w:p w14:paraId="36BCFF00" w14:textId="77777777" w:rsidR="008E1B31" w:rsidRDefault="005C5514">
      <w:pPr>
        <w:spacing w:after="160" w:line="320" w:lineRule="auto"/>
        <w:jc w:val="both"/>
      </w:pPr>
      <w:r>
        <w:t xml:space="preserve">The variable carries </w:t>
      </w:r>
      <w:r>
        <w:rPr>
          <w:rFonts w:ascii="Consolas" w:eastAsia="Consolas" w:hAnsi="Consolas" w:cs="Consolas"/>
        </w:rPr>
        <w:t>formula = &lt;bare_variable_id&gt;</w:t>
      </w:r>
      <w:r>
        <w:t xml:space="preserve"> (a bare identifier matching exactly one entry in </w:t>
      </w:r>
      <w:r>
        <w:rPr>
          <w:rFonts w:ascii="Consolas" w:eastAsia="Consolas" w:hAnsi="Consolas" w:cs="Consolas"/>
        </w:rPr>
        <w:t>formula_inputs</w:t>
      </w:r>
      <w:r>
        <w:t>). The rule inherits the value of the named target.</w:t>
      </w:r>
    </w:p>
    <w:p w14:paraId="36BCFF01" w14:textId="77777777" w:rsidR="008E1B31" w:rsidRDefault="005C5514">
      <w:pPr>
        <w:spacing w:after="160" w:line="320" w:lineRule="auto"/>
        <w:jc w:val="both"/>
      </w:pPr>
      <w:r>
        <w:rPr>
          <w:b/>
          <w:bCs/>
        </w:rPr>
        <w:t>Output:</w:t>
      </w:r>
      <w:r>
        <w:t xml:space="preserve"> </w:t>
      </w:r>
      <w:r>
        <w:rPr>
          <w:rFonts w:ascii="Consolas" w:eastAsia="Consolas" w:hAnsi="Consolas" w:cs="Consolas"/>
        </w:rPr>
        <w:t>value = &lt;target value&gt;</w:t>
      </w:r>
      <w:r>
        <w:t xml:space="preserve">, </w:t>
      </w:r>
      <w:r>
        <w:rPr>
          <w:rFonts w:ascii="Consolas" w:eastAsia="Consolas" w:hAnsi="Consolas" w:cs="Consolas"/>
        </w:rPr>
        <w:t>source = 'derived'</w:t>
      </w:r>
      <w:r>
        <w:t xml:space="preserve">, </w:t>
      </w:r>
      <w:r>
        <w:rPr>
          <w:rFonts w:ascii="Consolas" w:eastAsia="Consolas" w:hAnsi="Consolas" w:cs="Consolas"/>
        </w:rPr>
        <w:t>formula_used = 'alias(&lt;bare_variable_id&gt;)'</w:t>
      </w:r>
      <w:r>
        <w:t>.</w:t>
      </w:r>
    </w:p>
    <w:p w14:paraId="36BCFF02" w14:textId="77777777" w:rsidR="008E1B31" w:rsidRDefault="005C5514">
      <w:pPr>
        <w:spacing w:after="160" w:line="320" w:lineRule="auto"/>
        <w:jc w:val="both"/>
      </w:pPr>
      <w:r>
        <w:rPr>
          <w:b/>
          <w:bCs/>
        </w:rPr>
        <w:t>Failure mode:</w:t>
      </w:r>
      <w:r>
        <w:t xml:space="preserve"> The target is not resolved at this point in the dispatch loop. This should not happen if the dependency DAG is built correctly; if it does, the variable falls through to Rule 9 (unresolved).</w:t>
      </w:r>
    </w:p>
    <w:p w14:paraId="36BCFF03" w14:textId="77777777" w:rsidR="008E1B31" w:rsidRDefault="005C5514">
      <w:pPr>
        <w:pStyle w:val="Heading3"/>
      </w:pPr>
      <w:r>
        <w:t>C.2.6 Rule 6: Reverse mirror (standalone)</w:t>
      </w:r>
    </w:p>
    <w:p w14:paraId="36BCFF04" w14:textId="77777777" w:rsidR="008E1B31" w:rsidRDefault="005C5514">
      <w:pPr>
        <w:spacing w:after="160" w:line="320" w:lineRule="auto"/>
        <w:jc w:val="both"/>
      </w:pPr>
      <w:r>
        <w:t>The variable has no own resolution path (no time series, no formula matching Rules 1 through 5) and its paired direction has a resolved value. The rule borrows the paired direction's value.</w:t>
      </w:r>
    </w:p>
    <w:p w14:paraId="36BCFF05" w14:textId="77777777" w:rsidR="008E1B31" w:rsidRDefault="005C5514">
      <w:pPr>
        <w:spacing w:after="160" w:line="320" w:lineRule="auto"/>
        <w:jc w:val="both"/>
      </w:pPr>
      <w:r>
        <w:rPr>
          <w:b/>
          <w:bCs/>
        </w:rPr>
        <w:t>Output:</w:t>
      </w:r>
      <w:r>
        <w:t xml:space="preserve"> </w:t>
      </w:r>
      <w:r>
        <w:rPr>
          <w:rFonts w:ascii="Consolas" w:eastAsia="Consolas" w:hAnsi="Consolas" w:cs="Consolas"/>
        </w:rPr>
        <w:t>value = &lt;paired direction's value&gt;</w:t>
      </w:r>
      <w:r>
        <w:t xml:space="preserve">, </w:t>
      </w:r>
      <w:r>
        <w:rPr>
          <w:rFonts w:ascii="Consolas" w:eastAsia="Consolas" w:hAnsi="Consolas" w:cs="Consolas"/>
        </w:rPr>
        <w:t>source = 'derived'</w:t>
      </w:r>
      <w:r>
        <w:t xml:space="preserve">, </w:t>
      </w:r>
      <w:r>
        <w:rPr>
          <w:rFonts w:ascii="Consolas" w:eastAsia="Consolas" w:hAnsi="Consolas" w:cs="Consolas"/>
        </w:rPr>
        <w:t>formula_used = 'reverse_mirror'</w:t>
      </w:r>
      <w:r>
        <w:t>.</w:t>
      </w:r>
    </w:p>
    <w:p w14:paraId="36BCFF06" w14:textId="77777777" w:rsidR="008E1B31" w:rsidRDefault="005C5514">
      <w:pPr>
        <w:spacing w:after="160" w:line="320" w:lineRule="auto"/>
        <w:jc w:val="both"/>
      </w:pPr>
      <w:r>
        <w:rPr>
          <w:b/>
          <w:bCs/>
        </w:rPr>
        <w:t>Failure mode:</w:t>
      </w:r>
      <w:r>
        <w:t xml:space="preserve"> The paired direction is itself unresolved. The variable falls through to Rule 9.</w:t>
      </w:r>
    </w:p>
    <w:p w14:paraId="36BCFF07" w14:textId="77777777" w:rsidR="008E1B31" w:rsidRDefault="005C5514">
      <w:pPr>
        <w:pStyle w:val="Heading3"/>
      </w:pPr>
      <w:r>
        <w:t>C.2.7 Rule 7: Closure formula</w:t>
      </w:r>
    </w:p>
    <w:p w14:paraId="36BCFF08" w14:textId="77777777" w:rsidR="008E1B31" w:rsidRDefault="005C5514">
      <w:pPr>
        <w:spacing w:after="160" w:line="320" w:lineRule="auto"/>
        <w:jc w:val="both"/>
      </w:pPr>
      <w:r>
        <w:t xml:space="preserve">The variable is a balancing item whose </w:t>
      </w:r>
      <w:r>
        <w:rPr>
          <w:rFonts w:ascii="Consolas" w:eastAsia="Consolas" w:hAnsi="Consolas" w:cs="Consolas"/>
        </w:rPr>
        <w:t>formula_inputs</w:t>
      </w:r>
      <w:r>
        <w:t xml:space="preserve"> mix inventory, inflow, and outflow variables. The rule evaluates the closure equation:</w:t>
      </w:r>
    </w:p>
    <w:p w14:paraId="36BCFF09" w14:textId="77777777" w:rsidR="008E1B31" w:rsidRDefault="005C5514">
      <w:pPr>
        <w:spacing w:after="160" w:line="320" w:lineRule="auto"/>
        <w:jc w:val="both"/>
      </w:pPr>
      <w:r>
        <w:t>B = ΔS − P + C − ΣF_in + ΣF_out</w:t>
      </w:r>
    </w:p>
    <w:p w14:paraId="36BCFF0A" w14:textId="77777777" w:rsidR="008E1B31" w:rsidRDefault="005C5514">
      <w:pPr>
        <w:spacing w:after="160" w:line="320" w:lineRule="auto"/>
        <w:jc w:val="both"/>
      </w:pPr>
      <w:r>
        <w:rPr>
          <w:b/>
          <w:bCs/>
        </w:rPr>
        <w:t>Output:</w:t>
      </w:r>
      <w:r>
        <w:t xml:space="preserve"> </w:t>
      </w:r>
      <w:r>
        <w:rPr>
          <w:rFonts w:ascii="Consolas" w:eastAsia="Consolas" w:hAnsi="Consolas" w:cs="Consolas"/>
        </w:rPr>
        <w:t>value = &lt;computed B&gt;</w:t>
      </w:r>
      <w:r>
        <w:t xml:space="preserve">, </w:t>
      </w:r>
      <w:r>
        <w:rPr>
          <w:rFonts w:ascii="Consolas" w:eastAsia="Consolas" w:hAnsi="Consolas" w:cs="Consolas"/>
        </w:rPr>
        <w:t>source = 'derived'</w:t>
      </w:r>
      <w:r>
        <w:t xml:space="preserve">, </w:t>
      </w:r>
      <w:r>
        <w:rPr>
          <w:rFonts w:ascii="Consolas" w:eastAsia="Consolas" w:hAnsi="Consolas" w:cs="Consolas"/>
        </w:rPr>
        <w:t>formula_used = 'closure'</w:t>
      </w:r>
      <w:r>
        <w:t>.</w:t>
      </w:r>
    </w:p>
    <w:p w14:paraId="36BCFF0B" w14:textId="77777777" w:rsidR="008E1B31" w:rsidRDefault="005C5514">
      <w:pPr>
        <w:spacing w:after="160" w:line="320" w:lineRule="auto"/>
        <w:jc w:val="both"/>
      </w:pPr>
      <w:r>
        <w:t>This rule is dormant in the starter scenario because B was promoted to time-series-observed at the PADD and USA aggregates in the sixth migration pass. The rule remains in the resolver as a fallback and as the engine behind the observed-vs-closure-B comparison view of Section 7.4.</w:t>
      </w:r>
    </w:p>
    <w:p w14:paraId="36BCFF0C" w14:textId="77777777" w:rsidR="008E1B31" w:rsidRDefault="005C5514">
      <w:pPr>
        <w:pStyle w:val="Heading3"/>
      </w:pPr>
      <w:r>
        <w:t>C.2.8 Rule 8: Arithmetic combination</w:t>
      </w:r>
    </w:p>
    <w:p w14:paraId="36BCFF0D" w14:textId="77777777" w:rsidR="008E1B31" w:rsidRDefault="005C5514">
      <w:pPr>
        <w:spacing w:after="160" w:line="320" w:lineRule="auto"/>
        <w:jc w:val="both"/>
      </w:pPr>
      <w:r>
        <w:t xml:space="preserve">The variable carries </w:t>
      </w:r>
      <w:r>
        <w:rPr>
          <w:rFonts w:ascii="Consolas" w:eastAsia="Consolas" w:hAnsi="Consolas" w:cs="Consolas"/>
        </w:rPr>
        <w:t>formula = &lt;signed variable references&gt;</w:t>
      </w:r>
      <w:r>
        <w:t xml:space="preserve">, for example </w:t>
      </w:r>
      <w:r>
        <w:rPr>
          <w:rFonts w:ascii="Consolas" w:eastAsia="Consolas" w:hAnsi="Consolas" w:cs="Consolas"/>
        </w:rPr>
        <w:t>padd2_view.P − bakken_nd.P − oklahoma.P</w:t>
      </w:r>
      <w:r>
        <w:t xml:space="preserve">. The rule parses the signed terms via a regular expression that extracts (sign, variable_id) pairs and aborts if any term fails to match a variable in </w:t>
      </w:r>
      <w:r>
        <w:rPr>
          <w:rFonts w:ascii="Consolas" w:eastAsia="Consolas" w:hAnsi="Consolas" w:cs="Consolas"/>
        </w:rPr>
        <w:t>formula_inputs</w:t>
      </w:r>
      <w:r>
        <w:t>.</w:t>
      </w:r>
    </w:p>
    <w:p w14:paraId="36BCFF0E" w14:textId="77777777" w:rsidR="008E1B31" w:rsidRDefault="005C5514">
      <w:pPr>
        <w:spacing w:after="160" w:line="320" w:lineRule="auto"/>
        <w:jc w:val="both"/>
      </w:pPr>
      <w:r>
        <w:rPr>
          <w:b/>
          <w:bCs/>
        </w:rPr>
        <w:t>Output:</w:t>
      </w:r>
      <w:r>
        <w:t xml:space="preserve"> </w:t>
      </w:r>
      <w:r>
        <w:rPr>
          <w:rFonts w:ascii="Consolas" w:eastAsia="Consolas" w:hAnsi="Consolas" w:cs="Consolas"/>
        </w:rPr>
        <w:t>value = Σ (sign × variable value)</w:t>
      </w:r>
      <w:r>
        <w:t xml:space="preserve">, </w:t>
      </w:r>
      <w:r>
        <w:rPr>
          <w:rFonts w:ascii="Consolas" w:eastAsia="Consolas" w:hAnsi="Consolas" w:cs="Consolas"/>
        </w:rPr>
        <w:t>source = 'derived'</w:t>
      </w:r>
      <w:r>
        <w:t xml:space="preserve">, </w:t>
      </w:r>
      <w:r>
        <w:rPr>
          <w:rFonts w:ascii="Consolas" w:eastAsia="Consolas" w:hAnsi="Consolas" w:cs="Consolas"/>
        </w:rPr>
        <w:t>formula_used = &lt;original formula string&gt;</w:t>
      </w:r>
      <w:r>
        <w:t>.</w:t>
      </w:r>
    </w:p>
    <w:p w14:paraId="36BCFF0F" w14:textId="77777777" w:rsidR="008E1B31" w:rsidRDefault="005C5514">
      <w:pPr>
        <w:spacing w:after="160" w:line="320" w:lineRule="auto"/>
        <w:jc w:val="both"/>
      </w:pPr>
      <w:r>
        <w:rPr>
          <w:b/>
          <w:bCs/>
        </w:rPr>
        <w:t>Failure mode:</w:t>
      </w:r>
      <w:r>
        <w:t xml:space="preserve"> Parser fails to match the formula text. The variable falls through to Rule 9.</w:t>
      </w:r>
    </w:p>
    <w:p w14:paraId="36BCFF10" w14:textId="77777777" w:rsidR="008E1B31" w:rsidRDefault="005C5514">
      <w:pPr>
        <w:pStyle w:val="Heading3"/>
      </w:pPr>
      <w:r>
        <w:t>C.2.9 Rule 9: Unresolved (fallback)</w:t>
      </w:r>
    </w:p>
    <w:p w14:paraId="36BCFF11" w14:textId="77777777" w:rsidR="008E1B31" w:rsidRDefault="005C5514">
      <w:pPr>
        <w:spacing w:after="160" w:line="320" w:lineRule="auto"/>
        <w:jc w:val="both"/>
      </w:pPr>
      <w:r>
        <w:t>None of the above rules matched.</w:t>
      </w:r>
    </w:p>
    <w:p w14:paraId="36BCFF12" w14:textId="77777777" w:rsidR="008E1B31" w:rsidRDefault="005C5514">
      <w:pPr>
        <w:spacing w:after="160" w:line="320" w:lineRule="auto"/>
        <w:jc w:val="both"/>
      </w:pPr>
      <w:r>
        <w:rPr>
          <w:b/>
          <w:bCs/>
        </w:rPr>
        <w:lastRenderedPageBreak/>
        <w:t>Output:</w:t>
      </w:r>
      <w:r>
        <w:t xml:space="preserve"> </w:t>
      </w:r>
      <w:r>
        <w:rPr>
          <w:rFonts w:ascii="Consolas" w:eastAsia="Consolas" w:hAnsi="Consolas" w:cs="Consolas"/>
        </w:rPr>
        <w:t>value = NULL</w:t>
      </w:r>
      <w:r>
        <w:t xml:space="preserve">, </w:t>
      </w:r>
      <w:r>
        <w:rPr>
          <w:rFonts w:ascii="Consolas" w:eastAsia="Consolas" w:hAnsi="Consolas" w:cs="Consolas"/>
        </w:rPr>
        <w:t>source = 'unresolved'</w:t>
      </w:r>
      <w:r>
        <w:t xml:space="preserve">, </w:t>
      </w:r>
      <w:r>
        <w:rPr>
          <w:rFonts w:ascii="Consolas" w:eastAsia="Consolas" w:hAnsi="Consolas" w:cs="Consolas"/>
        </w:rPr>
        <w:t>formula_used = NULL</w:t>
      </w:r>
      <w:r>
        <w:t>.</w:t>
      </w:r>
    </w:p>
    <w:p w14:paraId="36BCFF13" w14:textId="77777777" w:rsidR="008E1B31" w:rsidRDefault="005C5514">
      <w:pPr>
        <w:spacing w:after="160" w:line="320" w:lineRule="auto"/>
        <w:jc w:val="both"/>
      </w:pPr>
      <w:r>
        <w:rPr>
          <w:b/>
          <w:bCs/>
        </w:rPr>
        <w:t>Operator action required.</w:t>
      </w:r>
      <w:r>
        <w:t xml:space="preserve"> A non-zero unresolved count after a run indicates that either the assignment set references variables that do not exist, or the formula text matches no rule pattern. The recommended response is to inspect the audit row's dispatch counts, query </w:t>
      </w:r>
      <w:r>
        <w:rPr>
          <w:rFonts w:ascii="Consolas" w:eastAsia="Consolas" w:hAnsi="Consolas" w:cs="Consolas"/>
        </w:rPr>
        <w:t>scenario_resolved_values WHERE source = 'unresolved'</w:t>
      </w:r>
      <w:r>
        <w:t xml:space="preserve"> to identify the failing variables, and either fix the assignment (correct the reference) or extend the resolver (add a rule for the new pattern). Silent treatment as latent is explicitly prohibited.</w:t>
      </w:r>
    </w:p>
    <w:p w14:paraId="36BCFF14" w14:textId="77777777" w:rsidR="008E1B31" w:rsidRDefault="005C5514">
      <w:pPr>
        <w:pStyle w:val="Heading2"/>
      </w:pPr>
      <w:r>
        <w:t>C.3 The dependency DAG</w:t>
      </w:r>
    </w:p>
    <w:p w14:paraId="36BCFF15" w14:textId="77777777" w:rsidR="008E1B31" w:rsidRDefault="005C5514">
      <w:pPr>
        <w:spacing w:after="160" w:line="320" w:lineRule="auto"/>
        <w:jc w:val="both"/>
      </w:pPr>
      <w:r>
        <w:t xml:space="preserve">The resolver's </w:t>
      </w:r>
      <w:r>
        <w:rPr>
          <w:rFonts w:ascii="Consolas" w:eastAsia="Consolas" w:hAnsi="Consolas" w:cs="Consolas"/>
        </w:rPr>
        <w:t>build_deps()</w:t>
      </w:r>
      <w:r>
        <w:t xml:space="preserve"> function produces a dictionary </w:t>
      </w:r>
      <w:r>
        <w:rPr>
          <w:rFonts w:ascii="Consolas" w:eastAsia="Consolas" w:hAnsi="Consolas" w:cs="Consolas"/>
        </w:rPr>
        <w:t>deps[variable]</w:t>
      </w:r>
      <w:r>
        <w:t xml:space="preserve"> of upstream variable IDs that each variable depends on. The topological sort over this dictionary orders the variables so that each is resolved only after its dependencies.</w:t>
      </w:r>
    </w:p>
    <w:p w14:paraId="36BCFF16" w14:textId="77777777" w:rsidR="008E1B31" w:rsidRDefault="005C5514">
      <w:pPr>
        <w:spacing w:after="160" w:line="320" w:lineRule="auto"/>
        <w:jc w:val="both"/>
      </w:pPr>
      <w:r>
        <w:t>Three sources contribute to the dependency dictionary:</w:t>
      </w:r>
    </w:p>
    <w:tbl>
      <w:tblPr>
        <w:tblStyle w:val="TableGrid"/>
        <w:tblW w:w="9067" w:type="dxa"/>
        <w:tblLook w:val="04A0" w:firstRow="1" w:lastRow="0" w:firstColumn="1" w:lastColumn="0" w:noHBand="0" w:noVBand="1"/>
      </w:tblPr>
      <w:tblGrid>
        <w:gridCol w:w="3022"/>
        <w:gridCol w:w="3022"/>
        <w:gridCol w:w="3023"/>
      </w:tblGrid>
      <w:tr w:rsidR="00537923" w14:paraId="65FA06A6" w14:textId="77777777">
        <w:trPr>
          <w:tblHeader/>
        </w:trPr>
        <w:tc>
          <w:tcPr>
            <w:tcW w:w="3022" w:type="dxa"/>
            <w:shd w:val="clear" w:color="auto" w:fill="D9E2F3"/>
            <w:vAlign w:val="center"/>
          </w:tcPr>
          <w:p w14:paraId="696FE619" w14:textId="77777777" w:rsidR="00537923" w:rsidRDefault="005C5514">
            <w:pPr>
              <w:rPr>
                <w:b/>
              </w:rPr>
            </w:pPr>
            <w:r>
              <w:rPr>
                <w:b/>
              </w:rPr>
              <w:t>Source</w:t>
            </w:r>
          </w:p>
        </w:tc>
        <w:tc>
          <w:tcPr>
            <w:tcW w:w="3022" w:type="dxa"/>
            <w:shd w:val="clear" w:color="auto" w:fill="D9E2F3"/>
            <w:vAlign w:val="center"/>
          </w:tcPr>
          <w:p w14:paraId="04DB3B28" w14:textId="77777777" w:rsidR="00537923" w:rsidRDefault="005C5514">
            <w:pPr>
              <w:rPr>
                <w:b/>
              </w:rPr>
            </w:pPr>
            <w:r>
              <w:rPr>
                <w:b/>
              </w:rPr>
              <w:t>Trigger</w:t>
            </w:r>
          </w:p>
        </w:tc>
        <w:tc>
          <w:tcPr>
            <w:tcW w:w="3023" w:type="dxa"/>
            <w:shd w:val="clear" w:color="auto" w:fill="D9E2F3"/>
            <w:vAlign w:val="center"/>
          </w:tcPr>
          <w:p w14:paraId="69791A7C" w14:textId="77777777" w:rsidR="00537923" w:rsidRDefault="005C5514">
            <w:pPr>
              <w:rPr>
                <w:b/>
              </w:rPr>
            </w:pPr>
            <w:r>
              <w:rPr>
                <w:b/>
              </w:rPr>
              <w:t>Dependency added</w:t>
            </w:r>
          </w:p>
        </w:tc>
      </w:tr>
      <w:tr w:rsidR="00537923" w14:paraId="4D583EFF" w14:textId="77777777">
        <w:tc>
          <w:tcPr>
            <w:tcW w:w="3022" w:type="dxa"/>
            <w:vAlign w:val="center"/>
          </w:tcPr>
          <w:p w14:paraId="43DDF4F5" w14:textId="77777777" w:rsidR="00537923" w:rsidRDefault="005C5514">
            <w:r>
              <w:t>Formula inputs</w:t>
            </w:r>
          </w:p>
        </w:tc>
        <w:tc>
          <w:tcPr>
            <w:tcW w:w="3022" w:type="dxa"/>
            <w:vAlign w:val="center"/>
          </w:tcPr>
          <w:p w14:paraId="350B2F00" w14:textId="77777777" w:rsidR="00537923" w:rsidRDefault="005C5514">
            <w:r>
              <w:t>Variable has a non-empty formula_inputs list</w:t>
            </w:r>
          </w:p>
        </w:tc>
        <w:tc>
          <w:tcPr>
            <w:tcW w:w="3023" w:type="dxa"/>
            <w:vAlign w:val="center"/>
          </w:tcPr>
          <w:p w14:paraId="0916DE3B" w14:textId="77777777" w:rsidR="00537923" w:rsidRDefault="005C5514">
            <w:r>
              <w:t>Every variable ID in the list that exists in the assignment set</w:t>
            </w:r>
          </w:p>
        </w:tc>
      </w:tr>
      <w:tr w:rsidR="00537923" w14:paraId="08C0254C" w14:textId="77777777">
        <w:tc>
          <w:tcPr>
            <w:tcW w:w="3022" w:type="dxa"/>
            <w:vAlign w:val="center"/>
          </w:tcPr>
          <w:p w14:paraId="4D759401" w14:textId="77777777" w:rsidR="00537923" w:rsidRDefault="005C5514">
            <w:r>
              <w:t>Fan-out at same node</w:t>
            </w:r>
          </w:p>
        </w:tc>
        <w:tc>
          <w:tcPr>
            <w:tcW w:w="3022" w:type="dxa"/>
            <w:vAlign w:val="center"/>
          </w:tcPr>
          <w:p w14:paraId="32BBBC43" w14:textId="77777777" w:rsidR="00537923" w:rsidRDefault="005C5514">
            <w:r>
              <w:t>Variable's formula is a sum over outflows</w:t>
            </w:r>
          </w:p>
        </w:tc>
        <w:tc>
          <w:tcPr>
            <w:tcW w:w="3023" w:type="dxa"/>
            <w:vAlign w:val="center"/>
          </w:tcPr>
          <w:p w14:paraId="67321E45" w14:textId="77777777" w:rsidR="00537923" w:rsidRDefault="005C5514">
            <w:r>
              <w:t>Every outflow variable at the same node, except itself</w:t>
            </w:r>
          </w:p>
        </w:tc>
      </w:tr>
      <w:tr w:rsidR="00537923" w14:paraId="17FFE0F4" w14:textId="77777777">
        <w:tc>
          <w:tcPr>
            <w:tcW w:w="3022" w:type="dxa"/>
            <w:vAlign w:val="center"/>
          </w:tcPr>
          <w:p w14:paraId="4E637B1F" w14:textId="77777777" w:rsidR="00537923" w:rsidRDefault="005C5514">
            <w:r>
              <w:t>Reverse mirror, hoisted</w:t>
            </w:r>
          </w:p>
        </w:tc>
        <w:tc>
          <w:tcPr>
            <w:tcW w:w="3022" w:type="dxa"/>
            <w:vAlign w:val="center"/>
          </w:tcPr>
          <w:p w14:paraId="59773C09" w14:textId="77777777" w:rsidR="00537923" w:rsidRDefault="005C5514">
            <w:r>
              <w:t>Variable is latent and paired direction is resolved</w:t>
            </w:r>
          </w:p>
        </w:tc>
        <w:tc>
          <w:tcPr>
            <w:tcW w:w="3023" w:type="dxa"/>
            <w:vAlign w:val="center"/>
          </w:tcPr>
          <w:p w14:paraId="4E471510" w14:textId="77777777" w:rsidR="00537923" w:rsidRDefault="005C5514">
            <w:r>
              <w:t>The paired direction's variable ID</w:t>
            </w:r>
          </w:p>
        </w:tc>
      </w:tr>
    </w:tbl>
    <w:p w14:paraId="36BCFF1C" w14:textId="77777777" w:rsidR="008E1B31" w:rsidRDefault="005C5514">
      <w:pPr>
        <w:spacing w:after="160" w:line="320" w:lineRule="auto"/>
        <w:jc w:val="both"/>
      </w:pPr>
      <w:r>
        <w:t>Two cycle gates protect the reverse-mirror addition:</w:t>
      </w:r>
    </w:p>
    <w:tbl>
      <w:tblPr>
        <w:tblStyle w:val="TableGrid"/>
        <w:tblW w:w="9067" w:type="dxa"/>
        <w:tblLook w:val="04A0" w:firstRow="1" w:lastRow="0" w:firstColumn="1" w:lastColumn="0" w:noHBand="0" w:noVBand="1"/>
      </w:tblPr>
      <w:tblGrid>
        <w:gridCol w:w="4533"/>
        <w:gridCol w:w="4534"/>
      </w:tblGrid>
      <w:tr w:rsidR="00537923" w14:paraId="408557AC" w14:textId="77777777">
        <w:trPr>
          <w:tblHeader/>
        </w:trPr>
        <w:tc>
          <w:tcPr>
            <w:tcW w:w="4533" w:type="dxa"/>
            <w:shd w:val="clear" w:color="auto" w:fill="D9E2F3"/>
            <w:vAlign w:val="center"/>
          </w:tcPr>
          <w:p w14:paraId="4E65B7D2" w14:textId="77777777" w:rsidR="00537923" w:rsidRDefault="005C5514">
            <w:pPr>
              <w:rPr>
                <w:b/>
              </w:rPr>
            </w:pPr>
            <w:r>
              <w:rPr>
                <w:b/>
              </w:rPr>
              <w:t>Gate</w:t>
            </w:r>
          </w:p>
        </w:tc>
        <w:tc>
          <w:tcPr>
            <w:tcW w:w="4534" w:type="dxa"/>
            <w:shd w:val="clear" w:color="auto" w:fill="D9E2F3"/>
            <w:vAlign w:val="center"/>
          </w:tcPr>
          <w:p w14:paraId="2F49E28F" w14:textId="77777777" w:rsidR="00537923" w:rsidRDefault="005C5514">
            <w:pPr>
              <w:rPr>
                <w:b/>
              </w:rPr>
            </w:pPr>
            <w:r>
              <w:rPr>
                <w:b/>
              </w:rPr>
              <w:t>Condition</w:t>
            </w:r>
          </w:p>
        </w:tc>
      </w:tr>
      <w:tr w:rsidR="00537923" w14:paraId="216DA92D" w14:textId="77777777">
        <w:tc>
          <w:tcPr>
            <w:tcW w:w="4533" w:type="dxa"/>
            <w:vAlign w:val="center"/>
          </w:tcPr>
          <w:p w14:paraId="56814583" w14:textId="77777777" w:rsidR="00537923" w:rsidRDefault="005C5514">
            <w:r>
              <w:t>Paired side is non-latent</w:t>
            </w:r>
          </w:p>
        </w:tc>
        <w:tc>
          <w:tcPr>
            <w:tcW w:w="4534" w:type="dxa"/>
            <w:vAlign w:val="center"/>
          </w:tcPr>
          <w:p w14:paraId="38549F3D" w14:textId="77777777" w:rsidR="00537923" w:rsidRDefault="005C5514">
            <w:r>
              <w:t>Without this, latent ↔ latent forms a two-node cycle</w:t>
            </w:r>
          </w:p>
        </w:tc>
      </w:tr>
      <w:tr w:rsidR="00537923" w14:paraId="364E601F" w14:textId="77777777">
        <w:tc>
          <w:tcPr>
            <w:tcW w:w="4533" w:type="dxa"/>
            <w:vAlign w:val="center"/>
          </w:tcPr>
          <w:p w14:paraId="06FFD7CD" w14:textId="77777777" w:rsidR="00537923" w:rsidRDefault="005C5514">
            <w:r>
              <w:t>Paired side does not already alias from us</w:t>
            </w:r>
          </w:p>
        </w:tc>
        <w:tc>
          <w:tcPr>
            <w:tcW w:w="4534" w:type="dxa"/>
            <w:vAlign w:val="center"/>
          </w:tcPr>
          <w:p w14:paraId="20068CA5" w14:textId="77777777" w:rsidR="00537923" w:rsidRDefault="005C5514">
            <w:r>
              <w:t>Without this, this side aliases from paired, paired aliases from this side → cycle</w:t>
            </w:r>
          </w:p>
        </w:tc>
      </w:tr>
    </w:tbl>
    <w:p w14:paraId="36BCFF21" w14:textId="77777777" w:rsidR="008E1B31" w:rsidRDefault="005C5514">
      <w:pPr>
        <w:spacing w:after="160" w:line="320" w:lineRule="auto"/>
        <w:jc w:val="both"/>
      </w:pPr>
      <w:r>
        <w:t xml:space="preserve">A cycle detected by the topological sort raises a </w:t>
      </w:r>
      <w:r>
        <w:rPr>
          <w:rFonts w:ascii="Consolas" w:eastAsia="Consolas" w:hAnsi="Consolas" w:cs="Consolas"/>
        </w:rPr>
        <w:t>CycleError</w:t>
      </w:r>
      <w:r>
        <w:t xml:space="preserve"> and halts the resolver. The audit row records the failure with a non-NULL </w:t>
      </w:r>
      <w:r>
        <w:rPr>
          <w:rFonts w:ascii="Consolas" w:eastAsia="Consolas" w:hAnsi="Consolas" w:cs="Consolas"/>
        </w:rPr>
        <w:t>failed_at</w:t>
      </w:r>
      <w:r>
        <w:t xml:space="preserve"> timestamp.</w:t>
      </w:r>
    </w:p>
    <w:p w14:paraId="36BCFF22" w14:textId="77777777" w:rsidR="008E1B31" w:rsidRDefault="005C5514">
      <w:pPr>
        <w:pStyle w:val="Heading2"/>
      </w:pPr>
      <w:r>
        <w:t>C.4 Healthy-run signature</w:t>
      </w:r>
    </w:p>
    <w:p w14:paraId="36BCFF23" w14:textId="77777777" w:rsidR="008E1B31" w:rsidRDefault="005C5514">
      <w:pPr>
        <w:spacing w:after="160" w:line="320" w:lineRule="auto"/>
        <w:jc w:val="both"/>
      </w:pPr>
      <w:r>
        <w:t>The dispatch counts in a healthy run on the starter scenario are stable across repeated runs:</w:t>
      </w:r>
    </w:p>
    <w:tbl>
      <w:tblPr>
        <w:tblStyle w:val="TableGrid"/>
        <w:tblW w:w="9067" w:type="dxa"/>
        <w:tblLook w:val="04A0" w:firstRow="1" w:lastRow="0" w:firstColumn="1" w:lastColumn="0" w:noHBand="0" w:noVBand="1"/>
      </w:tblPr>
      <w:tblGrid>
        <w:gridCol w:w="4533"/>
        <w:gridCol w:w="4534"/>
      </w:tblGrid>
      <w:tr w:rsidR="00537923" w14:paraId="7D943020" w14:textId="77777777">
        <w:trPr>
          <w:tblHeader/>
        </w:trPr>
        <w:tc>
          <w:tcPr>
            <w:tcW w:w="4533" w:type="dxa"/>
            <w:shd w:val="clear" w:color="auto" w:fill="D9E2F3"/>
            <w:vAlign w:val="center"/>
          </w:tcPr>
          <w:p w14:paraId="77CA585B" w14:textId="77777777" w:rsidR="00537923" w:rsidRDefault="005C5514">
            <w:pPr>
              <w:rPr>
                <w:b/>
              </w:rPr>
            </w:pPr>
            <w:r>
              <w:rPr>
                <w:b/>
              </w:rPr>
              <w:t>Rule</w:t>
            </w:r>
          </w:p>
        </w:tc>
        <w:tc>
          <w:tcPr>
            <w:tcW w:w="4534" w:type="dxa"/>
            <w:shd w:val="clear" w:color="auto" w:fill="D9E2F3"/>
            <w:vAlign w:val="center"/>
          </w:tcPr>
          <w:p w14:paraId="28AC85C2" w14:textId="77777777" w:rsidR="00537923" w:rsidRDefault="005C5514">
            <w:pPr>
              <w:rPr>
                <w:b/>
              </w:rPr>
            </w:pPr>
            <w:r>
              <w:rPr>
                <w:b/>
              </w:rPr>
              <w:t>Expected count</w:t>
            </w:r>
          </w:p>
        </w:tc>
      </w:tr>
      <w:tr w:rsidR="00537923" w14:paraId="2B4B523D" w14:textId="77777777">
        <w:tc>
          <w:tcPr>
            <w:tcW w:w="4533" w:type="dxa"/>
            <w:vAlign w:val="center"/>
          </w:tcPr>
          <w:p w14:paraId="390734DC" w14:textId="77777777" w:rsidR="00537923" w:rsidRDefault="005C5514">
            <w:r>
              <w:t>observed</w:t>
            </w:r>
          </w:p>
        </w:tc>
        <w:tc>
          <w:tcPr>
            <w:tcW w:w="4534" w:type="dxa"/>
            <w:vAlign w:val="center"/>
          </w:tcPr>
          <w:p w14:paraId="6483B1DD" w14:textId="77777777" w:rsidR="00537923" w:rsidRDefault="005C5514">
            <w:r>
              <w:t>80</w:t>
            </w:r>
          </w:p>
        </w:tc>
      </w:tr>
      <w:tr w:rsidR="00537923" w14:paraId="373168B6" w14:textId="77777777">
        <w:tc>
          <w:tcPr>
            <w:tcW w:w="4533" w:type="dxa"/>
            <w:vAlign w:val="center"/>
          </w:tcPr>
          <w:p w14:paraId="039EB7AB" w14:textId="77777777" w:rsidR="00537923" w:rsidRDefault="005C5514">
            <w:r>
              <w:t>zero</w:t>
            </w:r>
          </w:p>
        </w:tc>
        <w:tc>
          <w:tcPr>
            <w:tcW w:w="4534" w:type="dxa"/>
            <w:vAlign w:val="center"/>
          </w:tcPr>
          <w:p w14:paraId="7AF8D5DD" w14:textId="77777777" w:rsidR="00537923" w:rsidRDefault="005C5514">
            <w:r>
              <w:t>628</w:t>
            </w:r>
          </w:p>
        </w:tc>
      </w:tr>
      <w:tr w:rsidR="00537923" w14:paraId="096C8D72" w14:textId="77777777">
        <w:tc>
          <w:tcPr>
            <w:tcW w:w="4533" w:type="dxa"/>
            <w:vAlign w:val="center"/>
          </w:tcPr>
          <w:p w14:paraId="7D8AD778" w14:textId="77777777" w:rsidR="00537923" w:rsidRDefault="005C5514">
            <w:r>
              <w:t>latent</w:t>
            </w:r>
          </w:p>
        </w:tc>
        <w:tc>
          <w:tcPr>
            <w:tcW w:w="4534" w:type="dxa"/>
            <w:vAlign w:val="center"/>
          </w:tcPr>
          <w:p w14:paraId="52791020" w14:textId="77777777" w:rsidR="00537923" w:rsidRDefault="005C5514">
            <w:r>
              <w:t>652</w:t>
            </w:r>
          </w:p>
        </w:tc>
      </w:tr>
      <w:tr w:rsidR="00537923" w14:paraId="4589BFCF" w14:textId="77777777">
        <w:tc>
          <w:tcPr>
            <w:tcW w:w="4533" w:type="dxa"/>
            <w:vAlign w:val="center"/>
          </w:tcPr>
          <w:p w14:paraId="247AFE85" w14:textId="77777777" w:rsidR="00537923" w:rsidRDefault="005C5514">
            <w:r>
              <w:t>alias</w:t>
            </w:r>
          </w:p>
        </w:tc>
        <w:tc>
          <w:tcPr>
            <w:tcW w:w="4534" w:type="dxa"/>
            <w:vAlign w:val="center"/>
          </w:tcPr>
          <w:p w14:paraId="1D82FF52" w14:textId="77777777" w:rsidR="00537923" w:rsidRDefault="005C5514">
            <w:r>
              <w:t>442</w:t>
            </w:r>
          </w:p>
        </w:tc>
      </w:tr>
      <w:tr w:rsidR="00537923" w14:paraId="6B9E624A" w14:textId="77777777">
        <w:tc>
          <w:tcPr>
            <w:tcW w:w="4533" w:type="dxa"/>
            <w:vAlign w:val="center"/>
          </w:tcPr>
          <w:p w14:paraId="50904BEE" w14:textId="77777777" w:rsidR="00537923" w:rsidRDefault="005C5514">
            <w:r>
              <w:t>reverse-mirror</w:t>
            </w:r>
          </w:p>
        </w:tc>
        <w:tc>
          <w:tcPr>
            <w:tcW w:w="4534" w:type="dxa"/>
            <w:vAlign w:val="center"/>
          </w:tcPr>
          <w:p w14:paraId="4ABDBA3C" w14:textId="77777777" w:rsidR="00537923" w:rsidRDefault="005C5514">
            <w:r>
              <w:t>15</w:t>
            </w:r>
          </w:p>
        </w:tc>
      </w:tr>
      <w:tr w:rsidR="00537923" w14:paraId="24EEEFEA" w14:textId="77777777">
        <w:tc>
          <w:tcPr>
            <w:tcW w:w="4533" w:type="dxa"/>
            <w:vAlign w:val="center"/>
          </w:tcPr>
          <w:p w14:paraId="362DB090" w14:textId="77777777" w:rsidR="00537923" w:rsidRDefault="005C5514">
            <w:r>
              <w:t>arithmetic</w:t>
            </w:r>
          </w:p>
        </w:tc>
        <w:tc>
          <w:tcPr>
            <w:tcW w:w="4534" w:type="dxa"/>
            <w:vAlign w:val="center"/>
          </w:tcPr>
          <w:p w14:paraId="11DB4B93" w14:textId="77777777" w:rsidR="00537923" w:rsidRDefault="005C5514">
            <w:r>
              <w:t>8</w:t>
            </w:r>
          </w:p>
        </w:tc>
      </w:tr>
      <w:tr w:rsidR="00537923" w14:paraId="0BDD3A08" w14:textId="77777777">
        <w:tc>
          <w:tcPr>
            <w:tcW w:w="4533" w:type="dxa"/>
            <w:vAlign w:val="center"/>
          </w:tcPr>
          <w:p w14:paraId="7D76AF9B" w14:textId="77777777" w:rsidR="00537923" w:rsidRDefault="005C5514">
            <w:r>
              <w:t>sum</w:t>
            </w:r>
          </w:p>
        </w:tc>
        <w:tc>
          <w:tcPr>
            <w:tcW w:w="4534" w:type="dxa"/>
            <w:vAlign w:val="center"/>
          </w:tcPr>
          <w:p w14:paraId="4D3BD813" w14:textId="77777777" w:rsidR="00537923" w:rsidRDefault="005C5514">
            <w:r>
              <w:t>5</w:t>
            </w:r>
          </w:p>
        </w:tc>
      </w:tr>
      <w:tr w:rsidR="00537923" w14:paraId="1E4D6AAE" w14:textId="77777777">
        <w:tc>
          <w:tcPr>
            <w:tcW w:w="4533" w:type="dxa"/>
            <w:vAlign w:val="center"/>
          </w:tcPr>
          <w:p w14:paraId="4107F250" w14:textId="77777777" w:rsidR="00537923" w:rsidRDefault="005C5514">
            <w:r>
              <w:t>closure</w:t>
            </w:r>
          </w:p>
        </w:tc>
        <w:tc>
          <w:tcPr>
            <w:tcW w:w="4534" w:type="dxa"/>
            <w:vAlign w:val="center"/>
          </w:tcPr>
          <w:p w14:paraId="68E7C3BF" w14:textId="77777777" w:rsidR="00537923" w:rsidRDefault="005C5514">
            <w:r>
              <w:t>0</w:t>
            </w:r>
          </w:p>
        </w:tc>
      </w:tr>
      <w:tr w:rsidR="00537923" w14:paraId="3865B44F" w14:textId="77777777">
        <w:tc>
          <w:tcPr>
            <w:tcW w:w="4533" w:type="dxa"/>
            <w:vAlign w:val="center"/>
          </w:tcPr>
          <w:p w14:paraId="1B024518" w14:textId="77777777" w:rsidR="00537923" w:rsidRDefault="005C5514">
            <w:r>
              <w:t>unresolved</w:t>
            </w:r>
          </w:p>
        </w:tc>
        <w:tc>
          <w:tcPr>
            <w:tcW w:w="4534" w:type="dxa"/>
            <w:vAlign w:val="center"/>
          </w:tcPr>
          <w:p w14:paraId="41215FD1" w14:textId="77777777" w:rsidR="00537923" w:rsidRDefault="005C5514">
            <w:r>
              <w:t>0</w:t>
            </w:r>
          </w:p>
        </w:tc>
      </w:tr>
      <w:tr w:rsidR="00537923" w14:paraId="104DF470" w14:textId="77777777">
        <w:tc>
          <w:tcPr>
            <w:tcW w:w="4533" w:type="dxa"/>
            <w:vAlign w:val="center"/>
          </w:tcPr>
          <w:p w14:paraId="30C31D4E" w14:textId="77777777" w:rsidR="00537923" w:rsidRDefault="005C5514">
            <w:r>
              <w:t>Total</w:t>
            </w:r>
          </w:p>
        </w:tc>
        <w:tc>
          <w:tcPr>
            <w:tcW w:w="4534" w:type="dxa"/>
            <w:vAlign w:val="center"/>
          </w:tcPr>
          <w:p w14:paraId="484814AC" w14:textId="77777777" w:rsidR="00537923" w:rsidRDefault="005C5514">
            <w:r>
              <w:t>1,870</w:t>
            </w:r>
          </w:p>
        </w:tc>
      </w:tr>
    </w:tbl>
    <w:p w14:paraId="36BCFF30" w14:textId="77777777" w:rsidR="008E1B31" w:rsidRDefault="005C5514">
      <w:pPr>
        <w:spacing w:after="160" w:line="320" w:lineRule="auto"/>
        <w:jc w:val="both"/>
      </w:pPr>
      <w:r>
        <w:lastRenderedPageBreak/>
        <w:t xml:space="preserve">Deviations from this signature in any rule other than </w:t>
      </w:r>
      <w:r>
        <w:rPr>
          <w:rFonts w:ascii="Consolas" w:eastAsia="Consolas" w:hAnsi="Consolas" w:cs="Consolas"/>
        </w:rPr>
        <w:t>observed</w:t>
      </w:r>
      <w:r>
        <w:t xml:space="preserve"> (which scales linearly with the count of bound time series) indicate a structural change. The dispatch counts are recorded in </w:t>
      </w:r>
      <w:r>
        <w:rPr>
          <w:rFonts w:ascii="Consolas" w:eastAsia="Consolas" w:hAnsi="Consolas" w:cs="Consolas"/>
        </w:rPr>
        <w:t>scenario_resolver_runs.dispatch_counts</w:t>
      </w:r>
      <w:r>
        <w:t xml:space="preserve"> as JSONB and can be diffed across runs with standard SQL.</w:t>
      </w:r>
    </w:p>
    <w:p w14:paraId="36BCFF31" w14:textId="77777777" w:rsidR="008E1B31" w:rsidRDefault="005C5514">
      <w:pPr>
        <w:pStyle w:val="Heading1"/>
        <w:pageBreakBefore/>
      </w:pPr>
      <w:r>
        <w:lastRenderedPageBreak/>
        <w:t>Annex D: Variable Catalogue and Starter Scenario Inventory</w:t>
      </w:r>
    </w:p>
    <w:p w14:paraId="36BCFF32" w14:textId="77777777" w:rsidR="008E1B31" w:rsidRDefault="005C5514">
      <w:pPr>
        <w:spacing w:after="160" w:line="320" w:lineRule="auto"/>
        <w:jc w:val="both"/>
      </w:pPr>
      <w:r>
        <w:t xml:space="preserve">This annex provides a structured inventory of the variables in the starter scenario </w:t>
      </w:r>
      <w:r>
        <w:rPr>
          <w:rFonts w:ascii="Consolas" w:eastAsia="Consolas" w:hAnsi="Consolas" w:cs="Consolas"/>
        </w:rPr>
        <w:t>starter_us_crude_2015_2025</w:t>
      </w:r>
      <w:r>
        <w:t>, intended as a reference for readers working with the implementation. The annex is not exhaustive — the full assignment set carries 1,870 variables — but it is comprehensive enough to give a clear picture of how the framework's principles materialise in the actual data model.</w:t>
      </w:r>
    </w:p>
    <w:p w14:paraId="36BCFF33" w14:textId="77777777" w:rsidR="008E1B31" w:rsidRDefault="005C5514">
      <w:pPr>
        <w:pStyle w:val="Heading2"/>
      </w:pPr>
      <w:r>
        <w:t>D.1 Node inventory by class</w:t>
      </w:r>
    </w:p>
    <w:tbl>
      <w:tblPr>
        <w:tblStyle w:val="TableGrid"/>
        <w:tblW w:w="9067" w:type="dxa"/>
        <w:tblLook w:val="04A0" w:firstRow="1" w:lastRow="0" w:firstColumn="1" w:lastColumn="0" w:noHBand="0" w:noVBand="1"/>
      </w:tblPr>
      <w:tblGrid>
        <w:gridCol w:w="2934"/>
        <w:gridCol w:w="2895"/>
        <w:gridCol w:w="3238"/>
      </w:tblGrid>
      <w:tr w:rsidR="00537923" w14:paraId="53BDFBCB" w14:textId="77777777">
        <w:trPr>
          <w:tblHeader/>
        </w:trPr>
        <w:tc>
          <w:tcPr>
            <w:tcW w:w="3022" w:type="dxa"/>
            <w:shd w:val="clear" w:color="auto" w:fill="D9E2F3"/>
            <w:vAlign w:val="center"/>
          </w:tcPr>
          <w:p w14:paraId="19A71A06" w14:textId="77777777" w:rsidR="00537923" w:rsidRDefault="005C5514">
            <w:pPr>
              <w:rPr>
                <w:b/>
              </w:rPr>
            </w:pPr>
            <w:r>
              <w:rPr>
                <w:b/>
              </w:rPr>
              <w:t>Class</w:t>
            </w:r>
          </w:p>
        </w:tc>
        <w:tc>
          <w:tcPr>
            <w:tcW w:w="3022" w:type="dxa"/>
            <w:shd w:val="clear" w:color="auto" w:fill="D9E2F3"/>
            <w:vAlign w:val="center"/>
          </w:tcPr>
          <w:p w14:paraId="3A9E0789" w14:textId="77777777" w:rsidR="00537923" w:rsidRDefault="005C5514">
            <w:pPr>
              <w:rPr>
                <w:b/>
              </w:rPr>
            </w:pPr>
            <w:r>
              <w:rPr>
                <w:b/>
              </w:rPr>
              <w:t>Count</w:t>
            </w:r>
          </w:p>
        </w:tc>
        <w:tc>
          <w:tcPr>
            <w:tcW w:w="3023" w:type="dxa"/>
            <w:shd w:val="clear" w:color="auto" w:fill="D9E2F3"/>
            <w:vAlign w:val="center"/>
          </w:tcPr>
          <w:p w14:paraId="5B93E4D1" w14:textId="77777777" w:rsidR="00537923" w:rsidRDefault="005C5514">
            <w:pPr>
              <w:rPr>
                <w:b/>
              </w:rPr>
            </w:pPr>
            <w:r>
              <w:rPr>
                <w:b/>
              </w:rPr>
              <w:t>Examples</w:t>
            </w:r>
          </w:p>
        </w:tc>
      </w:tr>
      <w:tr w:rsidR="00537923" w14:paraId="4B8D6328" w14:textId="77777777">
        <w:tc>
          <w:tcPr>
            <w:tcW w:w="3022" w:type="dxa"/>
            <w:vAlign w:val="center"/>
          </w:tcPr>
          <w:p w14:paraId="3A717ABB" w14:textId="77777777" w:rsidR="00537923" w:rsidRDefault="005C5514">
            <w:r>
              <w:t>Production (physical)</w:t>
            </w:r>
          </w:p>
        </w:tc>
        <w:tc>
          <w:tcPr>
            <w:tcW w:w="3022" w:type="dxa"/>
            <w:vAlign w:val="center"/>
          </w:tcPr>
          <w:p w14:paraId="2E7E2590" w14:textId="77777777" w:rsidR="00537923" w:rsidRDefault="005C5514">
            <w:r>
              <w:t>19</w:t>
            </w:r>
          </w:p>
        </w:tc>
        <w:tc>
          <w:tcPr>
            <w:tcW w:w="3023" w:type="dxa"/>
            <w:vAlign w:val="center"/>
          </w:tcPr>
          <w:p w14:paraId="3873BFAF" w14:textId="77777777" w:rsidR="00537923" w:rsidRDefault="005C5514">
            <w:r>
              <w:t>bakken_nd, bakken_mt, permian_tx, permian_nm, eagle_ford_tx, oklahoma_conventional, california_conventional, wyoming, padd1_other through padd5_other, gulf_of_america</w:t>
            </w:r>
          </w:p>
        </w:tc>
      </w:tr>
      <w:tr w:rsidR="00537923" w14:paraId="043E6B69" w14:textId="77777777">
        <w:tc>
          <w:tcPr>
            <w:tcW w:w="3022" w:type="dxa"/>
            <w:vAlign w:val="center"/>
          </w:tcPr>
          <w:p w14:paraId="0A21D36C" w14:textId="77777777" w:rsidR="00537923" w:rsidRDefault="005C5514">
            <w:r>
              <w:t>Refining (physical)</w:t>
            </w:r>
          </w:p>
        </w:tc>
        <w:tc>
          <w:tcPr>
            <w:tcW w:w="3022" w:type="dxa"/>
            <w:vAlign w:val="center"/>
          </w:tcPr>
          <w:p w14:paraId="4EB87A33" w14:textId="77777777" w:rsidR="00537923" w:rsidRDefault="005C5514">
            <w:r>
              <w:t>24 (active; 115 total slots)</w:t>
            </w:r>
          </w:p>
        </w:tc>
        <w:tc>
          <w:tcPr>
            <w:tcW w:w="3023" w:type="dxa"/>
            <w:vAlign w:val="center"/>
          </w:tcPr>
          <w:p w14:paraId="1634D790" w14:textId="77777777" w:rsidR="00537923" w:rsidRDefault="005C5514">
            <w:r>
              <w:t>padd1_refinery_agg, padd2_refinery_agg through padd5_refinery_agg, 19 named refineries (Motiva Port Arthur, ExxonMobil Beaumont, Marathon Galveston Bay, BP Whiting, Marathon Detroit, Valero refineries, and others)</w:t>
            </w:r>
          </w:p>
        </w:tc>
      </w:tr>
      <w:tr w:rsidR="00537923" w14:paraId="5982FB0C" w14:textId="77777777">
        <w:tc>
          <w:tcPr>
            <w:tcW w:w="3022" w:type="dxa"/>
            <w:vAlign w:val="center"/>
          </w:tcPr>
          <w:p w14:paraId="69AB422E" w14:textId="77777777" w:rsidR="00537923" w:rsidRDefault="005C5514">
            <w:r>
              <w:t>Storage (physical)</w:t>
            </w:r>
          </w:p>
        </w:tc>
        <w:tc>
          <w:tcPr>
            <w:tcW w:w="3022" w:type="dxa"/>
            <w:vAlign w:val="center"/>
          </w:tcPr>
          <w:p w14:paraId="6A16D0E6" w14:textId="77777777" w:rsidR="00537923" w:rsidRDefault="005C5514">
            <w:r>
              <w:t>10</w:t>
            </w:r>
          </w:p>
        </w:tc>
        <w:tc>
          <w:tcPr>
            <w:tcW w:w="3023" w:type="dxa"/>
            <w:vAlign w:val="center"/>
          </w:tcPr>
          <w:p w14:paraId="085900DE" w14:textId="77777777" w:rsidR="00537923" w:rsidRDefault="005C5514">
            <w:r>
              <w:t>cushing_hub (with three operator sub-terminals: enterprise_cushing, plains_cushing, magellan_cushing), patoka_hub, houston_storage, st_james_terminal, loop_terminal, others</w:t>
            </w:r>
          </w:p>
        </w:tc>
      </w:tr>
      <w:tr w:rsidR="00537923" w14:paraId="7C969036" w14:textId="77777777">
        <w:tc>
          <w:tcPr>
            <w:tcW w:w="3022" w:type="dxa"/>
            <w:vAlign w:val="center"/>
          </w:tcPr>
          <w:p w14:paraId="10E5D042" w14:textId="77777777" w:rsidR="00537923" w:rsidRDefault="005C5514">
            <w:r>
              <w:t>SPR (physical)</w:t>
            </w:r>
          </w:p>
        </w:tc>
        <w:tc>
          <w:tcPr>
            <w:tcW w:w="3022" w:type="dxa"/>
            <w:vAlign w:val="center"/>
          </w:tcPr>
          <w:p w14:paraId="5B731FBC" w14:textId="77777777" w:rsidR="00537923" w:rsidRDefault="005C5514">
            <w:r>
              <w:t>4</w:t>
            </w:r>
          </w:p>
        </w:tc>
        <w:tc>
          <w:tcPr>
            <w:tcW w:w="3023" w:type="dxa"/>
            <w:vAlign w:val="center"/>
          </w:tcPr>
          <w:p w14:paraId="6A954C21" w14:textId="77777777" w:rsidR="00537923" w:rsidRDefault="005C5514">
            <w:r>
              <w:t>bayou_choctaw, big_hill, bryan_mound, west_hackberry</w:t>
            </w:r>
          </w:p>
        </w:tc>
      </w:tr>
      <w:tr w:rsidR="00537923" w14:paraId="02513C8F" w14:textId="77777777">
        <w:tc>
          <w:tcPr>
            <w:tcW w:w="3022" w:type="dxa"/>
            <w:vAlign w:val="center"/>
          </w:tcPr>
          <w:p w14:paraId="37275BFB" w14:textId="77777777" w:rsidR="00537923" w:rsidRDefault="005C5514">
            <w:r>
              <w:t>Pipeline (physical)</w:t>
            </w:r>
          </w:p>
        </w:tc>
        <w:tc>
          <w:tcPr>
            <w:tcW w:w="3022" w:type="dxa"/>
            <w:vAlign w:val="center"/>
          </w:tcPr>
          <w:p w14:paraId="7C008977" w14:textId="77777777" w:rsidR="00537923" w:rsidRDefault="005C5514">
            <w:r>
              <w:t>37</w:t>
            </w:r>
          </w:p>
        </w:tc>
        <w:tc>
          <w:tcPr>
            <w:tcW w:w="3023" w:type="dxa"/>
            <w:vAlign w:val="center"/>
          </w:tcPr>
          <w:p w14:paraId="3BA69FE7" w14:textId="77777777" w:rsidR="00537923" w:rsidRDefault="005C5514">
            <w:r>
              <w:t>seaway_south, seaway_north, capline_south, capline_north, keystone_xl, marketlink, diamond, pipe_bakken_xstate, 12 inter_padd__to__agg aggregates, and others</w:t>
            </w:r>
          </w:p>
        </w:tc>
      </w:tr>
      <w:tr w:rsidR="00537923" w14:paraId="3F0FC4BF" w14:textId="77777777">
        <w:tc>
          <w:tcPr>
            <w:tcW w:w="3022" w:type="dxa"/>
            <w:vAlign w:val="center"/>
          </w:tcPr>
          <w:p w14:paraId="018CF30C" w14:textId="77777777" w:rsidR="00537923" w:rsidRDefault="005C5514">
            <w:r>
              <w:t>Import terminal (physical)</w:t>
            </w:r>
          </w:p>
        </w:tc>
        <w:tc>
          <w:tcPr>
            <w:tcW w:w="3022" w:type="dxa"/>
            <w:vAlign w:val="center"/>
          </w:tcPr>
          <w:p w14:paraId="1754D693" w14:textId="77777777" w:rsidR="00537923" w:rsidRDefault="005C5514">
            <w:r>
              <w:t>8</w:t>
            </w:r>
          </w:p>
        </w:tc>
        <w:tc>
          <w:tcPr>
            <w:tcW w:w="3023" w:type="dxa"/>
            <w:vAlign w:val="center"/>
          </w:tcPr>
          <w:p w14:paraId="2CB88D41" w14:textId="77777777" w:rsidR="00537923" w:rsidRDefault="005C5514">
            <w:r>
              <w:t>clearbrook, padd1_imports_agg through padd5_imports_agg, padd1_canadian_imports_agg, padd2_canadian_imports_agg, padd2_xstate</w:t>
            </w:r>
          </w:p>
        </w:tc>
      </w:tr>
      <w:tr w:rsidR="00537923" w14:paraId="76C3CA0C" w14:textId="77777777">
        <w:tc>
          <w:tcPr>
            <w:tcW w:w="3022" w:type="dxa"/>
            <w:vAlign w:val="center"/>
          </w:tcPr>
          <w:p w14:paraId="5AFBA009" w14:textId="77777777" w:rsidR="00537923" w:rsidRDefault="005C5514">
            <w:r>
              <w:lastRenderedPageBreak/>
              <w:t>Export terminal (physical)</w:t>
            </w:r>
          </w:p>
        </w:tc>
        <w:tc>
          <w:tcPr>
            <w:tcW w:w="3022" w:type="dxa"/>
            <w:vAlign w:val="center"/>
          </w:tcPr>
          <w:p w14:paraId="02377282" w14:textId="77777777" w:rsidR="00537923" w:rsidRDefault="005C5514">
            <w:r>
              <w:t>12</w:t>
            </w:r>
          </w:p>
        </w:tc>
        <w:tc>
          <w:tcPr>
            <w:tcW w:w="3023" w:type="dxa"/>
            <w:vAlign w:val="center"/>
          </w:tcPr>
          <w:p w14:paraId="243094A8" w14:textId="77777777" w:rsidR="00537923" w:rsidRDefault="005C5514">
            <w:r>
              <w:t>ingleside, houston_exports_agg with three sub-terminals (enterprise_houston, magellan_houston, moda_midstream_houston), nederland, loop_exports, st_james_exports, padd1 through padd5 export aggregates</w:t>
            </w:r>
          </w:p>
        </w:tc>
      </w:tr>
      <w:tr w:rsidR="00537923" w14:paraId="185468BB" w14:textId="77777777">
        <w:tc>
          <w:tcPr>
            <w:tcW w:w="3022" w:type="dxa"/>
            <w:vAlign w:val="center"/>
          </w:tcPr>
          <w:p w14:paraId="502B171C" w14:textId="77777777" w:rsidR="00537923" w:rsidRDefault="005C5514">
            <w:r>
              <w:t>Gathering (physical)</w:t>
            </w:r>
          </w:p>
        </w:tc>
        <w:tc>
          <w:tcPr>
            <w:tcW w:w="3022" w:type="dxa"/>
            <w:vAlign w:val="center"/>
          </w:tcPr>
          <w:p w14:paraId="2022649E" w14:textId="77777777" w:rsidR="00537923" w:rsidRDefault="005C5514">
            <w:r>
              <w:t>6</w:t>
            </w:r>
          </w:p>
        </w:tc>
        <w:tc>
          <w:tcPr>
            <w:tcW w:w="3023" w:type="dxa"/>
            <w:vAlign w:val="center"/>
          </w:tcPr>
          <w:p w14:paraId="627AB3E6" w14:textId="77777777" w:rsidR="00537923" w:rsidRDefault="005C5514">
            <w:r>
              <w:t>ans, bakken_nd_gathering, bakken_mt_gathering, eagle_ford_gathering, permian_nm_gathering, permian_tx_gathering</w:t>
            </w:r>
          </w:p>
        </w:tc>
      </w:tr>
      <w:tr w:rsidR="00537923" w14:paraId="48DB6277" w14:textId="77777777">
        <w:tc>
          <w:tcPr>
            <w:tcW w:w="3022" w:type="dxa"/>
            <w:vAlign w:val="center"/>
          </w:tcPr>
          <w:p w14:paraId="7942902B" w14:textId="77777777" w:rsidR="00537923" w:rsidRDefault="005C5514">
            <w:r>
              <w:t>Origin terminal (physical)</w:t>
            </w:r>
          </w:p>
        </w:tc>
        <w:tc>
          <w:tcPr>
            <w:tcW w:w="3022" w:type="dxa"/>
            <w:vAlign w:val="center"/>
          </w:tcPr>
          <w:p w14:paraId="09A1B158" w14:textId="77777777" w:rsidR="00537923" w:rsidRDefault="005C5514">
            <w:r>
              <w:t>6</w:t>
            </w:r>
          </w:p>
        </w:tc>
        <w:tc>
          <w:tcPr>
            <w:tcW w:w="3023" w:type="dxa"/>
            <w:vAlign w:val="center"/>
          </w:tcPr>
          <w:p w14:paraId="1B1D29DA" w14:textId="77777777" w:rsidR="00537923" w:rsidRDefault="005C5514">
            <w:r>
              <w:t>midland, wink, crane, johnsons_corner, three_rivers, valdez</w:t>
            </w:r>
          </w:p>
        </w:tc>
      </w:tr>
      <w:tr w:rsidR="00537923" w14:paraId="634A86C6" w14:textId="77777777">
        <w:tc>
          <w:tcPr>
            <w:tcW w:w="3022" w:type="dxa"/>
            <w:vAlign w:val="center"/>
          </w:tcPr>
          <w:p w14:paraId="235D5A01" w14:textId="77777777" w:rsidR="00537923" w:rsidRDefault="005C5514">
            <w:r>
              <w:t>Region view (abstract)</w:t>
            </w:r>
          </w:p>
        </w:tc>
        <w:tc>
          <w:tcPr>
            <w:tcW w:w="3022" w:type="dxa"/>
            <w:vAlign w:val="center"/>
          </w:tcPr>
          <w:p w14:paraId="4F52ABFC" w14:textId="77777777" w:rsidR="00537923" w:rsidRDefault="005C5514">
            <w:r>
              <w:t>6</w:t>
            </w:r>
          </w:p>
        </w:tc>
        <w:tc>
          <w:tcPr>
            <w:tcW w:w="3023" w:type="dxa"/>
            <w:vAlign w:val="center"/>
          </w:tcPr>
          <w:p w14:paraId="319CB14C" w14:textId="77777777" w:rsidR="00537923" w:rsidRDefault="005C5514">
            <w:r>
              <w:t>usa_view, padd1_view through padd5_view</w:t>
            </w:r>
          </w:p>
        </w:tc>
      </w:tr>
      <w:tr w:rsidR="00537923" w14:paraId="38FA6281" w14:textId="77777777">
        <w:tc>
          <w:tcPr>
            <w:tcW w:w="3022" w:type="dxa"/>
            <w:vAlign w:val="center"/>
          </w:tcPr>
          <w:p w14:paraId="3D2155C9" w14:textId="77777777" w:rsidR="00537923" w:rsidRDefault="005C5514">
            <w:r>
              <w:t>Refining district view (abstract)</w:t>
            </w:r>
          </w:p>
        </w:tc>
        <w:tc>
          <w:tcPr>
            <w:tcW w:w="3022" w:type="dxa"/>
            <w:vAlign w:val="center"/>
          </w:tcPr>
          <w:p w14:paraId="42E4E386" w14:textId="77777777" w:rsidR="00537923" w:rsidRDefault="005C5514">
            <w:r>
              <w:t>10</w:t>
            </w:r>
          </w:p>
        </w:tc>
        <w:tc>
          <w:tcPr>
            <w:tcW w:w="3023" w:type="dxa"/>
            <w:vAlign w:val="center"/>
          </w:tcPr>
          <w:p w14:paraId="61F96DE9" w14:textId="77777777" w:rsidR="00537923" w:rsidRDefault="005C5514">
            <w:r>
              <w:t>refining_district_1A, 1B, 2A, 2B, 2C, 3A, 3B, 3C, 4_west, 5_combined</w:t>
            </w:r>
          </w:p>
        </w:tc>
      </w:tr>
      <w:tr w:rsidR="00537923" w14:paraId="29EFE2BB" w14:textId="77777777">
        <w:tc>
          <w:tcPr>
            <w:tcW w:w="3022" w:type="dxa"/>
            <w:vAlign w:val="center"/>
          </w:tcPr>
          <w:p w14:paraId="78A1C70D" w14:textId="77777777" w:rsidR="00537923" w:rsidRDefault="005C5514">
            <w:r>
              <w:t>State view (abstract)</w:t>
            </w:r>
          </w:p>
        </w:tc>
        <w:tc>
          <w:tcPr>
            <w:tcW w:w="3022" w:type="dxa"/>
            <w:vAlign w:val="center"/>
          </w:tcPr>
          <w:p w14:paraId="715E35E8" w14:textId="77777777" w:rsidR="00537923" w:rsidRDefault="005C5514">
            <w:r>
              <w:t>2</w:t>
            </w:r>
          </w:p>
        </w:tc>
        <w:tc>
          <w:tcPr>
            <w:tcW w:w="3023" w:type="dxa"/>
            <w:vAlign w:val="center"/>
          </w:tcPr>
          <w:p w14:paraId="4646EC9B" w14:textId="77777777" w:rsidR="00537923" w:rsidRDefault="005C5514">
            <w:r>
              <w:t>texas_state_view, montana_state_view</w:t>
            </w:r>
          </w:p>
        </w:tc>
      </w:tr>
      <w:tr w:rsidR="00537923" w14:paraId="6D700B1A" w14:textId="77777777">
        <w:tc>
          <w:tcPr>
            <w:tcW w:w="3022" w:type="dxa"/>
            <w:vAlign w:val="center"/>
          </w:tcPr>
          <w:p w14:paraId="72D9F367" w14:textId="77777777" w:rsidR="00537923" w:rsidRDefault="005C5514">
            <w:r>
              <w:t>Observational aggregate (abstract)</w:t>
            </w:r>
          </w:p>
        </w:tc>
        <w:tc>
          <w:tcPr>
            <w:tcW w:w="3022" w:type="dxa"/>
            <w:vAlign w:val="center"/>
          </w:tcPr>
          <w:p w14:paraId="2E5B9D98" w14:textId="77777777" w:rsidR="00537923" w:rsidRDefault="005C5514">
            <w:r>
              <w:t>4</w:t>
            </w:r>
          </w:p>
        </w:tc>
        <w:tc>
          <w:tcPr>
            <w:tcW w:w="3023" w:type="dxa"/>
            <w:vAlign w:val="center"/>
          </w:tcPr>
          <w:p w14:paraId="0BB9AEB5" w14:textId="77777777" w:rsidR="00537923" w:rsidRDefault="005C5514">
            <w:r>
              <w:t>spr_total, permian_aggregate, bakken_aggregate, eagle_ford_aggregate</w:t>
            </w:r>
          </w:p>
        </w:tc>
      </w:tr>
      <w:tr w:rsidR="00537923" w14:paraId="6D60E6D9" w14:textId="77777777">
        <w:tc>
          <w:tcPr>
            <w:tcW w:w="3022" w:type="dxa"/>
            <w:vAlign w:val="center"/>
          </w:tcPr>
          <w:p w14:paraId="7E66CADE" w14:textId="77777777" w:rsidR="00537923" w:rsidRDefault="005C5514">
            <w:r>
              <w:t>USA subtotal view (abstract)</w:t>
            </w:r>
          </w:p>
        </w:tc>
        <w:tc>
          <w:tcPr>
            <w:tcW w:w="3022" w:type="dxa"/>
            <w:vAlign w:val="center"/>
          </w:tcPr>
          <w:p w14:paraId="4881B28A" w14:textId="77777777" w:rsidR="00537923" w:rsidRDefault="005C5514">
            <w:r>
              <w:t>1</w:t>
            </w:r>
          </w:p>
        </w:tc>
        <w:tc>
          <w:tcPr>
            <w:tcW w:w="3023" w:type="dxa"/>
            <w:vAlign w:val="center"/>
          </w:tcPr>
          <w:p w14:paraId="32AB36C5" w14:textId="77777777" w:rsidR="00537923" w:rsidRDefault="005C5514">
            <w:r>
              <w:t>usa_lower48_excl_gom_view</w:t>
            </w:r>
          </w:p>
        </w:tc>
      </w:tr>
      <w:tr w:rsidR="00537923" w14:paraId="36A1386E" w14:textId="77777777">
        <w:tc>
          <w:tcPr>
            <w:tcW w:w="3022" w:type="dxa"/>
            <w:vAlign w:val="center"/>
          </w:tcPr>
          <w:p w14:paraId="39851762" w14:textId="77777777" w:rsidR="00537923" w:rsidRDefault="005C5514">
            <w:r>
              <w:t>Boundary</w:t>
            </w:r>
          </w:p>
        </w:tc>
        <w:tc>
          <w:tcPr>
            <w:tcW w:w="3022" w:type="dxa"/>
            <w:vAlign w:val="center"/>
          </w:tcPr>
          <w:p w14:paraId="41DECA84" w14:textId="77777777" w:rsidR="00537923" w:rsidRDefault="005C5514">
            <w:r>
              <w:t>4</w:t>
            </w:r>
          </w:p>
        </w:tc>
        <w:tc>
          <w:tcPr>
            <w:tcW w:w="3023" w:type="dxa"/>
            <w:vAlign w:val="center"/>
          </w:tcPr>
          <w:p w14:paraId="1B0C0179" w14:textId="77777777" w:rsidR="00537923" w:rsidRDefault="005C5514">
            <w:r>
              <w:t>foreign_supply, canadian_oil_sands, foreign_export_destination, spr_total (also boundary-functional)</w:t>
            </w:r>
          </w:p>
        </w:tc>
      </w:tr>
      <w:tr w:rsidR="00537923" w14:paraId="14DC71D7" w14:textId="77777777">
        <w:tc>
          <w:tcPr>
            <w:tcW w:w="3022" w:type="dxa"/>
            <w:vAlign w:val="center"/>
          </w:tcPr>
          <w:p w14:paraId="61FE93A6" w14:textId="77777777" w:rsidR="00537923" w:rsidRDefault="005C5514">
            <w:r>
              <w:t>Total</w:t>
            </w:r>
          </w:p>
        </w:tc>
        <w:tc>
          <w:tcPr>
            <w:tcW w:w="3022" w:type="dxa"/>
            <w:vAlign w:val="center"/>
          </w:tcPr>
          <w:p w14:paraId="7E733047" w14:textId="77777777" w:rsidR="00537923" w:rsidRDefault="005C5514">
            <w:r>
              <w:t>240</w:t>
            </w:r>
          </w:p>
        </w:tc>
        <w:tc>
          <w:tcPr>
            <w:tcW w:w="3023" w:type="dxa"/>
            <w:vAlign w:val="center"/>
          </w:tcPr>
          <w:p w14:paraId="240FFFFE" w14:textId="77777777" w:rsidR="00537923" w:rsidRDefault="00537923"/>
        </w:tc>
      </w:tr>
    </w:tbl>
    <w:p w14:paraId="36BCFF46" w14:textId="77777777" w:rsidR="008E1B31" w:rsidRDefault="005C5514">
      <w:pPr>
        <w:pStyle w:val="Heading2"/>
      </w:pPr>
      <w:r>
        <w:t>D.2 Variables by type</w:t>
      </w:r>
    </w:p>
    <w:p w14:paraId="36BCFF47" w14:textId="77777777" w:rsidR="008E1B31" w:rsidRDefault="005C5514">
      <w:pPr>
        <w:spacing w:after="160" w:line="320" w:lineRule="auto"/>
        <w:jc w:val="both"/>
      </w:pPr>
      <w:r>
        <w:t>The starter scenario carries 1,870 variables, distributed across the seven variable types as follows:</w:t>
      </w:r>
    </w:p>
    <w:tbl>
      <w:tblPr>
        <w:tblStyle w:val="TableGrid"/>
        <w:tblW w:w="9067" w:type="dxa"/>
        <w:tblLook w:val="04A0" w:firstRow="1" w:lastRow="0" w:firstColumn="1" w:lastColumn="0" w:noHBand="0" w:noVBand="1"/>
      </w:tblPr>
      <w:tblGrid>
        <w:gridCol w:w="2266"/>
        <w:gridCol w:w="2266"/>
        <w:gridCol w:w="2266"/>
        <w:gridCol w:w="2269"/>
      </w:tblGrid>
      <w:tr w:rsidR="00537923" w14:paraId="7A7AC2E8" w14:textId="77777777">
        <w:trPr>
          <w:tblHeader/>
        </w:trPr>
        <w:tc>
          <w:tcPr>
            <w:tcW w:w="2266" w:type="dxa"/>
            <w:shd w:val="clear" w:color="auto" w:fill="D9E2F3"/>
            <w:vAlign w:val="center"/>
          </w:tcPr>
          <w:p w14:paraId="68081248" w14:textId="77777777" w:rsidR="00537923" w:rsidRDefault="005C5514">
            <w:pPr>
              <w:rPr>
                <w:b/>
              </w:rPr>
            </w:pPr>
            <w:r>
              <w:rPr>
                <w:b/>
              </w:rPr>
              <w:t>Type</w:t>
            </w:r>
          </w:p>
        </w:tc>
        <w:tc>
          <w:tcPr>
            <w:tcW w:w="2266" w:type="dxa"/>
            <w:shd w:val="clear" w:color="auto" w:fill="D9E2F3"/>
            <w:vAlign w:val="center"/>
          </w:tcPr>
          <w:p w14:paraId="18B23172" w14:textId="77777777" w:rsidR="00537923" w:rsidRDefault="005C5514">
            <w:pPr>
              <w:rPr>
                <w:b/>
              </w:rPr>
            </w:pPr>
            <w:r>
              <w:rPr>
                <w:b/>
              </w:rPr>
              <w:t>Symbol</w:t>
            </w:r>
          </w:p>
        </w:tc>
        <w:tc>
          <w:tcPr>
            <w:tcW w:w="2266" w:type="dxa"/>
            <w:shd w:val="clear" w:color="auto" w:fill="D9E2F3"/>
            <w:vAlign w:val="center"/>
          </w:tcPr>
          <w:p w14:paraId="071F9B5D" w14:textId="77777777" w:rsidR="00537923" w:rsidRDefault="005C5514">
            <w:pPr>
              <w:rPr>
                <w:b/>
              </w:rPr>
            </w:pPr>
            <w:r>
              <w:rPr>
                <w:b/>
              </w:rPr>
              <w:t>Count</w:t>
            </w:r>
          </w:p>
        </w:tc>
        <w:tc>
          <w:tcPr>
            <w:tcW w:w="2269" w:type="dxa"/>
            <w:shd w:val="clear" w:color="auto" w:fill="D9E2F3"/>
            <w:vAlign w:val="center"/>
          </w:tcPr>
          <w:p w14:paraId="6297F40F" w14:textId="77777777" w:rsidR="00537923" w:rsidRDefault="005C5514">
            <w:pPr>
              <w:rPr>
                <w:b/>
              </w:rPr>
            </w:pPr>
            <w:r>
              <w:rPr>
                <w:b/>
              </w:rPr>
              <w:t>Note</w:t>
            </w:r>
          </w:p>
        </w:tc>
      </w:tr>
      <w:tr w:rsidR="00537923" w14:paraId="0F8D74B4" w14:textId="77777777">
        <w:tc>
          <w:tcPr>
            <w:tcW w:w="2266" w:type="dxa"/>
            <w:vAlign w:val="center"/>
          </w:tcPr>
          <w:p w14:paraId="529427DB" w14:textId="77777777" w:rsidR="00537923" w:rsidRDefault="005C5514">
            <w:r>
              <w:t>Production</w:t>
            </w:r>
          </w:p>
        </w:tc>
        <w:tc>
          <w:tcPr>
            <w:tcW w:w="2266" w:type="dxa"/>
            <w:vAlign w:val="center"/>
          </w:tcPr>
          <w:p w14:paraId="18C9D3DA" w14:textId="77777777" w:rsidR="00537923" w:rsidRDefault="005C5514">
            <w:r>
              <w:t>P</w:t>
            </w:r>
          </w:p>
        </w:tc>
        <w:tc>
          <w:tcPr>
            <w:tcW w:w="2266" w:type="dxa"/>
            <w:vAlign w:val="center"/>
          </w:tcPr>
          <w:p w14:paraId="11D11D20" w14:textId="77777777" w:rsidR="00537923" w:rsidRDefault="005C5514">
            <w:r>
              <w:t>251</w:t>
            </w:r>
          </w:p>
        </w:tc>
        <w:tc>
          <w:tcPr>
            <w:tcW w:w="2269" w:type="dxa"/>
            <w:vAlign w:val="center"/>
          </w:tcPr>
          <w:p w14:paraId="1E5720AE" w14:textId="77777777" w:rsidR="00537923" w:rsidRDefault="005C5514">
            <w:r>
              <w:t>One per (node × commodity), with non-applicable types set to zero</w:t>
            </w:r>
          </w:p>
        </w:tc>
      </w:tr>
      <w:tr w:rsidR="00537923" w14:paraId="79002572" w14:textId="77777777">
        <w:tc>
          <w:tcPr>
            <w:tcW w:w="2266" w:type="dxa"/>
            <w:vAlign w:val="center"/>
          </w:tcPr>
          <w:p w14:paraId="40C2C76D" w14:textId="77777777" w:rsidR="00537923" w:rsidRDefault="005C5514">
            <w:r>
              <w:t>Consumption</w:t>
            </w:r>
          </w:p>
        </w:tc>
        <w:tc>
          <w:tcPr>
            <w:tcW w:w="2266" w:type="dxa"/>
            <w:vAlign w:val="center"/>
          </w:tcPr>
          <w:p w14:paraId="0B69769E" w14:textId="77777777" w:rsidR="00537923" w:rsidRDefault="005C5514">
            <w:r>
              <w:t>C</w:t>
            </w:r>
          </w:p>
        </w:tc>
        <w:tc>
          <w:tcPr>
            <w:tcW w:w="2266" w:type="dxa"/>
            <w:vAlign w:val="center"/>
          </w:tcPr>
          <w:p w14:paraId="67F852F4" w14:textId="77777777" w:rsidR="00537923" w:rsidRDefault="005C5514">
            <w:r>
              <w:t>251</w:t>
            </w:r>
          </w:p>
        </w:tc>
        <w:tc>
          <w:tcPr>
            <w:tcW w:w="2269" w:type="dxa"/>
            <w:vAlign w:val="center"/>
          </w:tcPr>
          <w:p w14:paraId="3C934663" w14:textId="77777777" w:rsidR="00537923" w:rsidRDefault="005C5514">
            <w:r>
              <w:t>Same structure as P</w:t>
            </w:r>
          </w:p>
        </w:tc>
      </w:tr>
      <w:tr w:rsidR="00537923" w14:paraId="611D7D2C" w14:textId="77777777">
        <w:tc>
          <w:tcPr>
            <w:tcW w:w="2266" w:type="dxa"/>
            <w:vAlign w:val="center"/>
          </w:tcPr>
          <w:p w14:paraId="15A96C52" w14:textId="77777777" w:rsidR="00537923" w:rsidRDefault="005C5514">
            <w:r>
              <w:t>Inventory</w:t>
            </w:r>
          </w:p>
        </w:tc>
        <w:tc>
          <w:tcPr>
            <w:tcW w:w="2266" w:type="dxa"/>
            <w:vAlign w:val="center"/>
          </w:tcPr>
          <w:p w14:paraId="1FAD3A77" w14:textId="77777777" w:rsidR="00537923" w:rsidRDefault="005C5514">
            <w:r>
              <w:t>S</w:t>
            </w:r>
          </w:p>
        </w:tc>
        <w:tc>
          <w:tcPr>
            <w:tcW w:w="2266" w:type="dxa"/>
            <w:vAlign w:val="center"/>
          </w:tcPr>
          <w:p w14:paraId="53A8B54E" w14:textId="77777777" w:rsidR="00537923" w:rsidRDefault="005C5514">
            <w:r>
              <w:t>251</w:t>
            </w:r>
          </w:p>
        </w:tc>
        <w:tc>
          <w:tcPr>
            <w:tcW w:w="2269" w:type="dxa"/>
            <w:vAlign w:val="center"/>
          </w:tcPr>
          <w:p w14:paraId="0A405585" w14:textId="77777777" w:rsidR="00537923" w:rsidRDefault="005C5514">
            <w:r>
              <w:t>Same structure as P</w:t>
            </w:r>
          </w:p>
        </w:tc>
      </w:tr>
      <w:tr w:rsidR="00537923" w14:paraId="2CBF84F5" w14:textId="77777777">
        <w:tc>
          <w:tcPr>
            <w:tcW w:w="2266" w:type="dxa"/>
            <w:vAlign w:val="center"/>
          </w:tcPr>
          <w:p w14:paraId="4357E11E" w14:textId="77777777" w:rsidR="00537923" w:rsidRDefault="005C5514">
            <w:r>
              <w:t>Balancing item</w:t>
            </w:r>
          </w:p>
        </w:tc>
        <w:tc>
          <w:tcPr>
            <w:tcW w:w="2266" w:type="dxa"/>
            <w:vAlign w:val="center"/>
          </w:tcPr>
          <w:p w14:paraId="1D641777" w14:textId="77777777" w:rsidR="00537923" w:rsidRDefault="005C5514">
            <w:r>
              <w:t>B</w:t>
            </w:r>
          </w:p>
        </w:tc>
        <w:tc>
          <w:tcPr>
            <w:tcW w:w="2266" w:type="dxa"/>
            <w:vAlign w:val="center"/>
          </w:tcPr>
          <w:p w14:paraId="23E4E25C" w14:textId="77777777" w:rsidR="00537923" w:rsidRDefault="005C5514">
            <w:r>
              <w:t>251</w:t>
            </w:r>
          </w:p>
        </w:tc>
        <w:tc>
          <w:tcPr>
            <w:tcW w:w="2269" w:type="dxa"/>
            <w:vAlign w:val="center"/>
          </w:tcPr>
          <w:p w14:paraId="1ECCAAC2" w14:textId="77777777" w:rsidR="00537923" w:rsidRDefault="005C5514">
            <w:r>
              <w:t>Same structure as P</w:t>
            </w:r>
          </w:p>
        </w:tc>
      </w:tr>
      <w:tr w:rsidR="00537923" w14:paraId="7E618DA2" w14:textId="77777777">
        <w:tc>
          <w:tcPr>
            <w:tcW w:w="2266" w:type="dxa"/>
            <w:vAlign w:val="center"/>
          </w:tcPr>
          <w:p w14:paraId="4A5C727C" w14:textId="77777777" w:rsidR="00537923" w:rsidRDefault="005C5514">
            <w:r>
              <w:lastRenderedPageBreak/>
              <w:t>Inflow</w:t>
            </w:r>
          </w:p>
        </w:tc>
        <w:tc>
          <w:tcPr>
            <w:tcW w:w="2266" w:type="dxa"/>
            <w:vAlign w:val="center"/>
          </w:tcPr>
          <w:p w14:paraId="57A0E3D3" w14:textId="77777777" w:rsidR="00537923" w:rsidRDefault="005C5514">
            <w:r>
              <w:t>F_in</w:t>
            </w:r>
          </w:p>
        </w:tc>
        <w:tc>
          <w:tcPr>
            <w:tcW w:w="2266" w:type="dxa"/>
            <w:vAlign w:val="center"/>
          </w:tcPr>
          <w:p w14:paraId="5250FB41" w14:textId="77777777" w:rsidR="00537923" w:rsidRDefault="005C5514">
            <w:r>
              <w:t>433</w:t>
            </w:r>
          </w:p>
        </w:tc>
        <w:tc>
          <w:tcPr>
            <w:tcW w:w="2269" w:type="dxa"/>
            <w:vAlign w:val="center"/>
          </w:tcPr>
          <w:p w14:paraId="07C3D225" w14:textId="77777777" w:rsidR="00537923" w:rsidRDefault="005C5514">
            <w:r>
              <w:t>One per directed inbound edge per node</w:t>
            </w:r>
          </w:p>
        </w:tc>
      </w:tr>
      <w:tr w:rsidR="00537923" w14:paraId="7BAE5BA1" w14:textId="77777777">
        <w:tc>
          <w:tcPr>
            <w:tcW w:w="2266" w:type="dxa"/>
            <w:vAlign w:val="center"/>
          </w:tcPr>
          <w:p w14:paraId="7F8388E4" w14:textId="77777777" w:rsidR="00537923" w:rsidRDefault="005C5514">
            <w:r>
              <w:t>Outflow</w:t>
            </w:r>
          </w:p>
        </w:tc>
        <w:tc>
          <w:tcPr>
            <w:tcW w:w="2266" w:type="dxa"/>
            <w:vAlign w:val="center"/>
          </w:tcPr>
          <w:p w14:paraId="74279B92" w14:textId="77777777" w:rsidR="00537923" w:rsidRDefault="005C5514">
            <w:r>
              <w:t>F_out</w:t>
            </w:r>
          </w:p>
        </w:tc>
        <w:tc>
          <w:tcPr>
            <w:tcW w:w="2266" w:type="dxa"/>
            <w:vAlign w:val="center"/>
          </w:tcPr>
          <w:p w14:paraId="2E881CE9" w14:textId="77777777" w:rsidR="00537923" w:rsidRDefault="005C5514">
            <w:r>
              <w:t>433</w:t>
            </w:r>
          </w:p>
        </w:tc>
        <w:tc>
          <w:tcPr>
            <w:tcW w:w="2269" w:type="dxa"/>
            <w:vAlign w:val="center"/>
          </w:tcPr>
          <w:p w14:paraId="36C9EDA3" w14:textId="77777777" w:rsidR="00537923" w:rsidRDefault="005C5514">
            <w:r>
              <w:t>One per directed outbound edge per node (matches F_in count)</w:t>
            </w:r>
          </w:p>
        </w:tc>
      </w:tr>
      <w:tr w:rsidR="00537923" w14:paraId="05DA7895" w14:textId="77777777">
        <w:tc>
          <w:tcPr>
            <w:tcW w:w="2266" w:type="dxa"/>
            <w:vAlign w:val="center"/>
          </w:tcPr>
          <w:p w14:paraId="6AFE3263" w14:textId="77777777" w:rsidR="00537923" w:rsidRDefault="005C5514">
            <w:r>
              <w:t>Phi (reference)</w:t>
            </w:r>
          </w:p>
        </w:tc>
        <w:tc>
          <w:tcPr>
            <w:tcW w:w="2266" w:type="dxa"/>
            <w:vAlign w:val="center"/>
          </w:tcPr>
          <w:p w14:paraId="34DFE665" w14:textId="77777777" w:rsidR="00537923" w:rsidRDefault="005C5514">
            <w:r>
              <w:t>φ</w:t>
            </w:r>
          </w:p>
        </w:tc>
        <w:tc>
          <w:tcPr>
            <w:tcW w:w="2266" w:type="dxa"/>
            <w:vAlign w:val="center"/>
          </w:tcPr>
          <w:p w14:paraId="0C966FDC" w14:textId="77777777" w:rsidR="00537923" w:rsidRDefault="005C5514">
            <w:r>
              <w:t>0</w:t>
            </w:r>
          </w:p>
        </w:tc>
        <w:tc>
          <w:tcPr>
            <w:tcW w:w="2269" w:type="dxa"/>
            <w:vAlign w:val="center"/>
          </w:tcPr>
          <w:p w14:paraId="024E031F" w14:textId="77777777" w:rsidR="00537923" w:rsidRDefault="005C5514">
            <w:r>
              <w:t>Used for cross-node alias chains in derived aggregates</w:t>
            </w:r>
          </w:p>
        </w:tc>
      </w:tr>
      <w:tr w:rsidR="00537923" w14:paraId="33207B66" w14:textId="77777777">
        <w:tc>
          <w:tcPr>
            <w:tcW w:w="2266" w:type="dxa"/>
            <w:vAlign w:val="center"/>
          </w:tcPr>
          <w:p w14:paraId="2950A813" w14:textId="77777777" w:rsidR="00537923" w:rsidRDefault="005C5514">
            <w:r>
              <w:t>Total</w:t>
            </w:r>
          </w:p>
        </w:tc>
        <w:tc>
          <w:tcPr>
            <w:tcW w:w="2266" w:type="dxa"/>
            <w:vAlign w:val="center"/>
          </w:tcPr>
          <w:p w14:paraId="164CB75D" w14:textId="77777777" w:rsidR="00537923" w:rsidRDefault="00537923"/>
        </w:tc>
        <w:tc>
          <w:tcPr>
            <w:tcW w:w="2266" w:type="dxa"/>
            <w:vAlign w:val="center"/>
          </w:tcPr>
          <w:p w14:paraId="1823268B" w14:textId="77777777" w:rsidR="00537923" w:rsidRDefault="005C5514">
            <w:r>
              <w:t>1,870</w:t>
            </w:r>
          </w:p>
        </w:tc>
        <w:tc>
          <w:tcPr>
            <w:tcW w:w="2269" w:type="dxa"/>
            <w:vAlign w:val="center"/>
          </w:tcPr>
          <w:p w14:paraId="178A63B9" w14:textId="77777777" w:rsidR="00537923" w:rsidRDefault="00537923"/>
        </w:tc>
      </w:tr>
    </w:tbl>
    <w:p w14:paraId="36BCFF52" w14:textId="77777777" w:rsidR="008E1B31" w:rsidRDefault="005C5514">
      <w:pPr>
        <w:spacing w:after="160" w:line="320" w:lineRule="auto"/>
        <w:jc w:val="both"/>
      </w:pPr>
      <w:r>
        <w:t>Each non-relational variable type carries exactly one row per node, since the starter scenario operates with a single commodity (crude). The phi count of zero reflects the rollback of an interim grade-decomposition trial that was carried out during development to validate the schema's multi-commodity handling; phi variables and per-grade decomposition will be reintroduced when grade-level work becomes the next workstream.</w:t>
      </w:r>
    </w:p>
    <w:p w14:paraId="36BCFF53" w14:textId="77777777" w:rsidR="008E1B31" w:rsidRDefault="005C5514">
      <w:pPr>
        <w:pStyle w:val="Heading2"/>
      </w:pPr>
      <w:r>
        <w:t>D.3 Authoritative bindings by subsystem</w:t>
      </w:r>
    </w:p>
    <w:p w14:paraId="36BCFF54" w14:textId="77777777" w:rsidR="008E1B31" w:rsidRDefault="005C5514">
      <w:pPr>
        <w:spacing w:after="160" w:line="320" w:lineRule="auto"/>
        <w:jc w:val="both"/>
      </w:pPr>
      <w:r>
        <w:t>The 90 time-series-observed variables in the starter scenario are distributed across the U.S. crude system as follows:</w:t>
      </w:r>
    </w:p>
    <w:tbl>
      <w:tblPr>
        <w:tblStyle w:val="TableGrid"/>
        <w:tblW w:w="9067" w:type="dxa"/>
        <w:tblLook w:val="04A0" w:firstRow="1" w:lastRow="0" w:firstColumn="1" w:lastColumn="0" w:noHBand="0" w:noVBand="1"/>
      </w:tblPr>
      <w:tblGrid>
        <w:gridCol w:w="1813"/>
        <w:gridCol w:w="1813"/>
        <w:gridCol w:w="1813"/>
        <w:gridCol w:w="1813"/>
        <w:gridCol w:w="1815"/>
      </w:tblGrid>
      <w:tr w:rsidR="00537923" w14:paraId="042F8E63" w14:textId="77777777">
        <w:trPr>
          <w:tblHeader/>
        </w:trPr>
        <w:tc>
          <w:tcPr>
            <w:tcW w:w="1813" w:type="dxa"/>
            <w:shd w:val="clear" w:color="auto" w:fill="D9E2F3"/>
            <w:vAlign w:val="center"/>
          </w:tcPr>
          <w:p w14:paraId="002AC952" w14:textId="77777777" w:rsidR="00537923" w:rsidRDefault="005C5514">
            <w:pPr>
              <w:rPr>
                <w:b/>
              </w:rPr>
            </w:pPr>
            <w:r>
              <w:rPr>
                <w:b/>
              </w:rPr>
              <w:t>Subsystem</w:t>
            </w:r>
          </w:p>
        </w:tc>
        <w:tc>
          <w:tcPr>
            <w:tcW w:w="1813" w:type="dxa"/>
            <w:shd w:val="clear" w:color="auto" w:fill="D9E2F3"/>
            <w:vAlign w:val="center"/>
          </w:tcPr>
          <w:p w14:paraId="0479EEAD" w14:textId="77777777" w:rsidR="00537923" w:rsidRDefault="005C5514">
            <w:pPr>
              <w:rPr>
                <w:b/>
              </w:rPr>
            </w:pPr>
            <w:r>
              <w:rPr>
                <w:b/>
              </w:rPr>
              <w:t>Variable type</w:t>
            </w:r>
          </w:p>
        </w:tc>
        <w:tc>
          <w:tcPr>
            <w:tcW w:w="1813" w:type="dxa"/>
            <w:shd w:val="clear" w:color="auto" w:fill="D9E2F3"/>
            <w:vAlign w:val="center"/>
          </w:tcPr>
          <w:p w14:paraId="54C60E32" w14:textId="77777777" w:rsidR="00537923" w:rsidRDefault="005C5514">
            <w:pPr>
              <w:rPr>
                <w:b/>
              </w:rPr>
            </w:pPr>
            <w:r>
              <w:rPr>
                <w:b/>
              </w:rPr>
              <w:t>Authoritative resolution</w:t>
            </w:r>
          </w:p>
        </w:tc>
        <w:tc>
          <w:tcPr>
            <w:tcW w:w="1813" w:type="dxa"/>
            <w:shd w:val="clear" w:color="auto" w:fill="D9E2F3"/>
            <w:vAlign w:val="center"/>
          </w:tcPr>
          <w:p w14:paraId="4D1B6C3A" w14:textId="77777777" w:rsidR="00537923" w:rsidRDefault="005C5514">
            <w:pPr>
              <w:rPr>
                <w:b/>
              </w:rPr>
            </w:pPr>
            <w:r>
              <w:rPr>
                <w:b/>
              </w:rPr>
              <w:t>Count of bound variables</w:t>
            </w:r>
          </w:p>
        </w:tc>
        <w:tc>
          <w:tcPr>
            <w:tcW w:w="1815" w:type="dxa"/>
            <w:shd w:val="clear" w:color="auto" w:fill="D9E2F3"/>
            <w:vAlign w:val="center"/>
          </w:tcPr>
          <w:p w14:paraId="3013D718" w14:textId="77777777" w:rsidR="00537923" w:rsidRDefault="005C5514">
            <w:pPr>
              <w:rPr>
                <w:b/>
              </w:rPr>
            </w:pPr>
            <w:r>
              <w:rPr>
                <w:b/>
              </w:rPr>
              <w:t>Lead EIA series</w:t>
            </w:r>
          </w:p>
        </w:tc>
      </w:tr>
      <w:tr w:rsidR="00537923" w14:paraId="00AB4CEA" w14:textId="77777777">
        <w:tc>
          <w:tcPr>
            <w:tcW w:w="1813" w:type="dxa"/>
            <w:vAlign w:val="center"/>
          </w:tcPr>
          <w:p w14:paraId="2F761733" w14:textId="77777777" w:rsidR="00537923" w:rsidRDefault="005C5514">
            <w:r>
              <w:t>Production</w:t>
            </w:r>
          </w:p>
        </w:tc>
        <w:tc>
          <w:tcPr>
            <w:tcW w:w="1813" w:type="dxa"/>
            <w:vAlign w:val="center"/>
          </w:tcPr>
          <w:p w14:paraId="6064D1F2" w14:textId="77777777" w:rsidR="00537923" w:rsidRDefault="005C5514">
            <w:r>
              <w:t>P</w:t>
            </w:r>
          </w:p>
        </w:tc>
        <w:tc>
          <w:tcPr>
            <w:tcW w:w="1813" w:type="dxa"/>
            <w:vAlign w:val="center"/>
          </w:tcPr>
          <w:p w14:paraId="16D729A0" w14:textId="77777777" w:rsidR="00537923" w:rsidRDefault="005C5514">
            <w:r>
              <w:t>Basin level + state</w:t>
            </w:r>
          </w:p>
        </w:tc>
        <w:tc>
          <w:tcPr>
            <w:tcW w:w="1813" w:type="dxa"/>
            <w:vAlign w:val="center"/>
          </w:tcPr>
          <w:p w14:paraId="5764AA80" w14:textId="77777777" w:rsidR="00537923" w:rsidRDefault="005C5514">
            <w:r>
              <w:t>15</w:t>
            </w:r>
          </w:p>
        </w:tc>
        <w:tc>
          <w:tcPr>
            <w:tcW w:w="1815" w:type="dxa"/>
            <w:vAlign w:val="center"/>
          </w:tcPr>
          <w:p w14:paraId="4BEDE65D" w14:textId="77777777" w:rsidR="00537923" w:rsidRDefault="005C5514">
            <w:r>
              <w:t>MCRFPP1, MCRFPP2, MCRFPP3, MCRFPP4, MCRFPP5, MCRFPP3TX, MCRFPP3NM, others</w:t>
            </w:r>
          </w:p>
        </w:tc>
      </w:tr>
      <w:tr w:rsidR="00537923" w14:paraId="31E52FCF" w14:textId="77777777">
        <w:tc>
          <w:tcPr>
            <w:tcW w:w="1813" w:type="dxa"/>
            <w:vAlign w:val="center"/>
          </w:tcPr>
          <w:p w14:paraId="46B2594A" w14:textId="77777777" w:rsidR="00537923" w:rsidRDefault="005C5514">
            <w:r>
              <w:t>Refinery throughput</w:t>
            </w:r>
          </w:p>
        </w:tc>
        <w:tc>
          <w:tcPr>
            <w:tcW w:w="1813" w:type="dxa"/>
            <w:vAlign w:val="center"/>
          </w:tcPr>
          <w:p w14:paraId="43185323" w14:textId="77777777" w:rsidR="00537923" w:rsidRDefault="005C5514">
            <w:r>
              <w:t>C</w:t>
            </w:r>
          </w:p>
        </w:tc>
        <w:tc>
          <w:tcPr>
            <w:tcW w:w="1813" w:type="dxa"/>
            <w:vAlign w:val="center"/>
          </w:tcPr>
          <w:p w14:paraId="173A3032" w14:textId="77777777" w:rsidR="00537923" w:rsidRDefault="005C5514">
            <w:r>
              <w:t>PADD level</w:t>
            </w:r>
          </w:p>
        </w:tc>
        <w:tc>
          <w:tcPr>
            <w:tcW w:w="1813" w:type="dxa"/>
            <w:vAlign w:val="center"/>
          </w:tcPr>
          <w:p w14:paraId="2E57B6C5" w14:textId="77777777" w:rsidR="00537923" w:rsidRDefault="005C5514">
            <w:r>
              <w:t>5</w:t>
            </w:r>
          </w:p>
        </w:tc>
        <w:tc>
          <w:tcPr>
            <w:tcW w:w="1815" w:type="dxa"/>
            <w:vAlign w:val="center"/>
          </w:tcPr>
          <w:p w14:paraId="760B7DC7" w14:textId="77777777" w:rsidR="00537923" w:rsidRDefault="005C5514">
            <w:r>
              <w:t>MCRRIP1 through MCRRIP5</w:t>
            </w:r>
          </w:p>
        </w:tc>
      </w:tr>
      <w:tr w:rsidR="00537923" w14:paraId="1E8F9C5A" w14:textId="77777777">
        <w:tc>
          <w:tcPr>
            <w:tcW w:w="1813" w:type="dxa"/>
            <w:vAlign w:val="center"/>
          </w:tcPr>
          <w:p w14:paraId="4067DD0F" w14:textId="77777777" w:rsidR="00537923" w:rsidRDefault="005C5514">
            <w:r>
              <w:t>Stocks (commercial)</w:t>
            </w:r>
          </w:p>
        </w:tc>
        <w:tc>
          <w:tcPr>
            <w:tcW w:w="1813" w:type="dxa"/>
            <w:vAlign w:val="center"/>
          </w:tcPr>
          <w:p w14:paraId="6B985F83" w14:textId="77777777" w:rsidR="00537923" w:rsidRDefault="005C5514">
            <w:r>
              <w:t>S</w:t>
            </w:r>
          </w:p>
        </w:tc>
        <w:tc>
          <w:tcPr>
            <w:tcW w:w="1813" w:type="dxa"/>
            <w:vAlign w:val="center"/>
          </w:tcPr>
          <w:p w14:paraId="4F952757" w14:textId="77777777" w:rsidR="00537923" w:rsidRDefault="005C5514">
            <w:r>
              <w:t>PADD level</w:t>
            </w:r>
          </w:p>
        </w:tc>
        <w:tc>
          <w:tcPr>
            <w:tcW w:w="1813" w:type="dxa"/>
            <w:vAlign w:val="center"/>
          </w:tcPr>
          <w:p w14:paraId="28130D19" w14:textId="77777777" w:rsidR="00537923" w:rsidRDefault="005C5514">
            <w:r>
              <w:t>5</w:t>
            </w:r>
          </w:p>
        </w:tc>
        <w:tc>
          <w:tcPr>
            <w:tcW w:w="1815" w:type="dxa"/>
            <w:vAlign w:val="center"/>
          </w:tcPr>
          <w:p w14:paraId="7DEA3F69" w14:textId="77777777" w:rsidR="00537923" w:rsidRDefault="005C5514">
            <w:r>
              <w:t>MCESTP1 through MCESTP5</w:t>
            </w:r>
          </w:p>
        </w:tc>
      </w:tr>
      <w:tr w:rsidR="00537923" w14:paraId="1BB724AB" w14:textId="77777777">
        <w:tc>
          <w:tcPr>
            <w:tcW w:w="1813" w:type="dxa"/>
            <w:vAlign w:val="center"/>
          </w:tcPr>
          <w:p w14:paraId="066DF041" w14:textId="77777777" w:rsidR="00537923" w:rsidRDefault="005C5514">
            <w:r>
              <w:t>Stocks (SPR sites)</w:t>
            </w:r>
          </w:p>
        </w:tc>
        <w:tc>
          <w:tcPr>
            <w:tcW w:w="1813" w:type="dxa"/>
            <w:vAlign w:val="center"/>
          </w:tcPr>
          <w:p w14:paraId="42A6B2FF" w14:textId="77777777" w:rsidR="00537923" w:rsidRDefault="005C5514">
            <w:r>
              <w:t>S</w:t>
            </w:r>
          </w:p>
        </w:tc>
        <w:tc>
          <w:tcPr>
            <w:tcW w:w="1813" w:type="dxa"/>
            <w:vAlign w:val="center"/>
          </w:tcPr>
          <w:p w14:paraId="102DC21F" w14:textId="77777777" w:rsidR="00537923" w:rsidRDefault="005C5514">
            <w:r>
              <w:t>Site level</w:t>
            </w:r>
          </w:p>
        </w:tc>
        <w:tc>
          <w:tcPr>
            <w:tcW w:w="1813" w:type="dxa"/>
            <w:vAlign w:val="center"/>
          </w:tcPr>
          <w:p w14:paraId="467CDECD" w14:textId="77777777" w:rsidR="00537923" w:rsidRDefault="005C5514">
            <w:r>
              <w:t>4</w:t>
            </w:r>
          </w:p>
        </w:tc>
        <w:tc>
          <w:tcPr>
            <w:tcW w:w="1815" w:type="dxa"/>
            <w:vAlign w:val="center"/>
          </w:tcPr>
          <w:p w14:paraId="3F7C3983" w14:textId="77777777" w:rsidR="00537923" w:rsidRDefault="005C5514">
            <w:r>
              <w:t>MCESTUS1 series (decomposed)</w:t>
            </w:r>
          </w:p>
        </w:tc>
      </w:tr>
      <w:tr w:rsidR="00537923" w14:paraId="7BC2B4C6" w14:textId="77777777">
        <w:tc>
          <w:tcPr>
            <w:tcW w:w="1813" w:type="dxa"/>
            <w:vAlign w:val="center"/>
          </w:tcPr>
          <w:p w14:paraId="5C0671F0" w14:textId="77777777" w:rsidR="00537923" w:rsidRDefault="005C5514">
            <w:r>
              <w:t>Stocks (Cushing hub)</w:t>
            </w:r>
          </w:p>
        </w:tc>
        <w:tc>
          <w:tcPr>
            <w:tcW w:w="1813" w:type="dxa"/>
            <w:vAlign w:val="center"/>
          </w:tcPr>
          <w:p w14:paraId="7E4DD867" w14:textId="77777777" w:rsidR="00537923" w:rsidRDefault="005C5514">
            <w:r>
              <w:t>S</w:t>
            </w:r>
          </w:p>
        </w:tc>
        <w:tc>
          <w:tcPr>
            <w:tcW w:w="1813" w:type="dxa"/>
            <w:vAlign w:val="center"/>
          </w:tcPr>
          <w:p w14:paraId="0B73EDEB" w14:textId="77777777" w:rsidR="00537923" w:rsidRDefault="005C5514">
            <w:r>
              <w:t>Hub level</w:t>
            </w:r>
          </w:p>
        </w:tc>
        <w:tc>
          <w:tcPr>
            <w:tcW w:w="1813" w:type="dxa"/>
            <w:vAlign w:val="center"/>
          </w:tcPr>
          <w:p w14:paraId="797B05A4" w14:textId="77777777" w:rsidR="00537923" w:rsidRDefault="005C5514">
            <w:r>
              <w:t>1</w:t>
            </w:r>
          </w:p>
        </w:tc>
        <w:tc>
          <w:tcPr>
            <w:tcW w:w="1815" w:type="dxa"/>
            <w:vAlign w:val="center"/>
          </w:tcPr>
          <w:p w14:paraId="7F946A66" w14:textId="77777777" w:rsidR="00537923" w:rsidRDefault="005C5514">
            <w:r>
              <w:t>Cushing weekly aggregated to monthly</w:t>
            </w:r>
          </w:p>
        </w:tc>
      </w:tr>
      <w:tr w:rsidR="00537923" w14:paraId="4E4ABDE8" w14:textId="77777777">
        <w:tc>
          <w:tcPr>
            <w:tcW w:w="1813" w:type="dxa"/>
            <w:vAlign w:val="center"/>
          </w:tcPr>
          <w:p w14:paraId="779E1B85" w14:textId="77777777" w:rsidR="00537923" w:rsidRDefault="005C5514">
            <w:r>
              <w:t>Imports (non-Canada)</w:t>
            </w:r>
          </w:p>
        </w:tc>
        <w:tc>
          <w:tcPr>
            <w:tcW w:w="1813" w:type="dxa"/>
            <w:vAlign w:val="center"/>
          </w:tcPr>
          <w:p w14:paraId="0792A672" w14:textId="77777777" w:rsidR="00537923" w:rsidRDefault="005C5514">
            <w:r>
              <w:t>F_in</w:t>
            </w:r>
          </w:p>
        </w:tc>
        <w:tc>
          <w:tcPr>
            <w:tcW w:w="1813" w:type="dxa"/>
            <w:vAlign w:val="center"/>
          </w:tcPr>
          <w:p w14:paraId="200810E6" w14:textId="77777777" w:rsidR="00537923" w:rsidRDefault="005C5514">
            <w:r>
              <w:t>PADD level</w:t>
            </w:r>
          </w:p>
        </w:tc>
        <w:tc>
          <w:tcPr>
            <w:tcW w:w="1813" w:type="dxa"/>
            <w:vAlign w:val="center"/>
          </w:tcPr>
          <w:p w14:paraId="707D04D8" w14:textId="77777777" w:rsidR="00537923" w:rsidRDefault="005C5514">
            <w:r>
              <w:t>5</w:t>
            </w:r>
          </w:p>
        </w:tc>
        <w:tc>
          <w:tcPr>
            <w:tcW w:w="1815" w:type="dxa"/>
            <w:vAlign w:val="center"/>
          </w:tcPr>
          <w:p w14:paraId="072FC2A4" w14:textId="77777777" w:rsidR="00537923" w:rsidRDefault="005C5514">
            <w:r>
              <w:t>MCRIPP12 minus Canadian contribution</w:t>
            </w:r>
          </w:p>
        </w:tc>
      </w:tr>
      <w:tr w:rsidR="00537923" w14:paraId="50D9C7A0" w14:textId="77777777">
        <w:tc>
          <w:tcPr>
            <w:tcW w:w="1813" w:type="dxa"/>
            <w:vAlign w:val="center"/>
          </w:tcPr>
          <w:p w14:paraId="24644D31" w14:textId="77777777" w:rsidR="00537923" w:rsidRDefault="005C5514">
            <w:r>
              <w:t>Imports (Canada)</w:t>
            </w:r>
          </w:p>
        </w:tc>
        <w:tc>
          <w:tcPr>
            <w:tcW w:w="1813" w:type="dxa"/>
            <w:vAlign w:val="center"/>
          </w:tcPr>
          <w:p w14:paraId="36F21776" w14:textId="77777777" w:rsidR="00537923" w:rsidRDefault="005C5514">
            <w:r>
              <w:t>F_in</w:t>
            </w:r>
          </w:p>
        </w:tc>
        <w:tc>
          <w:tcPr>
            <w:tcW w:w="1813" w:type="dxa"/>
            <w:vAlign w:val="center"/>
          </w:tcPr>
          <w:p w14:paraId="007AC85D" w14:textId="77777777" w:rsidR="00537923" w:rsidRDefault="005C5514">
            <w:r>
              <w:t>PADD level</w:t>
            </w:r>
          </w:p>
        </w:tc>
        <w:tc>
          <w:tcPr>
            <w:tcW w:w="1813" w:type="dxa"/>
            <w:vAlign w:val="center"/>
          </w:tcPr>
          <w:p w14:paraId="016537A2" w14:textId="77777777" w:rsidR="00537923" w:rsidRDefault="005C5514">
            <w:r>
              <w:t>2</w:t>
            </w:r>
          </w:p>
        </w:tc>
        <w:tc>
          <w:tcPr>
            <w:tcW w:w="1815" w:type="dxa"/>
            <w:vAlign w:val="center"/>
          </w:tcPr>
          <w:p w14:paraId="2313FCE6" w14:textId="77777777" w:rsidR="00537923" w:rsidRDefault="005C5514">
            <w:r>
              <w:t xml:space="preserve">MCRIPP1CA2 (PADD 1 Canadian), </w:t>
            </w:r>
            <w:r>
              <w:lastRenderedPageBreak/>
              <w:t>MCRIPP2CA2 (PADD 2 Canadian)</w:t>
            </w:r>
          </w:p>
        </w:tc>
      </w:tr>
      <w:tr w:rsidR="00537923" w14:paraId="1C16D9A6" w14:textId="77777777">
        <w:tc>
          <w:tcPr>
            <w:tcW w:w="1813" w:type="dxa"/>
            <w:vAlign w:val="center"/>
          </w:tcPr>
          <w:p w14:paraId="4DCC1BEE" w14:textId="77777777" w:rsidR="00537923" w:rsidRDefault="005C5514">
            <w:r>
              <w:t>Exports</w:t>
            </w:r>
          </w:p>
        </w:tc>
        <w:tc>
          <w:tcPr>
            <w:tcW w:w="1813" w:type="dxa"/>
            <w:vAlign w:val="center"/>
          </w:tcPr>
          <w:p w14:paraId="2A5850AE" w14:textId="77777777" w:rsidR="00537923" w:rsidRDefault="005C5514">
            <w:r>
              <w:t>F_out</w:t>
            </w:r>
          </w:p>
        </w:tc>
        <w:tc>
          <w:tcPr>
            <w:tcW w:w="1813" w:type="dxa"/>
            <w:vAlign w:val="center"/>
          </w:tcPr>
          <w:p w14:paraId="191BE72C" w14:textId="77777777" w:rsidR="00537923" w:rsidRDefault="005C5514">
            <w:r>
              <w:t>PADD level</w:t>
            </w:r>
          </w:p>
        </w:tc>
        <w:tc>
          <w:tcPr>
            <w:tcW w:w="1813" w:type="dxa"/>
            <w:vAlign w:val="center"/>
          </w:tcPr>
          <w:p w14:paraId="5E805328" w14:textId="77777777" w:rsidR="00537923" w:rsidRDefault="005C5514">
            <w:r>
              <w:t>5</w:t>
            </w:r>
          </w:p>
        </w:tc>
        <w:tc>
          <w:tcPr>
            <w:tcW w:w="1815" w:type="dxa"/>
            <w:vAlign w:val="center"/>
          </w:tcPr>
          <w:p w14:paraId="7C030D01" w14:textId="77777777" w:rsidR="00537923" w:rsidRDefault="005C5514">
            <w:r>
              <w:t>MCREXP12 through MCREXP52</w:t>
            </w:r>
          </w:p>
        </w:tc>
      </w:tr>
      <w:tr w:rsidR="00537923" w14:paraId="36A26134" w14:textId="77777777">
        <w:tc>
          <w:tcPr>
            <w:tcW w:w="1813" w:type="dxa"/>
            <w:vAlign w:val="center"/>
          </w:tcPr>
          <w:p w14:paraId="33A87991" w14:textId="77777777" w:rsidR="00537923" w:rsidRDefault="005C5514">
            <w:r>
              <w:t>Inter-PADD flows</w:t>
            </w:r>
          </w:p>
        </w:tc>
        <w:tc>
          <w:tcPr>
            <w:tcW w:w="1813" w:type="dxa"/>
            <w:vAlign w:val="center"/>
          </w:tcPr>
          <w:p w14:paraId="614C755B" w14:textId="77777777" w:rsidR="00537923" w:rsidRDefault="005C5514">
            <w:r>
              <w:t>F (aggregate)</w:t>
            </w:r>
          </w:p>
        </w:tc>
        <w:tc>
          <w:tcPr>
            <w:tcW w:w="1813" w:type="dxa"/>
            <w:vAlign w:val="center"/>
          </w:tcPr>
          <w:p w14:paraId="4D3F216A" w14:textId="77777777" w:rsidR="00537923" w:rsidRDefault="005C5514">
            <w:r>
              <w:t>PADD-pair level</w:t>
            </w:r>
          </w:p>
        </w:tc>
        <w:tc>
          <w:tcPr>
            <w:tcW w:w="1813" w:type="dxa"/>
            <w:vAlign w:val="center"/>
          </w:tcPr>
          <w:p w14:paraId="09F1B4EE" w14:textId="77777777" w:rsidR="00537923" w:rsidRDefault="005C5514">
            <w:r>
              <w:t>12</w:t>
            </w:r>
          </w:p>
        </w:tc>
        <w:tc>
          <w:tcPr>
            <w:tcW w:w="1815" w:type="dxa"/>
            <w:vAlign w:val="center"/>
          </w:tcPr>
          <w:p w14:paraId="18B6C4A3" w14:textId="77777777" w:rsidR="00537923" w:rsidRDefault="005C5514">
            <w:r>
              <w:t>MCRMP* family across all pairs</w:t>
            </w:r>
          </w:p>
        </w:tc>
      </w:tr>
      <w:tr w:rsidR="00537923" w14:paraId="3D013711" w14:textId="77777777">
        <w:tc>
          <w:tcPr>
            <w:tcW w:w="1813" w:type="dxa"/>
            <w:vAlign w:val="center"/>
          </w:tcPr>
          <w:p w14:paraId="0E77E661" w14:textId="77777777" w:rsidR="00537923" w:rsidRDefault="005C5514">
            <w:r>
              <w:t>Balancing item</w:t>
            </w:r>
          </w:p>
        </w:tc>
        <w:tc>
          <w:tcPr>
            <w:tcW w:w="1813" w:type="dxa"/>
            <w:vAlign w:val="center"/>
          </w:tcPr>
          <w:p w14:paraId="28CDCC97" w14:textId="77777777" w:rsidR="00537923" w:rsidRDefault="005C5514">
            <w:r>
              <w:t>B</w:t>
            </w:r>
          </w:p>
        </w:tc>
        <w:tc>
          <w:tcPr>
            <w:tcW w:w="1813" w:type="dxa"/>
            <w:vAlign w:val="center"/>
          </w:tcPr>
          <w:p w14:paraId="7A2E7CEA" w14:textId="77777777" w:rsidR="00537923" w:rsidRDefault="005C5514">
            <w:r>
              <w:t>PADD level + USA</w:t>
            </w:r>
          </w:p>
        </w:tc>
        <w:tc>
          <w:tcPr>
            <w:tcW w:w="1813" w:type="dxa"/>
            <w:vAlign w:val="center"/>
          </w:tcPr>
          <w:p w14:paraId="647B28D2" w14:textId="77777777" w:rsidR="00537923" w:rsidRDefault="005C5514">
            <w:r>
              <w:t>6</w:t>
            </w:r>
          </w:p>
        </w:tc>
        <w:tc>
          <w:tcPr>
            <w:tcW w:w="1815" w:type="dxa"/>
            <w:vAlign w:val="center"/>
          </w:tcPr>
          <w:p w14:paraId="63D9FE64" w14:textId="77777777" w:rsidR="00537923" w:rsidRDefault="005C5514">
            <w:r>
              <w:t>MCRUA-P1 through MCRUA-P5 and MCRUA-USA</w:t>
            </w:r>
          </w:p>
        </w:tc>
      </w:tr>
      <w:tr w:rsidR="00537923" w14:paraId="08422FE6" w14:textId="77777777">
        <w:tc>
          <w:tcPr>
            <w:tcW w:w="1813" w:type="dxa"/>
            <w:vAlign w:val="center"/>
          </w:tcPr>
          <w:p w14:paraId="72AA60DD" w14:textId="77777777" w:rsidR="00537923" w:rsidRDefault="005C5514">
            <w:r>
              <w:t>USA aggregates</w:t>
            </w:r>
          </w:p>
        </w:tc>
        <w:tc>
          <w:tcPr>
            <w:tcW w:w="1813" w:type="dxa"/>
            <w:vAlign w:val="center"/>
          </w:tcPr>
          <w:p w14:paraId="0D52E863" w14:textId="77777777" w:rsidR="00537923" w:rsidRDefault="005C5514">
            <w:r>
              <w:t>P, C, S, F_in, F_out, B</w:t>
            </w:r>
          </w:p>
        </w:tc>
        <w:tc>
          <w:tcPr>
            <w:tcW w:w="1813" w:type="dxa"/>
            <w:vAlign w:val="center"/>
          </w:tcPr>
          <w:p w14:paraId="40A9D93C" w14:textId="77777777" w:rsidR="00537923" w:rsidRDefault="005C5514">
            <w:r>
              <w:t>USA total</w:t>
            </w:r>
          </w:p>
        </w:tc>
        <w:tc>
          <w:tcPr>
            <w:tcW w:w="1813" w:type="dxa"/>
            <w:vAlign w:val="center"/>
          </w:tcPr>
          <w:p w14:paraId="4EFFA046" w14:textId="77777777" w:rsidR="00537923" w:rsidRDefault="005C5514">
            <w:r>
              <w:t>6</w:t>
            </w:r>
          </w:p>
        </w:tc>
        <w:tc>
          <w:tcPr>
            <w:tcW w:w="1815" w:type="dxa"/>
            <w:vAlign w:val="center"/>
          </w:tcPr>
          <w:p w14:paraId="3FB4703A" w14:textId="77777777" w:rsidR="00537923" w:rsidRDefault="005C5514">
            <w:r>
              <w:t>MCRFPUS2, MCRRIUS2, MCESTUS1, MCRIMUS2, MCREEXUS2, MCRUA</w:t>
            </w:r>
          </w:p>
        </w:tc>
      </w:tr>
      <w:tr w:rsidR="00537923" w14:paraId="6AE362B3" w14:textId="77777777">
        <w:tc>
          <w:tcPr>
            <w:tcW w:w="1813" w:type="dxa"/>
            <w:vAlign w:val="center"/>
          </w:tcPr>
          <w:p w14:paraId="6E344153" w14:textId="77777777" w:rsidR="00537923" w:rsidRDefault="005C5514">
            <w:r>
              <w:t>Texas/Montana state aggregates</w:t>
            </w:r>
          </w:p>
        </w:tc>
        <w:tc>
          <w:tcPr>
            <w:tcW w:w="1813" w:type="dxa"/>
            <w:vAlign w:val="center"/>
          </w:tcPr>
          <w:p w14:paraId="65BB04E3" w14:textId="77777777" w:rsidR="00537923" w:rsidRDefault="005C5514">
            <w:r>
              <w:t>P</w:t>
            </w:r>
          </w:p>
        </w:tc>
        <w:tc>
          <w:tcPr>
            <w:tcW w:w="1813" w:type="dxa"/>
            <w:vAlign w:val="center"/>
          </w:tcPr>
          <w:p w14:paraId="52B75C7E" w14:textId="77777777" w:rsidR="00537923" w:rsidRDefault="005C5514">
            <w:r>
              <w:t>State</w:t>
            </w:r>
          </w:p>
        </w:tc>
        <w:tc>
          <w:tcPr>
            <w:tcW w:w="1813" w:type="dxa"/>
            <w:vAlign w:val="center"/>
          </w:tcPr>
          <w:p w14:paraId="5F643A6B" w14:textId="77777777" w:rsidR="00537923" w:rsidRDefault="005C5514">
            <w:r>
              <w:t>2</w:t>
            </w:r>
          </w:p>
        </w:tc>
        <w:tc>
          <w:tcPr>
            <w:tcW w:w="1815" w:type="dxa"/>
            <w:vAlign w:val="center"/>
          </w:tcPr>
          <w:p w14:paraId="23220340" w14:textId="77777777" w:rsidR="00537923" w:rsidRDefault="005C5514">
            <w:r>
              <w:t>Texas state series, Montana state series</w:t>
            </w:r>
          </w:p>
        </w:tc>
      </w:tr>
      <w:tr w:rsidR="00537923" w14:paraId="1FBF5B2D" w14:textId="77777777">
        <w:tc>
          <w:tcPr>
            <w:tcW w:w="1813" w:type="dxa"/>
            <w:vAlign w:val="center"/>
          </w:tcPr>
          <w:p w14:paraId="304E4C90" w14:textId="77777777" w:rsidR="00537923" w:rsidRDefault="005C5514">
            <w:r>
              <w:t>Auxiliary observed (not in mass balance)</w:t>
            </w:r>
          </w:p>
        </w:tc>
        <w:tc>
          <w:tcPr>
            <w:tcW w:w="1813" w:type="dxa"/>
            <w:vAlign w:val="center"/>
          </w:tcPr>
          <w:p w14:paraId="46DBFA91" w14:textId="77777777" w:rsidR="00537923" w:rsidRDefault="005C5514">
            <w:r>
              <w:t>S</w:t>
            </w:r>
          </w:p>
        </w:tc>
        <w:tc>
          <w:tcPr>
            <w:tcW w:w="1813" w:type="dxa"/>
            <w:vAlign w:val="center"/>
          </w:tcPr>
          <w:p w14:paraId="002866BE" w14:textId="77777777" w:rsidR="00537923" w:rsidRDefault="005C5514">
            <w:r>
              <w:t>PADD level</w:t>
            </w:r>
          </w:p>
        </w:tc>
        <w:tc>
          <w:tcPr>
            <w:tcW w:w="1813" w:type="dxa"/>
            <w:vAlign w:val="center"/>
          </w:tcPr>
          <w:p w14:paraId="28FA473D" w14:textId="77777777" w:rsidR="00537923" w:rsidRDefault="005C5514">
            <w:r>
              <w:t>12</w:t>
            </w:r>
          </w:p>
        </w:tc>
        <w:tc>
          <w:tcPr>
            <w:tcW w:w="1815" w:type="dxa"/>
            <w:vAlign w:val="center"/>
          </w:tcPr>
          <w:p w14:paraId="248BBC31" w14:textId="77777777" w:rsidR="00537923" w:rsidRDefault="005C5514">
            <w:r>
              <w:t>MCRSFP (PADD ex-SPR), MCRSSP (SPR), others</w:t>
            </w:r>
          </w:p>
        </w:tc>
      </w:tr>
      <w:tr w:rsidR="00537923" w14:paraId="28864636" w14:textId="77777777">
        <w:tc>
          <w:tcPr>
            <w:tcW w:w="1813" w:type="dxa"/>
            <w:vAlign w:val="center"/>
          </w:tcPr>
          <w:p w14:paraId="0B1989BE" w14:textId="77777777" w:rsidR="00537923" w:rsidRDefault="005C5514">
            <w:r>
              <w:t>Total</w:t>
            </w:r>
          </w:p>
        </w:tc>
        <w:tc>
          <w:tcPr>
            <w:tcW w:w="1813" w:type="dxa"/>
            <w:vAlign w:val="center"/>
          </w:tcPr>
          <w:p w14:paraId="6DC600EF" w14:textId="77777777" w:rsidR="00537923" w:rsidRDefault="00537923"/>
        </w:tc>
        <w:tc>
          <w:tcPr>
            <w:tcW w:w="1813" w:type="dxa"/>
            <w:vAlign w:val="center"/>
          </w:tcPr>
          <w:p w14:paraId="601EB287" w14:textId="77777777" w:rsidR="00537923" w:rsidRDefault="00537923"/>
        </w:tc>
        <w:tc>
          <w:tcPr>
            <w:tcW w:w="1813" w:type="dxa"/>
            <w:vAlign w:val="center"/>
          </w:tcPr>
          <w:p w14:paraId="14B3DFDA" w14:textId="77777777" w:rsidR="00537923" w:rsidRDefault="005C5514">
            <w:r>
              <w:t>90</w:t>
            </w:r>
          </w:p>
        </w:tc>
        <w:tc>
          <w:tcPr>
            <w:tcW w:w="1815" w:type="dxa"/>
            <w:vAlign w:val="center"/>
          </w:tcPr>
          <w:p w14:paraId="539F7CDF" w14:textId="77777777" w:rsidR="00537923" w:rsidRDefault="00537923"/>
        </w:tc>
      </w:tr>
    </w:tbl>
    <w:p w14:paraId="36BCFF65" w14:textId="77777777" w:rsidR="008E1B31" w:rsidRDefault="005C5514">
      <w:pPr>
        <w:spacing w:after="160" w:line="320" w:lineRule="auto"/>
        <w:jc w:val="both"/>
      </w:pPr>
      <w:r>
        <w:t>The 90 authoritative bindings collectively produce all 1,870 resolved values through the resolver's dispatch logic.</w:t>
      </w:r>
    </w:p>
    <w:p w14:paraId="36BCFF66" w14:textId="77777777" w:rsidR="008E1B31" w:rsidRDefault="005C5514">
      <w:pPr>
        <w:pStyle w:val="Heading2"/>
      </w:pPr>
      <w:r>
        <w:t>D.4 Latent variables by location</w:t>
      </w:r>
    </w:p>
    <w:p w14:paraId="36BCFF67" w14:textId="77777777" w:rsidR="008E1B31" w:rsidRDefault="005C5514">
      <w:pPr>
        <w:spacing w:after="160" w:line="320" w:lineRule="auto"/>
        <w:jc w:val="both"/>
      </w:pPr>
      <w:r>
        <w:t>The 652 latent variables in the starter scenario are concentrated at junction nodes where per-edge flows are not publicly observed. The distribution:</w:t>
      </w:r>
    </w:p>
    <w:tbl>
      <w:tblPr>
        <w:tblStyle w:val="TableGrid"/>
        <w:tblW w:w="9067" w:type="dxa"/>
        <w:tblLook w:val="04A0" w:firstRow="1" w:lastRow="0" w:firstColumn="1" w:lastColumn="0" w:noHBand="0" w:noVBand="1"/>
      </w:tblPr>
      <w:tblGrid>
        <w:gridCol w:w="3022"/>
        <w:gridCol w:w="3022"/>
        <w:gridCol w:w="3023"/>
      </w:tblGrid>
      <w:tr w:rsidR="00537923" w14:paraId="0B8C9048" w14:textId="77777777">
        <w:trPr>
          <w:tblHeader/>
        </w:trPr>
        <w:tc>
          <w:tcPr>
            <w:tcW w:w="3022" w:type="dxa"/>
            <w:shd w:val="clear" w:color="auto" w:fill="D9E2F3"/>
            <w:vAlign w:val="center"/>
          </w:tcPr>
          <w:p w14:paraId="42405F3B" w14:textId="77777777" w:rsidR="00537923" w:rsidRDefault="005C5514">
            <w:pPr>
              <w:rPr>
                <w:b/>
              </w:rPr>
            </w:pPr>
            <w:r>
              <w:rPr>
                <w:b/>
              </w:rPr>
              <w:t>Junction or subsystem</w:t>
            </w:r>
          </w:p>
        </w:tc>
        <w:tc>
          <w:tcPr>
            <w:tcW w:w="3022" w:type="dxa"/>
            <w:shd w:val="clear" w:color="auto" w:fill="D9E2F3"/>
            <w:vAlign w:val="center"/>
          </w:tcPr>
          <w:p w14:paraId="3A923D90" w14:textId="77777777" w:rsidR="00537923" w:rsidRDefault="005C5514">
            <w:pPr>
              <w:rPr>
                <w:b/>
              </w:rPr>
            </w:pPr>
            <w:r>
              <w:rPr>
                <w:b/>
              </w:rPr>
              <w:t>Latent count</w:t>
            </w:r>
          </w:p>
        </w:tc>
        <w:tc>
          <w:tcPr>
            <w:tcW w:w="3023" w:type="dxa"/>
            <w:shd w:val="clear" w:color="auto" w:fill="D9E2F3"/>
            <w:vAlign w:val="center"/>
          </w:tcPr>
          <w:p w14:paraId="1750A311" w14:textId="77777777" w:rsidR="00537923" w:rsidRDefault="005C5514">
            <w:pPr>
              <w:rPr>
                <w:b/>
              </w:rPr>
            </w:pPr>
            <w:r>
              <w:rPr>
                <w:b/>
              </w:rPr>
              <w:t>Reason</w:t>
            </w:r>
          </w:p>
        </w:tc>
      </w:tr>
      <w:tr w:rsidR="00537923" w14:paraId="3CFE163C" w14:textId="77777777">
        <w:tc>
          <w:tcPr>
            <w:tcW w:w="3022" w:type="dxa"/>
            <w:vAlign w:val="center"/>
          </w:tcPr>
          <w:p w14:paraId="2A87CA1D" w14:textId="77777777" w:rsidR="00537923" w:rsidRDefault="005C5514">
            <w:r>
              <w:t>Permian fan-out (basin → origin terminals → trunk pipelines)</w:t>
            </w:r>
          </w:p>
        </w:tc>
        <w:tc>
          <w:tcPr>
            <w:tcW w:w="3022" w:type="dxa"/>
            <w:vAlign w:val="center"/>
          </w:tcPr>
          <w:p w14:paraId="3661779A" w14:textId="77777777" w:rsidR="00537923" w:rsidRDefault="005C5514">
            <w:r>
              <w:t>47</w:t>
            </w:r>
          </w:p>
        </w:tc>
        <w:tc>
          <w:tcPr>
            <w:tcW w:w="3023" w:type="dxa"/>
            <w:vAlign w:val="center"/>
          </w:tcPr>
          <w:p w14:paraId="54362A35" w14:textId="77777777" w:rsidR="00537923" w:rsidRDefault="005C5514">
            <w:r>
              <w:t>Per-pipeline splits between Midland, Wink, Crane terminals and downstream Gulf Coast pipelines</w:t>
            </w:r>
          </w:p>
        </w:tc>
      </w:tr>
      <w:tr w:rsidR="00537923" w14:paraId="3AAB2A2E" w14:textId="77777777">
        <w:tc>
          <w:tcPr>
            <w:tcW w:w="3022" w:type="dxa"/>
            <w:vAlign w:val="center"/>
          </w:tcPr>
          <w:p w14:paraId="7AA7D39C" w14:textId="77777777" w:rsidR="00537923" w:rsidRDefault="005C5514">
            <w:r>
              <w:t>Bakken fan-out (gathering → trunk pipelines to PADD 2 and beyond)</w:t>
            </w:r>
          </w:p>
        </w:tc>
        <w:tc>
          <w:tcPr>
            <w:tcW w:w="3022" w:type="dxa"/>
            <w:vAlign w:val="center"/>
          </w:tcPr>
          <w:p w14:paraId="136E0362" w14:textId="77777777" w:rsidR="00537923" w:rsidRDefault="005C5514">
            <w:r>
              <w:t>32</w:t>
            </w:r>
          </w:p>
        </w:tc>
        <w:tc>
          <w:tcPr>
            <w:tcW w:w="3023" w:type="dxa"/>
            <w:vAlign w:val="center"/>
          </w:tcPr>
          <w:p w14:paraId="7E8475E1" w14:textId="77777777" w:rsidR="00537923" w:rsidRDefault="005C5514">
            <w:r>
              <w:t>Per-pipeline splits out of Bakken gathering systems</w:t>
            </w:r>
          </w:p>
        </w:tc>
      </w:tr>
      <w:tr w:rsidR="00537923" w14:paraId="0579A72B" w14:textId="77777777">
        <w:tc>
          <w:tcPr>
            <w:tcW w:w="3022" w:type="dxa"/>
            <w:vAlign w:val="center"/>
          </w:tcPr>
          <w:p w14:paraId="537E00D9" w14:textId="77777777" w:rsidR="00537923" w:rsidRDefault="005C5514">
            <w:r>
              <w:t>Bakken cross-state connector</w:t>
            </w:r>
          </w:p>
        </w:tc>
        <w:tc>
          <w:tcPr>
            <w:tcW w:w="3022" w:type="dxa"/>
            <w:vAlign w:val="center"/>
          </w:tcPr>
          <w:p w14:paraId="23F37261" w14:textId="77777777" w:rsidR="00537923" w:rsidRDefault="005C5514">
            <w:r>
              <w:t>4</w:t>
            </w:r>
          </w:p>
        </w:tc>
        <w:tc>
          <w:tcPr>
            <w:tcW w:w="3023" w:type="dxa"/>
            <w:vAlign w:val="center"/>
          </w:tcPr>
          <w:p w14:paraId="4D77BC25" w14:textId="77777777" w:rsidR="00537923" w:rsidRDefault="005C5514">
            <w:r>
              <w:t>All four flow variables on pipe_bakken_xstate (eleventh migration pass)</w:t>
            </w:r>
          </w:p>
        </w:tc>
      </w:tr>
      <w:tr w:rsidR="00537923" w14:paraId="1D306FBE" w14:textId="77777777">
        <w:tc>
          <w:tcPr>
            <w:tcW w:w="3022" w:type="dxa"/>
            <w:vAlign w:val="center"/>
          </w:tcPr>
          <w:p w14:paraId="270EDA4A" w14:textId="77777777" w:rsidR="00537923" w:rsidRDefault="005C5514">
            <w:r>
              <w:t>Cushing hub sub-decomposition</w:t>
            </w:r>
          </w:p>
        </w:tc>
        <w:tc>
          <w:tcPr>
            <w:tcW w:w="3022" w:type="dxa"/>
            <w:vAlign w:val="center"/>
          </w:tcPr>
          <w:p w14:paraId="7FD90F29" w14:textId="77777777" w:rsidR="00537923" w:rsidRDefault="005C5514">
            <w:r>
              <w:t>18</w:t>
            </w:r>
          </w:p>
        </w:tc>
        <w:tc>
          <w:tcPr>
            <w:tcW w:w="3023" w:type="dxa"/>
            <w:vAlign w:val="center"/>
          </w:tcPr>
          <w:p w14:paraId="4527A6A2" w14:textId="77777777" w:rsidR="00537923" w:rsidRDefault="005C5514">
            <w:r>
              <w:t>Per-operator-sub-terminal splits within the hub (only aggregate stocks observed)</w:t>
            </w:r>
          </w:p>
        </w:tc>
      </w:tr>
      <w:tr w:rsidR="00537923" w14:paraId="14D3AB5F" w14:textId="77777777">
        <w:tc>
          <w:tcPr>
            <w:tcW w:w="3022" w:type="dxa"/>
            <w:vAlign w:val="center"/>
          </w:tcPr>
          <w:p w14:paraId="663B8C29" w14:textId="77777777" w:rsidR="00537923" w:rsidRDefault="005C5514">
            <w:r>
              <w:lastRenderedPageBreak/>
              <w:t>Houston exports sub-decomposition</w:t>
            </w:r>
          </w:p>
        </w:tc>
        <w:tc>
          <w:tcPr>
            <w:tcW w:w="3022" w:type="dxa"/>
            <w:vAlign w:val="center"/>
          </w:tcPr>
          <w:p w14:paraId="157CED52" w14:textId="77777777" w:rsidR="00537923" w:rsidRDefault="005C5514">
            <w:r>
              <w:t>24</w:t>
            </w:r>
          </w:p>
        </w:tc>
        <w:tc>
          <w:tcPr>
            <w:tcW w:w="3023" w:type="dxa"/>
            <w:vAlign w:val="center"/>
          </w:tcPr>
          <w:p w14:paraId="74A90FE5" w14:textId="77777777" w:rsidR="00537923" w:rsidRDefault="005C5514">
            <w:r>
              <w:t>Per-sub-terminal splits within the Houston aggregate</w:t>
            </w:r>
          </w:p>
        </w:tc>
      </w:tr>
      <w:tr w:rsidR="00537923" w14:paraId="69CF9B1C" w14:textId="77777777">
        <w:tc>
          <w:tcPr>
            <w:tcW w:w="3022" w:type="dxa"/>
            <w:vAlign w:val="center"/>
          </w:tcPr>
          <w:p w14:paraId="176213A3" w14:textId="77777777" w:rsidR="00537923" w:rsidRPr="00FA4BAD" w:rsidRDefault="005C5514">
            <w:pPr>
              <w:rPr>
                <w:lang w:val="it-IT"/>
              </w:rPr>
            </w:pPr>
            <w:r w:rsidRPr="00FA4BAD">
              <w:rPr>
                <w:lang w:val="it-IT"/>
              </w:rPr>
              <w:t>Inter-PADD aggregate per-pipeline splits</w:t>
            </w:r>
          </w:p>
        </w:tc>
        <w:tc>
          <w:tcPr>
            <w:tcW w:w="3022" w:type="dxa"/>
            <w:vAlign w:val="center"/>
          </w:tcPr>
          <w:p w14:paraId="28980991" w14:textId="77777777" w:rsidR="00537923" w:rsidRDefault="005C5514">
            <w:r>
              <w:t>196</w:t>
            </w:r>
          </w:p>
        </w:tc>
        <w:tc>
          <w:tcPr>
            <w:tcW w:w="3023" w:type="dxa"/>
            <w:vAlign w:val="center"/>
          </w:tcPr>
          <w:p w14:paraId="6BB3BFBD" w14:textId="77777777" w:rsidR="00537923" w:rsidRDefault="005C5514">
            <w:r>
              <w:t>Each inter-PADD aggregate has multiple constituent pipelines; aggregate flow observed, per-pipeline split latent</w:t>
            </w:r>
          </w:p>
        </w:tc>
      </w:tr>
      <w:tr w:rsidR="00537923" w14:paraId="3F7FFCDF" w14:textId="77777777">
        <w:tc>
          <w:tcPr>
            <w:tcW w:w="3022" w:type="dxa"/>
            <w:vAlign w:val="center"/>
          </w:tcPr>
          <w:p w14:paraId="5C7E7F46" w14:textId="77777777" w:rsidR="00537923" w:rsidRDefault="005C5514">
            <w:r>
              <w:t>SPR per-site outflows</w:t>
            </w:r>
          </w:p>
        </w:tc>
        <w:tc>
          <w:tcPr>
            <w:tcW w:w="3022" w:type="dxa"/>
            <w:vAlign w:val="center"/>
          </w:tcPr>
          <w:p w14:paraId="7BE5952A" w14:textId="77777777" w:rsidR="00537923" w:rsidRDefault="005C5514">
            <w:r>
              <w:t>16</w:t>
            </w:r>
          </w:p>
        </w:tc>
        <w:tc>
          <w:tcPr>
            <w:tcW w:w="3023" w:type="dxa"/>
            <w:vAlign w:val="center"/>
          </w:tcPr>
          <w:p w14:paraId="31986C50" w14:textId="77777777" w:rsidR="00537923" w:rsidRDefault="005C5514">
            <w:r>
              <w:t>Observed only at SPR-total level when released; per-site decomposition latent</w:t>
            </w:r>
          </w:p>
        </w:tc>
      </w:tr>
      <w:tr w:rsidR="00537923" w14:paraId="5B2757CD" w14:textId="77777777">
        <w:tc>
          <w:tcPr>
            <w:tcW w:w="3022" w:type="dxa"/>
            <w:vAlign w:val="center"/>
          </w:tcPr>
          <w:p w14:paraId="2C14DF9D" w14:textId="77777777" w:rsidR="00537923" w:rsidRDefault="005C5514">
            <w:r>
              <w:t>Refinery per-pipeline-receipt flows</w:t>
            </w:r>
          </w:p>
        </w:tc>
        <w:tc>
          <w:tcPr>
            <w:tcW w:w="3022" w:type="dxa"/>
            <w:vAlign w:val="center"/>
          </w:tcPr>
          <w:p w14:paraId="37D35364" w14:textId="77777777" w:rsidR="00537923" w:rsidRDefault="005C5514">
            <w:r>
              <w:t>184</w:t>
            </w:r>
          </w:p>
        </w:tc>
        <w:tc>
          <w:tcPr>
            <w:tcW w:w="3023" w:type="dxa"/>
            <w:vAlign w:val="center"/>
          </w:tcPr>
          <w:p w14:paraId="4132F680" w14:textId="77777777" w:rsidR="00537923" w:rsidRDefault="005C5514">
            <w:r>
              <w:t>Refineries observed at PADD-aggregate level for receipts; per-source-pipeline splits latent</w:t>
            </w:r>
          </w:p>
        </w:tc>
      </w:tr>
      <w:tr w:rsidR="00537923" w14:paraId="7E28A749" w14:textId="77777777">
        <w:tc>
          <w:tcPr>
            <w:tcW w:w="3022" w:type="dxa"/>
            <w:vAlign w:val="center"/>
          </w:tcPr>
          <w:p w14:paraId="0F60425F" w14:textId="77777777" w:rsidR="00537923" w:rsidRDefault="005C5514">
            <w:r>
              <w:t>Origin terminal outflows to multiple downstream pipelines</w:t>
            </w:r>
          </w:p>
        </w:tc>
        <w:tc>
          <w:tcPr>
            <w:tcW w:w="3022" w:type="dxa"/>
            <w:vAlign w:val="center"/>
          </w:tcPr>
          <w:p w14:paraId="7ADEE364" w14:textId="77777777" w:rsidR="00537923" w:rsidRDefault="005C5514">
            <w:r>
              <w:t>89</w:t>
            </w:r>
          </w:p>
        </w:tc>
        <w:tc>
          <w:tcPr>
            <w:tcW w:w="3023" w:type="dxa"/>
            <w:vAlign w:val="center"/>
          </w:tcPr>
          <w:p w14:paraId="53C66BF6" w14:textId="77777777" w:rsidR="00537923" w:rsidRDefault="005C5514">
            <w:r>
              <w:t>Midland, Wink, Crane outflows to multiple trunk pipelines, latent at the per-pipeline level</w:t>
            </w:r>
          </w:p>
        </w:tc>
      </w:tr>
      <w:tr w:rsidR="00537923" w14:paraId="10D5C6C1" w14:textId="77777777">
        <w:tc>
          <w:tcPr>
            <w:tcW w:w="3022" w:type="dxa"/>
            <w:vAlign w:val="center"/>
          </w:tcPr>
          <w:p w14:paraId="78A6A370" w14:textId="77777777" w:rsidR="00537923" w:rsidRDefault="005C5514">
            <w:r>
              <w:t>Offshore production routing</w:t>
            </w:r>
          </w:p>
        </w:tc>
        <w:tc>
          <w:tcPr>
            <w:tcW w:w="3022" w:type="dxa"/>
            <w:vAlign w:val="center"/>
          </w:tcPr>
          <w:p w14:paraId="2BD8ECB6" w14:textId="77777777" w:rsidR="00537923" w:rsidRDefault="005C5514">
            <w:r>
              <w:t>28</w:t>
            </w:r>
          </w:p>
        </w:tc>
        <w:tc>
          <w:tcPr>
            <w:tcW w:w="3023" w:type="dxa"/>
            <w:vAlign w:val="center"/>
          </w:tcPr>
          <w:p w14:paraId="3BFDC0AF" w14:textId="77777777" w:rsidR="00537923" w:rsidRDefault="005C5514">
            <w:r>
              <w:t>Gulf of America platforms route through multiple offshore-to-shore systems, splits unobserved</w:t>
            </w:r>
          </w:p>
        </w:tc>
      </w:tr>
      <w:tr w:rsidR="00537923" w14:paraId="190760F4" w14:textId="77777777">
        <w:tc>
          <w:tcPr>
            <w:tcW w:w="3022" w:type="dxa"/>
            <w:vAlign w:val="center"/>
          </w:tcPr>
          <w:p w14:paraId="74369108" w14:textId="77777777" w:rsidR="00537923" w:rsidRDefault="005C5514">
            <w:r>
              <w:t>Other (smaller subsystems)</w:t>
            </w:r>
          </w:p>
        </w:tc>
        <w:tc>
          <w:tcPr>
            <w:tcW w:w="3022" w:type="dxa"/>
            <w:vAlign w:val="center"/>
          </w:tcPr>
          <w:p w14:paraId="6C66E593" w14:textId="77777777" w:rsidR="00537923" w:rsidRDefault="005C5514">
            <w:r>
              <w:t>14</w:t>
            </w:r>
          </w:p>
        </w:tc>
        <w:tc>
          <w:tcPr>
            <w:tcW w:w="3023" w:type="dxa"/>
            <w:vAlign w:val="center"/>
          </w:tcPr>
          <w:p w14:paraId="42823A67" w14:textId="77777777" w:rsidR="00537923" w:rsidRDefault="005C5514">
            <w:r>
              <w:t>Foreign aggregate boundary edges, miscellaneous latents</w:t>
            </w:r>
          </w:p>
        </w:tc>
      </w:tr>
      <w:tr w:rsidR="00537923" w14:paraId="360D4DA0" w14:textId="77777777">
        <w:tc>
          <w:tcPr>
            <w:tcW w:w="3022" w:type="dxa"/>
            <w:vAlign w:val="center"/>
          </w:tcPr>
          <w:p w14:paraId="4B1F3AD2" w14:textId="77777777" w:rsidR="00537923" w:rsidRDefault="005C5514">
            <w:r>
              <w:t>Total</w:t>
            </w:r>
          </w:p>
        </w:tc>
        <w:tc>
          <w:tcPr>
            <w:tcW w:w="3022" w:type="dxa"/>
            <w:vAlign w:val="center"/>
          </w:tcPr>
          <w:p w14:paraId="08205D63" w14:textId="77777777" w:rsidR="00537923" w:rsidRDefault="005C5514">
            <w:r>
              <w:t>652</w:t>
            </w:r>
          </w:p>
        </w:tc>
        <w:tc>
          <w:tcPr>
            <w:tcW w:w="3023" w:type="dxa"/>
            <w:vAlign w:val="center"/>
          </w:tcPr>
          <w:p w14:paraId="5CAB634C" w14:textId="77777777" w:rsidR="00537923" w:rsidRDefault="00537923"/>
        </w:tc>
      </w:tr>
    </w:tbl>
    <w:p w14:paraId="36BCFF76" w14:textId="77777777" w:rsidR="008E1B31" w:rsidRDefault="005C5514">
      <w:pPr>
        <w:spacing w:after="160" w:line="320" w:lineRule="auto"/>
        <w:jc w:val="both"/>
      </w:pPr>
      <w:r>
        <w:t>These latents are the natural decision variables for the linear programme described in Chapter 8. Each carries a structural relationship to the variables around it via mass balance and capacity constraints, but its value is not pinned down by observation.</w:t>
      </w:r>
    </w:p>
    <w:p w14:paraId="36BCFF77" w14:textId="77777777" w:rsidR="008E1B31" w:rsidRDefault="005C5514">
      <w:pPr>
        <w:pStyle w:val="Heading2"/>
      </w:pPr>
      <w:r>
        <w:t>D.5 Structural zeros by node type</w:t>
      </w:r>
    </w:p>
    <w:p w14:paraId="36BCFF78" w14:textId="77777777" w:rsidR="008E1B31" w:rsidRDefault="005C5514">
      <w:pPr>
        <w:spacing w:after="160" w:line="320" w:lineRule="auto"/>
        <w:jc w:val="both"/>
      </w:pPr>
      <w:r>
        <w:t xml:space="preserve">The 628 structural zero variables are inherited from </w:t>
      </w:r>
      <w:r>
        <w:rPr>
          <w:rFonts w:ascii="Consolas" w:eastAsia="Consolas" w:hAnsi="Consolas" w:cs="Consolas"/>
        </w:rPr>
        <w:t>node_type_default_formulas</w:t>
      </w:r>
      <w:r>
        <w:t>. The distribution by node type:</w:t>
      </w:r>
    </w:p>
    <w:tbl>
      <w:tblPr>
        <w:tblStyle w:val="TableGrid"/>
        <w:tblW w:w="9067" w:type="dxa"/>
        <w:tblLook w:val="04A0" w:firstRow="1" w:lastRow="0" w:firstColumn="1" w:lastColumn="0" w:noHBand="0" w:noVBand="1"/>
      </w:tblPr>
      <w:tblGrid>
        <w:gridCol w:w="2266"/>
        <w:gridCol w:w="2266"/>
        <w:gridCol w:w="2266"/>
        <w:gridCol w:w="2269"/>
      </w:tblGrid>
      <w:tr w:rsidR="00537923" w14:paraId="797BC808" w14:textId="77777777">
        <w:trPr>
          <w:tblHeader/>
        </w:trPr>
        <w:tc>
          <w:tcPr>
            <w:tcW w:w="2266" w:type="dxa"/>
            <w:shd w:val="clear" w:color="auto" w:fill="D9E2F3"/>
            <w:vAlign w:val="center"/>
          </w:tcPr>
          <w:p w14:paraId="3767C5FF" w14:textId="77777777" w:rsidR="00537923" w:rsidRDefault="005C5514">
            <w:pPr>
              <w:rPr>
                <w:b/>
              </w:rPr>
            </w:pPr>
            <w:r>
              <w:rPr>
                <w:b/>
              </w:rPr>
              <w:t>Node type</w:t>
            </w:r>
          </w:p>
        </w:tc>
        <w:tc>
          <w:tcPr>
            <w:tcW w:w="2266" w:type="dxa"/>
            <w:shd w:val="clear" w:color="auto" w:fill="D9E2F3"/>
            <w:vAlign w:val="center"/>
          </w:tcPr>
          <w:p w14:paraId="23239D6F" w14:textId="77777777" w:rsidR="00537923" w:rsidRDefault="005C5514">
            <w:pPr>
              <w:rPr>
                <w:b/>
              </w:rPr>
            </w:pPr>
            <w:r>
              <w:rPr>
                <w:b/>
              </w:rPr>
              <w:t>Structural zeros per node</w:t>
            </w:r>
          </w:p>
        </w:tc>
        <w:tc>
          <w:tcPr>
            <w:tcW w:w="2266" w:type="dxa"/>
            <w:shd w:val="clear" w:color="auto" w:fill="D9E2F3"/>
            <w:vAlign w:val="center"/>
          </w:tcPr>
          <w:p w14:paraId="285B5DFA" w14:textId="77777777" w:rsidR="00537923" w:rsidRDefault="005C5514">
            <w:pPr>
              <w:rPr>
                <w:b/>
              </w:rPr>
            </w:pPr>
            <w:r>
              <w:rPr>
                <w:b/>
              </w:rPr>
              <w:t>Total nodes</w:t>
            </w:r>
          </w:p>
        </w:tc>
        <w:tc>
          <w:tcPr>
            <w:tcW w:w="2269" w:type="dxa"/>
            <w:shd w:val="clear" w:color="auto" w:fill="D9E2F3"/>
            <w:vAlign w:val="center"/>
          </w:tcPr>
          <w:p w14:paraId="54311191" w14:textId="77777777" w:rsidR="00537923" w:rsidRDefault="005C5514">
            <w:pPr>
              <w:rPr>
                <w:b/>
              </w:rPr>
            </w:pPr>
            <w:r>
              <w:rPr>
                <w:b/>
              </w:rPr>
              <w:t>Zero variables</w:t>
            </w:r>
          </w:p>
        </w:tc>
      </w:tr>
      <w:tr w:rsidR="00537923" w14:paraId="60D01945" w14:textId="77777777">
        <w:tc>
          <w:tcPr>
            <w:tcW w:w="2266" w:type="dxa"/>
            <w:vAlign w:val="center"/>
          </w:tcPr>
          <w:p w14:paraId="1CB5CB60" w14:textId="77777777" w:rsidR="00537923" w:rsidRDefault="005C5514">
            <w:r>
              <w:t>Pipeline</w:t>
            </w:r>
          </w:p>
        </w:tc>
        <w:tc>
          <w:tcPr>
            <w:tcW w:w="2266" w:type="dxa"/>
            <w:vAlign w:val="center"/>
          </w:tcPr>
          <w:p w14:paraId="0547EE15" w14:textId="77777777" w:rsidR="00537923" w:rsidRDefault="005C5514">
            <w:r>
              <w:t>4 (P, C, ΔS, B; the four pass-through quantities)</w:t>
            </w:r>
          </w:p>
        </w:tc>
        <w:tc>
          <w:tcPr>
            <w:tcW w:w="2266" w:type="dxa"/>
            <w:vAlign w:val="center"/>
          </w:tcPr>
          <w:p w14:paraId="338544B1" w14:textId="77777777" w:rsidR="00537923" w:rsidRDefault="005C5514">
            <w:r>
              <w:t>37</w:t>
            </w:r>
          </w:p>
        </w:tc>
        <w:tc>
          <w:tcPr>
            <w:tcW w:w="2269" w:type="dxa"/>
            <w:vAlign w:val="center"/>
          </w:tcPr>
          <w:p w14:paraId="1AA90276" w14:textId="77777777" w:rsidR="00537923" w:rsidRDefault="005C5514">
            <w:r>
              <w:t>148</w:t>
            </w:r>
          </w:p>
        </w:tc>
      </w:tr>
      <w:tr w:rsidR="00537923" w14:paraId="56461B4F" w14:textId="77777777">
        <w:tc>
          <w:tcPr>
            <w:tcW w:w="2266" w:type="dxa"/>
            <w:vAlign w:val="center"/>
          </w:tcPr>
          <w:p w14:paraId="2A6652F2" w14:textId="77777777" w:rsidR="00537923" w:rsidRDefault="005C5514">
            <w:r>
              <w:t>Gathering</w:t>
            </w:r>
          </w:p>
        </w:tc>
        <w:tc>
          <w:tcPr>
            <w:tcW w:w="2266" w:type="dxa"/>
            <w:vAlign w:val="center"/>
          </w:tcPr>
          <w:p w14:paraId="3288D074" w14:textId="77777777" w:rsidR="00537923" w:rsidRDefault="005C5514">
            <w:r>
              <w:t>4 (P, C, ΔS, B if no own production) + 1 (P for gatherings within their basin: zero if basin-level P is authoritative elsewhere)</w:t>
            </w:r>
          </w:p>
        </w:tc>
        <w:tc>
          <w:tcPr>
            <w:tcW w:w="2266" w:type="dxa"/>
            <w:vAlign w:val="center"/>
          </w:tcPr>
          <w:p w14:paraId="45B1B101" w14:textId="77777777" w:rsidR="00537923" w:rsidRDefault="005C5514">
            <w:r>
              <w:t>6</w:t>
            </w:r>
          </w:p>
        </w:tc>
        <w:tc>
          <w:tcPr>
            <w:tcW w:w="2269" w:type="dxa"/>
            <w:vAlign w:val="center"/>
          </w:tcPr>
          <w:p w14:paraId="4CE05C6A" w14:textId="77777777" w:rsidR="00537923" w:rsidRDefault="005C5514">
            <w:r>
              <w:t>24</w:t>
            </w:r>
          </w:p>
        </w:tc>
      </w:tr>
      <w:tr w:rsidR="00537923" w14:paraId="11ED31AE" w14:textId="77777777">
        <w:tc>
          <w:tcPr>
            <w:tcW w:w="2266" w:type="dxa"/>
            <w:vAlign w:val="center"/>
          </w:tcPr>
          <w:p w14:paraId="5A928681" w14:textId="77777777" w:rsidR="00537923" w:rsidRDefault="005C5514">
            <w:r>
              <w:t>Refinery</w:t>
            </w:r>
          </w:p>
        </w:tc>
        <w:tc>
          <w:tcPr>
            <w:tcW w:w="2266" w:type="dxa"/>
            <w:vAlign w:val="center"/>
          </w:tcPr>
          <w:p w14:paraId="423EF6C7" w14:textId="77777777" w:rsidR="00537923" w:rsidRDefault="005C5514">
            <w:r>
              <w:t>1 (P; refineries do not produce crude)</w:t>
            </w:r>
          </w:p>
        </w:tc>
        <w:tc>
          <w:tcPr>
            <w:tcW w:w="2266" w:type="dxa"/>
            <w:vAlign w:val="center"/>
          </w:tcPr>
          <w:p w14:paraId="048E0A10" w14:textId="77777777" w:rsidR="00537923" w:rsidRDefault="005C5514">
            <w:r>
              <w:t>24</w:t>
            </w:r>
          </w:p>
        </w:tc>
        <w:tc>
          <w:tcPr>
            <w:tcW w:w="2269" w:type="dxa"/>
            <w:vAlign w:val="center"/>
          </w:tcPr>
          <w:p w14:paraId="5824AC27" w14:textId="77777777" w:rsidR="00537923" w:rsidRDefault="005C5514">
            <w:r>
              <w:t>24</w:t>
            </w:r>
          </w:p>
        </w:tc>
      </w:tr>
      <w:tr w:rsidR="00537923" w14:paraId="46AAB324" w14:textId="77777777">
        <w:tc>
          <w:tcPr>
            <w:tcW w:w="2266" w:type="dxa"/>
            <w:vAlign w:val="center"/>
          </w:tcPr>
          <w:p w14:paraId="5397AE10" w14:textId="77777777" w:rsidR="00537923" w:rsidRDefault="005C5514">
            <w:r>
              <w:lastRenderedPageBreak/>
              <w:t>Storage terminal</w:t>
            </w:r>
          </w:p>
        </w:tc>
        <w:tc>
          <w:tcPr>
            <w:tcW w:w="2266" w:type="dxa"/>
            <w:vAlign w:val="center"/>
          </w:tcPr>
          <w:p w14:paraId="7CFD6B15" w14:textId="77777777" w:rsidR="00537923" w:rsidRDefault="005C5514">
            <w:r>
              <w:t>4 (P, C, ΔS for pass-through stocks, B)</w:t>
            </w:r>
          </w:p>
        </w:tc>
        <w:tc>
          <w:tcPr>
            <w:tcW w:w="2266" w:type="dxa"/>
            <w:vAlign w:val="center"/>
          </w:tcPr>
          <w:p w14:paraId="21020B94" w14:textId="77777777" w:rsidR="00537923" w:rsidRDefault="005C5514">
            <w:r>
              <w:t>10</w:t>
            </w:r>
          </w:p>
        </w:tc>
        <w:tc>
          <w:tcPr>
            <w:tcW w:w="2269" w:type="dxa"/>
            <w:vAlign w:val="center"/>
          </w:tcPr>
          <w:p w14:paraId="6682E57C" w14:textId="77777777" w:rsidR="00537923" w:rsidRDefault="005C5514">
            <w:r>
              <w:t>40</w:t>
            </w:r>
          </w:p>
        </w:tc>
      </w:tr>
      <w:tr w:rsidR="00537923" w14:paraId="14AFD91D" w14:textId="77777777">
        <w:tc>
          <w:tcPr>
            <w:tcW w:w="2266" w:type="dxa"/>
            <w:vAlign w:val="center"/>
          </w:tcPr>
          <w:p w14:paraId="1DA757E7" w14:textId="77777777" w:rsidR="00537923" w:rsidRDefault="005C5514">
            <w:r>
              <w:t>SPR site</w:t>
            </w:r>
          </w:p>
        </w:tc>
        <w:tc>
          <w:tcPr>
            <w:tcW w:w="2266" w:type="dxa"/>
            <w:vAlign w:val="center"/>
          </w:tcPr>
          <w:p w14:paraId="37E3FB01" w14:textId="77777777" w:rsidR="00537923" w:rsidRDefault="005C5514">
            <w:r>
              <w:t>2 (P, C; SPR sites do not produce or consume)</w:t>
            </w:r>
          </w:p>
        </w:tc>
        <w:tc>
          <w:tcPr>
            <w:tcW w:w="2266" w:type="dxa"/>
            <w:vAlign w:val="center"/>
          </w:tcPr>
          <w:p w14:paraId="40213725" w14:textId="77777777" w:rsidR="00537923" w:rsidRDefault="005C5514">
            <w:r>
              <w:t>4</w:t>
            </w:r>
          </w:p>
        </w:tc>
        <w:tc>
          <w:tcPr>
            <w:tcW w:w="2269" w:type="dxa"/>
            <w:vAlign w:val="center"/>
          </w:tcPr>
          <w:p w14:paraId="554D61DA" w14:textId="77777777" w:rsidR="00537923" w:rsidRDefault="005C5514">
            <w:r>
              <w:t>8</w:t>
            </w:r>
          </w:p>
        </w:tc>
      </w:tr>
      <w:tr w:rsidR="00537923" w14:paraId="5CB7B285" w14:textId="77777777">
        <w:tc>
          <w:tcPr>
            <w:tcW w:w="2266" w:type="dxa"/>
            <w:vAlign w:val="center"/>
          </w:tcPr>
          <w:p w14:paraId="3928FD1C" w14:textId="77777777" w:rsidR="00537923" w:rsidRDefault="005C5514">
            <w:r>
              <w:t>Import terminal</w:t>
            </w:r>
          </w:p>
        </w:tc>
        <w:tc>
          <w:tcPr>
            <w:tcW w:w="2266" w:type="dxa"/>
            <w:vAlign w:val="center"/>
          </w:tcPr>
          <w:p w14:paraId="7482F143" w14:textId="77777777" w:rsidR="00537923" w:rsidRDefault="005C5514">
            <w:r>
              <w:t>4 (P, C, ΔS for pass-through, B)</w:t>
            </w:r>
          </w:p>
        </w:tc>
        <w:tc>
          <w:tcPr>
            <w:tcW w:w="2266" w:type="dxa"/>
            <w:vAlign w:val="center"/>
          </w:tcPr>
          <w:p w14:paraId="5E6E8C3A" w14:textId="77777777" w:rsidR="00537923" w:rsidRDefault="005C5514">
            <w:r>
              <w:t>8</w:t>
            </w:r>
          </w:p>
        </w:tc>
        <w:tc>
          <w:tcPr>
            <w:tcW w:w="2269" w:type="dxa"/>
            <w:vAlign w:val="center"/>
          </w:tcPr>
          <w:p w14:paraId="520674B2" w14:textId="77777777" w:rsidR="00537923" w:rsidRDefault="005C5514">
            <w:r>
              <w:t>32</w:t>
            </w:r>
          </w:p>
        </w:tc>
      </w:tr>
      <w:tr w:rsidR="00537923" w14:paraId="7C07816B" w14:textId="77777777">
        <w:tc>
          <w:tcPr>
            <w:tcW w:w="2266" w:type="dxa"/>
            <w:vAlign w:val="center"/>
          </w:tcPr>
          <w:p w14:paraId="0E487AB3" w14:textId="77777777" w:rsidR="00537923" w:rsidRDefault="005C5514">
            <w:r>
              <w:t>Export terminal</w:t>
            </w:r>
          </w:p>
        </w:tc>
        <w:tc>
          <w:tcPr>
            <w:tcW w:w="2266" w:type="dxa"/>
            <w:vAlign w:val="center"/>
          </w:tcPr>
          <w:p w14:paraId="0D97EB77" w14:textId="77777777" w:rsidR="00537923" w:rsidRDefault="005C5514">
            <w:r>
              <w:t>4 (P, C, ΔS for pass-through, B)</w:t>
            </w:r>
          </w:p>
        </w:tc>
        <w:tc>
          <w:tcPr>
            <w:tcW w:w="2266" w:type="dxa"/>
            <w:vAlign w:val="center"/>
          </w:tcPr>
          <w:p w14:paraId="1830DDD2" w14:textId="77777777" w:rsidR="00537923" w:rsidRDefault="005C5514">
            <w:r>
              <w:t>12</w:t>
            </w:r>
          </w:p>
        </w:tc>
        <w:tc>
          <w:tcPr>
            <w:tcW w:w="2269" w:type="dxa"/>
            <w:vAlign w:val="center"/>
          </w:tcPr>
          <w:p w14:paraId="25BA6D80" w14:textId="77777777" w:rsidR="00537923" w:rsidRDefault="005C5514">
            <w:r>
              <w:t>48</w:t>
            </w:r>
          </w:p>
        </w:tc>
      </w:tr>
      <w:tr w:rsidR="00537923" w14:paraId="10E4A026" w14:textId="77777777">
        <w:tc>
          <w:tcPr>
            <w:tcW w:w="2266" w:type="dxa"/>
            <w:vAlign w:val="center"/>
          </w:tcPr>
          <w:p w14:paraId="46FCCF5F" w14:textId="77777777" w:rsidR="00537923" w:rsidRDefault="005C5514">
            <w:r>
              <w:t>Origin terminal</w:t>
            </w:r>
          </w:p>
        </w:tc>
        <w:tc>
          <w:tcPr>
            <w:tcW w:w="2266" w:type="dxa"/>
            <w:vAlign w:val="center"/>
          </w:tcPr>
          <w:p w14:paraId="6BAC3FC2" w14:textId="77777777" w:rsidR="00537923" w:rsidRDefault="005C5514">
            <w:r>
              <w:t>4 (P, C, ΔS, B for pass-through)</w:t>
            </w:r>
          </w:p>
        </w:tc>
        <w:tc>
          <w:tcPr>
            <w:tcW w:w="2266" w:type="dxa"/>
            <w:vAlign w:val="center"/>
          </w:tcPr>
          <w:p w14:paraId="4A16E3EC" w14:textId="77777777" w:rsidR="00537923" w:rsidRDefault="005C5514">
            <w:r>
              <w:t>6</w:t>
            </w:r>
          </w:p>
        </w:tc>
        <w:tc>
          <w:tcPr>
            <w:tcW w:w="2269" w:type="dxa"/>
            <w:vAlign w:val="center"/>
          </w:tcPr>
          <w:p w14:paraId="6B32A4AE" w14:textId="77777777" w:rsidR="00537923" w:rsidRDefault="005C5514">
            <w:r>
              <w:t>24</w:t>
            </w:r>
          </w:p>
        </w:tc>
      </w:tr>
      <w:tr w:rsidR="00537923" w14:paraId="3E8B1EF3" w14:textId="77777777">
        <w:tc>
          <w:tcPr>
            <w:tcW w:w="2266" w:type="dxa"/>
            <w:vAlign w:val="center"/>
          </w:tcPr>
          <w:p w14:paraId="2DE08BE0" w14:textId="77777777" w:rsidR="00537923" w:rsidRDefault="005C5514">
            <w:r>
              <w:t>Boundary source</w:t>
            </w:r>
          </w:p>
        </w:tc>
        <w:tc>
          <w:tcPr>
            <w:tcW w:w="2266" w:type="dxa"/>
            <w:vAlign w:val="center"/>
          </w:tcPr>
          <w:p w14:paraId="1A62E173" w14:textId="77777777" w:rsidR="00537923" w:rsidRDefault="005C5514">
            <w:r>
              <w:t>C, ΔS, B</w:t>
            </w:r>
          </w:p>
        </w:tc>
        <w:tc>
          <w:tcPr>
            <w:tcW w:w="2266" w:type="dxa"/>
            <w:vAlign w:val="center"/>
          </w:tcPr>
          <w:p w14:paraId="5E6FC0C8" w14:textId="77777777" w:rsidR="00537923" w:rsidRDefault="005C5514">
            <w:r>
              <w:t>3 (foreign_supply, canadian_oil_sands, plus structural slots)</w:t>
            </w:r>
          </w:p>
        </w:tc>
        <w:tc>
          <w:tcPr>
            <w:tcW w:w="2269" w:type="dxa"/>
            <w:vAlign w:val="center"/>
          </w:tcPr>
          <w:p w14:paraId="0043A7DB" w14:textId="77777777" w:rsidR="00537923" w:rsidRDefault="005C5514">
            <w:r>
              <w:t>9</w:t>
            </w:r>
          </w:p>
        </w:tc>
      </w:tr>
      <w:tr w:rsidR="00537923" w14:paraId="570B0EF4" w14:textId="77777777">
        <w:tc>
          <w:tcPr>
            <w:tcW w:w="2266" w:type="dxa"/>
            <w:vAlign w:val="center"/>
          </w:tcPr>
          <w:p w14:paraId="7A2F386D" w14:textId="77777777" w:rsidR="00537923" w:rsidRDefault="005C5514">
            <w:r>
              <w:t>Other (region views, observational, mixed)</w:t>
            </w:r>
          </w:p>
        </w:tc>
        <w:tc>
          <w:tcPr>
            <w:tcW w:w="2266" w:type="dxa"/>
            <w:vAlign w:val="center"/>
          </w:tcPr>
          <w:p w14:paraId="0094A842" w14:textId="77777777" w:rsidR="00537923" w:rsidRDefault="005C5514">
            <w:r>
              <w:t>various</w:t>
            </w:r>
          </w:p>
        </w:tc>
        <w:tc>
          <w:tcPr>
            <w:tcW w:w="2266" w:type="dxa"/>
            <w:vAlign w:val="center"/>
          </w:tcPr>
          <w:p w14:paraId="6207ACCA" w14:textId="77777777" w:rsidR="00537923" w:rsidRDefault="005C5514">
            <w:r>
              <w:t>130</w:t>
            </w:r>
          </w:p>
        </w:tc>
        <w:tc>
          <w:tcPr>
            <w:tcW w:w="2269" w:type="dxa"/>
            <w:vAlign w:val="center"/>
          </w:tcPr>
          <w:p w14:paraId="5B7C9FCB" w14:textId="77777777" w:rsidR="00537923" w:rsidRDefault="005C5514">
            <w:r>
              <w:t>271</w:t>
            </w:r>
          </w:p>
        </w:tc>
      </w:tr>
      <w:tr w:rsidR="00537923" w14:paraId="02C946EC" w14:textId="77777777">
        <w:tc>
          <w:tcPr>
            <w:tcW w:w="2266" w:type="dxa"/>
            <w:vAlign w:val="center"/>
          </w:tcPr>
          <w:p w14:paraId="5E49892B" w14:textId="77777777" w:rsidR="00537923" w:rsidRDefault="005C5514">
            <w:r>
              <w:t>Total</w:t>
            </w:r>
          </w:p>
        </w:tc>
        <w:tc>
          <w:tcPr>
            <w:tcW w:w="2266" w:type="dxa"/>
            <w:vAlign w:val="center"/>
          </w:tcPr>
          <w:p w14:paraId="4620315B" w14:textId="77777777" w:rsidR="00537923" w:rsidRDefault="00537923"/>
        </w:tc>
        <w:tc>
          <w:tcPr>
            <w:tcW w:w="2266" w:type="dxa"/>
            <w:vAlign w:val="center"/>
          </w:tcPr>
          <w:p w14:paraId="5C1237C3" w14:textId="77777777" w:rsidR="00537923" w:rsidRDefault="00537923"/>
        </w:tc>
        <w:tc>
          <w:tcPr>
            <w:tcW w:w="2269" w:type="dxa"/>
            <w:vAlign w:val="center"/>
          </w:tcPr>
          <w:p w14:paraId="41F22D86" w14:textId="77777777" w:rsidR="00537923" w:rsidRDefault="005C5514">
            <w:r>
              <w:t>628</w:t>
            </w:r>
          </w:p>
        </w:tc>
      </w:tr>
    </w:tbl>
    <w:p w14:paraId="36BCFF86" w14:textId="77777777" w:rsidR="008E1B31" w:rsidRDefault="005C5514">
      <w:pPr>
        <w:spacing w:after="160" w:line="320" w:lineRule="auto"/>
        <w:jc w:val="both"/>
      </w:pPr>
      <w:r>
        <w:t xml:space="preserve">The total of 628 matches the dispatch count of </w:t>
      </w:r>
      <w:r>
        <w:rPr>
          <w:rFonts w:ascii="Consolas" w:eastAsia="Consolas" w:hAnsi="Consolas" w:cs="Consolas"/>
        </w:rPr>
        <w:t>zero</w:t>
      </w:r>
      <w:r>
        <w:t xml:space="preserve"> rule firings in the starter scenario.</w:t>
      </w:r>
    </w:p>
    <w:p w14:paraId="36BCFF87" w14:textId="77777777" w:rsidR="008E1B31" w:rsidRDefault="005C5514">
      <w:pPr>
        <w:pStyle w:val="Heading2"/>
      </w:pPr>
      <w:r>
        <w:t>D.6 Migration history</w:t>
      </w:r>
    </w:p>
    <w:p w14:paraId="36BCFF88" w14:textId="77777777" w:rsidR="008E1B31" w:rsidRDefault="005C5514">
      <w:pPr>
        <w:spacing w:after="160" w:line="320" w:lineRule="auto"/>
        <w:jc w:val="both"/>
      </w:pPr>
      <w:r>
        <w:t>The starter graph reached its current state through twenty-three migration passes. The major passes are summarised here:</w:t>
      </w:r>
    </w:p>
    <w:tbl>
      <w:tblPr>
        <w:tblStyle w:val="TableGrid"/>
        <w:tblW w:w="9067" w:type="dxa"/>
        <w:tblLook w:val="04A0" w:firstRow="1" w:lastRow="0" w:firstColumn="1" w:lastColumn="0" w:noHBand="0" w:noVBand="1"/>
      </w:tblPr>
      <w:tblGrid>
        <w:gridCol w:w="1252"/>
        <w:gridCol w:w="5316"/>
        <w:gridCol w:w="2499"/>
      </w:tblGrid>
      <w:tr w:rsidR="00537923" w14:paraId="5BF9F2A0" w14:textId="77777777">
        <w:trPr>
          <w:tblHeader/>
        </w:trPr>
        <w:tc>
          <w:tcPr>
            <w:tcW w:w="3022" w:type="dxa"/>
            <w:shd w:val="clear" w:color="auto" w:fill="D9E2F3"/>
            <w:vAlign w:val="center"/>
          </w:tcPr>
          <w:p w14:paraId="7EB28C05" w14:textId="77777777" w:rsidR="00537923" w:rsidRDefault="005C5514">
            <w:pPr>
              <w:rPr>
                <w:b/>
              </w:rPr>
            </w:pPr>
            <w:r>
              <w:rPr>
                <w:b/>
              </w:rPr>
              <w:t>Pass</w:t>
            </w:r>
          </w:p>
        </w:tc>
        <w:tc>
          <w:tcPr>
            <w:tcW w:w="3022" w:type="dxa"/>
            <w:shd w:val="clear" w:color="auto" w:fill="D9E2F3"/>
            <w:vAlign w:val="center"/>
          </w:tcPr>
          <w:p w14:paraId="22B2962E" w14:textId="77777777" w:rsidR="00537923" w:rsidRDefault="005C5514">
            <w:pPr>
              <w:rPr>
                <w:b/>
              </w:rPr>
            </w:pPr>
            <w:r>
              <w:rPr>
                <w:b/>
              </w:rPr>
              <w:t>Description</w:t>
            </w:r>
          </w:p>
        </w:tc>
        <w:tc>
          <w:tcPr>
            <w:tcW w:w="3023" w:type="dxa"/>
            <w:shd w:val="clear" w:color="auto" w:fill="D9E2F3"/>
            <w:vAlign w:val="center"/>
          </w:tcPr>
          <w:p w14:paraId="38381E94" w14:textId="77777777" w:rsidR="00537923" w:rsidRDefault="005C5514">
            <w:pPr>
              <w:rPr>
                <w:b/>
              </w:rPr>
            </w:pPr>
            <w:r>
              <w:rPr>
                <w:b/>
              </w:rPr>
              <w:t>Result on dispatch counts</w:t>
            </w:r>
          </w:p>
        </w:tc>
      </w:tr>
      <w:tr w:rsidR="00537923" w14:paraId="0AF104F8" w14:textId="77777777">
        <w:tc>
          <w:tcPr>
            <w:tcW w:w="3022" w:type="dxa"/>
            <w:vAlign w:val="center"/>
          </w:tcPr>
          <w:p w14:paraId="1EDDBC51" w14:textId="77777777" w:rsidR="00537923" w:rsidRDefault="005C5514">
            <w:r>
              <w:t>1</w:t>
            </w:r>
          </w:p>
        </w:tc>
        <w:tc>
          <w:tcPr>
            <w:tcW w:w="3022" w:type="dxa"/>
            <w:vAlign w:val="center"/>
          </w:tcPr>
          <w:p w14:paraId="3B8E4140" w14:textId="77777777" w:rsidR="00537923" w:rsidRDefault="005C5514">
            <w:r>
              <w:t>Initial seed load from asset_graph.json</w:t>
            </w:r>
          </w:p>
        </w:tc>
        <w:tc>
          <w:tcPr>
            <w:tcW w:w="3023" w:type="dxa"/>
            <w:vAlign w:val="center"/>
          </w:tcPr>
          <w:p w14:paraId="5B69F536" w14:textId="77777777" w:rsidR="00537923" w:rsidRDefault="005C5514">
            <w:r>
              <w:t>Baseline ~1,200 variables, ~50% unresolved</w:t>
            </w:r>
          </w:p>
        </w:tc>
      </w:tr>
      <w:tr w:rsidR="00537923" w14:paraId="66E71F5B" w14:textId="77777777">
        <w:tc>
          <w:tcPr>
            <w:tcW w:w="3022" w:type="dxa"/>
            <w:vAlign w:val="center"/>
          </w:tcPr>
          <w:p w14:paraId="5B58443B" w14:textId="77777777" w:rsidR="00537923" w:rsidRDefault="005C5514">
            <w:r>
              <w:t>2</w:t>
            </w:r>
          </w:p>
        </w:tc>
        <w:tc>
          <w:tcPr>
            <w:tcW w:w="3022" w:type="dxa"/>
            <w:vAlign w:val="center"/>
          </w:tcPr>
          <w:p w14:paraId="643E76BB" w14:textId="77777777" w:rsidR="00537923" w:rsidRDefault="005C5514">
            <w:r>
              <w:t>Populate node_type_default_formulas; resolve pass-through zeros</w:t>
            </w:r>
          </w:p>
        </w:tc>
        <w:tc>
          <w:tcPr>
            <w:tcW w:w="3023" w:type="dxa"/>
            <w:vAlign w:val="center"/>
          </w:tcPr>
          <w:p w14:paraId="4B5DC1F8" w14:textId="77777777" w:rsidR="00537923" w:rsidRDefault="005C5514">
            <w:r>
              <w:t>Unresolved drops to ~30%</w:t>
            </w:r>
          </w:p>
        </w:tc>
      </w:tr>
      <w:tr w:rsidR="00537923" w14:paraId="1374B026" w14:textId="77777777">
        <w:tc>
          <w:tcPr>
            <w:tcW w:w="3022" w:type="dxa"/>
            <w:vAlign w:val="center"/>
          </w:tcPr>
          <w:p w14:paraId="4BAAE536" w14:textId="77777777" w:rsidR="00537923" w:rsidRDefault="005C5514">
            <w:r>
              <w:t>3</w:t>
            </w:r>
          </w:p>
        </w:tc>
        <w:tc>
          <w:tcPr>
            <w:tcW w:w="3022" w:type="dxa"/>
            <w:vAlign w:val="center"/>
          </w:tcPr>
          <w:p w14:paraId="76282BD2" w14:textId="77777777" w:rsidR="00537923" w:rsidRDefault="005C5514">
            <w:r>
              <w:t>Add PADD-level residual nodes; assign EIA PADD aggregates</w:t>
            </w:r>
          </w:p>
        </w:tc>
        <w:tc>
          <w:tcPr>
            <w:tcW w:w="3023" w:type="dxa"/>
            <w:vAlign w:val="center"/>
          </w:tcPr>
          <w:p w14:paraId="7E260402" w14:textId="77777777" w:rsidR="00537923" w:rsidRDefault="005C5514">
            <w:r>
              <w:t>Unresolved drops to ~20%; arithmetic rule first appears</w:t>
            </w:r>
          </w:p>
        </w:tc>
      </w:tr>
      <w:tr w:rsidR="00537923" w14:paraId="179B304B" w14:textId="77777777">
        <w:tc>
          <w:tcPr>
            <w:tcW w:w="3022" w:type="dxa"/>
            <w:vAlign w:val="center"/>
          </w:tcPr>
          <w:p w14:paraId="7E96592C" w14:textId="77777777" w:rsidR="00537923" w:rsidRDefault="005C5514">
            <w:r>
              <w:t>4</w:t>
            </w:r>
          </w:p>
        </w:tc>
        <w:tc>
          <w:tcPr>
            <w:tcW w:w="3022" w:type="dxa"/>
            <w:vAlign w:val="center"/>
          </w:tcPr>
          <w:p w14:paraId="68E7F61A" w14:textId="77777777" w:rsidR="00537923" w:rsidRDefault="005C5514">
            <w:r>
              <w:t>Wire inter-PADD aggregates; add the MCRMP__ series</w:t>
            </w:r>
          </w:p>
        </w:tc>
        <w:tc>
          <w:tcPr>
            <w:tcW w:w="3023" w:type="dxa"/>
            <w:vAlign w:val="center"/>
          </w:tcPr>
          <w:p w14:paraId="25D92CDF" w14:textId="77777777" w:rsidR="00537923" w:rsidRDefault="005C5514">
            <w:r>
              <w:t>Aliases proliferate; reverse-mirror first fires (3 cases)</w:t>
            </w:r>
          </w:p>
        </w:tc>
      </w:tr>
      <w:tr w:rsidR="00537923" w14:paraId="1C920A34" w14:textId="77777777">
        <w:tc>
          <w:tcPr>
            <w:tcW w:w="3022" w:type="dxa"/>
            <w:vAlign w:val="center"/>
          </w:tcPr>
          <w:p w14:paraId="37987973" w14:textId="77777777" w:rsidR="00537923" w:rsidRDefault="005C5514">
            <w:r>
              <w:t>5</w:t>
            </w:r>
          </w:p>
        </w:tc>
        <w:tc>
          <w:tcPr>
            <w:tcW w:w="3022" w:type="dxa"/>
            <w:vAlign w:val="center"/>
          </w:tcPr>
          <w:p w14:paraId="6F780033" w14:textId="77777777" w:rsidR="00537923" w:rsidRDefault="005C5514">
            <w:r>
              <w:t>Add SPR sub-nodes; promote SPR site stocks to authoritative</w:t>
            </w:r>
          </w:p>
        </w:tc>
        <w:tc>
          <w:tcPr>
            <w:tcW w:w="3023" w:type="dxa"/>
            <w:vAlign w:val="center"/>
          </w:tcPr>
          <w:p w14:paraId="69AC930B" w14:textId="77777777" w:rsidR="00537923" w:rsidRDefault="005C5514">
            <w:r>
              <w:t>SPR-aggregate becomes derived; 4 new observed bindings</w:t>
            </w:r>
          </w:p>
        </w:tc>
      </w:tr>
      <w:tr w:rsidR="00537923" w14:paraId="359EF393" w14:textId="77777777">
        <w:tc>
          <w:tcPr>
            <w:tcW w:w="3022" w:type="dxa"/>
            <w:vAlign w:val="center"/>
          </w:tcPr>
          <w:p w14:paraId="299E3460" w14:textId="77777777" w:rsidR="00537923" w:rsidRDefault="005C5514">
            <w:r>
              <w:t>6</w:t>
            </w:r>
          </w:p>
        </w:tc>
        <w:tc>
          <w:tcPr>
            <w:tcW w:w="3022" w:type="dxa"/>
            <w:vAlign w:val="center"/>
          </w:tcPr>
          <w:p w14:paraId="354C054B" w14:textId="77777777" w:rsidR="00537923" w:rsidRDefault="005C5514">
            <w:r>
              <w:t>Promote balancing item B to time-series-observed at PADD and USA</w:t>
            </w:r>
          </w:p>
        </w:tc>
        <w:tc>
          <w:tcPr>
            <w:tcW w:w="3023" w:type="dxa"/>
            <w:vAlign w:val="center"/>
          </w:tcPr>
          <w:p w14:paraId="4073CD7C" w14:textId="77777777" w:rsidR="00537923" w:rsidRDefault="005C5514">
            <w:r>
              <w:t>Closure rule fires drop from ~15 to 0</w:t>
            </w:r>
          </w:p>
        </w:tc>
      </w:tr>
      <w:tr w:rsidR="00537923" w14:paraId="163F3197" w14:textId="77777777">
        <w:tc>
          <w:tcPr>
            <w:tcW w:w="3022" w:type="dxa"/>
            <w:vAlign w:val="center"/>
          </w:tcPr>
          <w:p w14:paraId="2DF32CF7" w14:textId="77777777" w:rsidR="00537923" w:rsidRDefault="005C5514">
            <w:r>
              <w:t>7</w:t>
            </w:r>
          </w:p>
        </w:tc>
        <w:tc>
          <w:tcPr>
            <w:tcW w:w="3022" w:type="dxa"/>
            <w:vAlign w:val="center"/>
          </w:tcPr>
          <w:p w14:paraId="6510BC0C" w14:textId="77777777" w:rsidR="00537923" w:rsidRDefault="005C5514">
            <w:r>
              <w:t>Add origin terminal nodes (Midland, Wink, Crane); declare Permian fan-out latents</w:t>
            </w:r>
          </w:p>
        </w:tc>
        <w:tc>
          <w:tcPr>
            <w:tcW w:w="3023" w:type="dxa"/>
            <w:vAlign w:val="center"/>
          </w:tcPr>
          <w:p w14:paraId="4E0AFAAA" w14:textId="77777777" w:rsidR="00537923" w:rsidRDefault="005C5514">
            <w:r>
              <w:t>Latent count rises to ~400</w:t>
            </w:r>
          </w:p>
        </w:tc>
      </w:tr>
      <w:tr w:rsidR="00537923" w14:paraId="2E292AA6" w14:textId="77777777">
        <w:tc>
          <w:tcPr>
            <w:tcW w:w="3022" w:type="dxa"/>
            <w:vAlign w:val="center"/>
          </w:tcPr>
          <w:p w14:paraId="115E1B91" w14:textId="77777777" w:rsidR="00537923" w:rsidRDefault="005C5514">
            <w:r>
              <w:t>8</w:t>
            </w:r>
          </w:p>
        </w:tc>
        <w:tc>
          <w:tcPr>
            <w:tcW w:w="3022" w:type="dxa"/>
            <w:vAlign w:val="center"/>
          </w:tcPr>
          <w:p w14:paraId="62543582" w14:textId="77777777" w:rsidR="00537923" w:rsidRDefault="005C5514">
            <w:r>
              <w:t>Fix latent-mirror cycle; add cycle gates to build_deps()</w:t>
            </w:r>
          </w:p>
        </w:tc>
        <w:tc>
          <w:tcPr>
            <w:tcW w:w="3023" w:type="dxa"/>
            <w:vAlign w:val="center"/>
          </w:tcPr>
          <w:p w14:paraId="5395A008" w14:textId="77777777" w:rsidR="00537923" w:rsidRDefault="005C5514">
            <w:r>
              <w:t>Resolver runs to completion without CycleError</w:t>
            </w:r>
          </w:p>
        </w:tc>
      </w:tr>
      <w:tr w:rsidR="00537923" w14:paraId="06BE012D" w14:textId="77777777">
        <w:tc>
          <w:tcPr>
            <w:tcW w:w="3022" w:type="dxa"/>
            <w:vAlign w:val="center"/>
          </w:tcPr>
          <w:p w14:paraId="7C55F0AD" w14:textId="77777777" w:rsidR="00537923" w:rsidRDefault="005C5514">
            <w:r>
              <w:t>9</w:t>
            </w:r>
          </w:p>
        </w:tc>
        <w:tc>
          <w:tcPr>
            <w:tcW w:w="3022" w:type="dxa"/>
            <w:vAlign w:val="center"/>
          </w:tcPr>
          <w:p w14:paraId="07FF1CE7" w14:textId="77777777" w:rsidR="00537923" w:rsidRDefault="005C5514">
            <w:r>
              <w:t>Hoist reverse-mirror dependency above early-continue; promote mirror inside Rule 3</w:t>
            </w:r>
          </w:p>
        </w:tc>
        <w:tc>
          <w:tcPr>
            <w:tcW w:w="3023" w:type="dxa"/>
            <w:vAlign w:val="center"/>
          </w:tcPr>
          <w:p w14:paraId="61048DBA" w14:textId="77777777" w:rsidR="00537923" w:rsidRDefault="005C5514">
            <w:r>
              <w:t>Reverse-mirror dispatch lifts from 3 to 15</w:t>
            </w:r>
          </w:p>
        </w:tc>
      </w:tr>
      <w:tr w:rsidR="00537923" w14:paraId="0155311E" w14:textId="77777777">
        <w:tc>
          <w:tcPr>
            <w:tcW w:w="3022" w:type="dxa"/>
            <w:vAlign w:val="center"/>
          </w:tcPr>
          <w:p w14:paraId="423FBE57" w14:textId="77777777" w:rsidR="00537923" w:rsidRDefault="005C5514">
            <w:r>
              <w:lastRenderedPageBreak/>
              <w:t>10</w:t>
            </w:r>
          </w:p>
        </w:tc>
        <w:tc>
          <w:tcPr>
            <w:tcW w:w="3022" w:type="dxa"/>
            <w:vAlign w:val="center"/>
          </w:tcPr>
          <w:p w14:paraId="2275E2C7" w14:textId="77777777" w:rsidR="00537923" w:rsidRDefault="005C5514">
            <w:r>
              <w:t>Add Bakken cross-state connector node; declare its four flow latents</w:t>
            </w:r>
          </w:p>
        </w:tc>
        <w:tc>
          <w:tcPr>
            <w:tcW w:w="3023" w:type="dxa"/>
            <w:vAlign w:val="center"/>
          </w:tcPr>
          <w:p w14:paraId="1F89B799" w14:textId="77777777" w:rsidR="00537923" w:rsidRDefault="005C5514">
            <w:r>
              <w:t>Latent count rises to ~640</w:t>
            </w:r>
          </w:p>
        </w:tc>
      </w:tr>
      <w:tr w:rsidR="00537923" w14:paraId="2EBE72FF" w14:textId="77777777">
        <w:tc>
          <w:tcPr>
            <w:tcW w:w="3022" w:type="dxa"/>
            <w:vAlign w:val="center"/>
          </w:tcPr>
          <w:p w14:paraId="3C49F8C8" w14:textId="77777777" w:rsidR="00537923" w:rsidRDefault="005C5514">
            <w:r>
              <w:t>11</w:t>
            </w:r>
          </w:p>
        </w:tc>
        <w:tc>
          <w:tcPr>
            <w:tcW w:w="3022" w:type="dxa"/>
            <w:vAlign w:val="center"/>
          </w:tcPr>
          <w:p w14:paraId="7CD9E2ED" w14:textId="77777777" w:rsidR="00537923" w:rsidRDefault="005C5514">
            <w:r>
              <w:t>Sub-decompose Houston exports; reorganise Cushing hub sub-terminals</w:t>
            </w:r>
          </w:p>
        </w:tc>
        <w:tc>
          <w:tcPr>
            <w:tcW w:w="3023" w:type="dxa"/>
            <w:vAlign w:val="center"/>
          </w:tcPr>
          <w:p w14:paraId="4DE39456" w14:textId="77777777" w:rsidR="00537923" w:rsidRDefault="005C5514">
            <w:r>
              <w:t>Latent count reaches 652</w:t>
            </w:r>
          </w:p>
        </w:tc>
      </w:tr>
      <w:tr w:rsidR="00537923" w14:paraId="36CCFA79" w14:textId="77777777">
        <w:tc>
          <w:tcPr>
            <w:tcW w:w="3022" w:type="dxa"/>
            <w:vAlign w:val="center"/>
          </w:tcPr>
          <w:p w14:paraId="5B4E6C9D" w14:textId="77777777" w:rsidR="00537923" w:rsidRDefault="005C5514">
            <w:r>
              <w:t>12</w:t>
            </w:r>
          </w:p>
        </w:tc>
        <w:tc>
          <w:tcPr>
            <w:tcW w:w="3022" w:type="dxa"/>
            <w:vAlign w:val="center"/>
          </w:tcPr>
          <w:p w14:paraId="6AA9A3EA" w14:textId="77777777" w:rsidR="00537923" w:rsidRDefault="005C5514">
            <w:r>
              <w:t>Collapse three sum labels (sum_over_children, sum_over_outflows, sum_same_type) into canonical sum</w:t>
            </w:r>
          </w:p>
        </w:tc>
        <w:tc>
          <w:tcPr>
            <w:tcW w:w="3023" w:type="dxa"/>
            <w:vAlign w:val="center"/>
          </w:tcPr>
          <w:p w14:paraId="090242E5" w14:textId="77777777" w:rsidR="00537923" w:rsidRDefault="005C5514">
            <w:r>
              <w:t>Dispatch surface reduced from 11 labels to 9</w:t>
            </w:r>
          </w:p>
        </w:tc>
      </w:tr>
      <w:tr w:rsidR="00537923" w14:paraId="3A2C0010" w14:textId="77777777">
        <w:tc>
          <w:tcPr>
            <w:tcW w:w="3022" w:type="dxa"/>
            <w:vAlign w:val="center"/>
          </w:tcPr>
          <w:p w14:paraId="3A2CAA01" w14:textId="77777777" w:rsidR="00537923" w:rsidRDefault="005C5514">
            <w:r>
              <w:t>13</w:t>
            </w:r>
          </w:p>
        </w:tc>
        <w:tc>
          <w:tcPr>
            <w:tcW w:w="3022" w:type="dxa"/>
            <w:vAlign w:val="center"/>
          </w:tcPr>
          <w:p w14:paraId="3A2CAA02" w14:textId="77777777" w:rsidR="00537923" w:rsidRDefault="005C5514">
            <w:r>
              <w:t>thirteenth_pass_views.py: create the layered materialised views (v_flow_edges, v_aggregation_edges, v_partition_tree, v_node_status, v_node_balance_check, v_aggregation_consistency, v_inventory_changes, v_aggregate_balance, v_node_pcisob, v_formula_input_links, v_partition_sums, v_partition_intra_flows)</w:t>
            </w:r>
          </w:p>
        </w:tc>
        <w:tc>
          <w:tcPr>
            <w:tcW w:w="3023" w:type="dxa"/>
            <w:vAlign w:val="center"/>
          </w:tcPr>
          <w:p w14:paraId="3A2CAA03" w14:textId="77777777" w:rsidR="00537923" w:rsidRDefault="005C5514">
            <w:r>
              <w:t>Structural and analytic views become queryable; renderers and audits read these instead of joining variable_assignments directly</w:t>
            </w:r>
          </w:p>
        </w:tc>
      </w:tr>
      <w:tr w:rsidR="00537923" w14:paraId="3A2C0011" w14:textId="77777777">
        <w:tc>
          <w:tcPr>
            <w:tcW w:w="3022" w:type="dxa"/>
            <w:vAlign w:val="center"/>
          </w:tcPr>
          <w:p w14:paraId="7EB2965D" w14:textId="77777777" w:rsidR="00537923" w:rsidRDefault="005C5514">
            <w:r>
              <w:t>14</w:t>
            </w:r>
          </w:p>
        </w:tc>
        <w:tc>
          <w:tcPr>
            <w:tcW w:w="3022" w:type="dxa"/>
            <w:vAlign w:val="center"/>
          </w:tcPr>
          <w:p w14:paraId="243F6FDD" w14:textId="77777777" w:rsidR="00537923" w:rsidRDefault="005C5514">
            <w:r>
              <w:t>sixteenth_pass_cleanup.py: JSONB attribute cleanup and introduction of v_effective_assignments override semantics</w:t>
            </w:r>
          </w:p>
        </w:tc>
        <w:tc>
          <w:tcPr>
            <w:tcW w:w="3023" w:type="dxa"/>
            <w:vAlign w:val="center"/>
          </w:tcPr>
          <w:p w14:paraId="30B3315A" w14:textId="77777777" w:rsidR="00537923" w:rsidRDefault="005C5514">
            <w:r>
              <w:t>Per-scenario overrides representable without rewriting base assignment rows</w:t>
            </w:r>
          </w:p>
        </w:tc>
      </w:tr>
      <w:tr w:rsidR="00537923" w14:paraId="3A2C0012" w14:textId="77777777">
        <w:tc>
          <w:tcPr>
            <w:tcW w:w="3022" w:type="dxa"/>
            <w:vAlign w:val="center"/>
          </w:tcPr>
          <w:p w14:paraId="657908C8" w14:textId="77777777" w:rsidR="00537923" w:rsidRDefault="005C5514">
            <w:r>
              <w:t>15</w:t>
            </w:r>
          </w:p>
        </w:tc>
        <w:tc>
          <w:tcPr>
            <w:tcW w:w="3022" w:type="dxa"/>
            <w:vAlign w:val="center"/>
          </w:tcPr>
          <w:p w14:paraId="6F52DE9C" w14:textId="77777777" w:rsidR="00537923" w:rsidRDefault="005C5514">
            <w:r>
              <w:t>seventeenth_pass_xstate_membership.py: declare pipe_bakken_xstate as an inventory constituent of its natural parents</w:t>
            </w:r>
          </w:p>
        </w:tc>
        <w:tc>
          <w:tcPr>
            <w:tcW w:w="3023" w:type="dxa"/>
            <w:vAlign w:val="center"/>
          </w:tcPr>
          <w:p w14:paraId="5932ED79" w14:textId="77777777" w:rsidR="00537923" w:rsidRDefault="005C5514">
            <w:r>
              <w:t>Bakken cross-state connector enters the partition tree; closure tightens at PADD-2 inflow</w:t>
            </w:r>
          </w:p>
        </w:tc>
      </w:tr>
      <w:tr w:rsidR="00537923" w14:paraId="3A2C0013" w14:textId="77777777">
        <w:tc>
          <w:tcPr>
            <w:tcW w:w="3022" w:type="dxa"/>
            <w:vAlign w:val="center"/>
          </w:tcPr>
          <w:p w14:paraId="11CD1CE4" w14:textId="77777777" w:rsidR="00537923" w:rsidRDefault="005C5514">
            <w:r>
              <w:t>16</w:t>
            </w:r>
          </w:p>
        </w:tc>
        <w:tc>
          <w:tcPr>
            <w:tcW w:w="3022" w:type="dxa"/>
            <w:vAlign w:val="center"/>
          </w:tcPr>
          <w:p w14:paraId="04DA19D1" w14:textId="77777777" w:rsidR="00537923" w:rsidRDefault="005C5514">
            <w:r>
              <w:t>eighteenth_pass_constraint_membership.py: declare seven constraint nodes as constituents of their natural parents</w:t>
            </w:r>
          </w:p>
        </w:tc>
        <w:tc>
          <w:tcPr>
            <w:tcW w:w="3023" w:type="dxa"/>
            <w:vAlign w:val="center"/>
          </w:tcPr>
          <w:p w14:paraId="3E1D293D" w14:textId="77777777" w:rsidR="00537923" w:rsidRDefault="005C5514">
            <w:r>
              <w:t>Boundary-functional constraint nodes join the partition spine</w:t>
            </w:r>
          </w:p>
        </w:tc>
      </w:tr>
      <w:tr w:rsidR="00537923" w14:paraId="3A2C0014" w14:textId="77777777">
        <w:tc>
          <w:tcPr>
            <w:tcW w:w="3022" w:type="dxa"/>
            <w:vAlign w:val="center"/>
          </w:tcPr>
          <w:p w14:paraId="7FC3D97B" w14:textId="77777777" w:rsidR="00537923" w:rsidRDefault="005C5514">
            <w:r>
              <w:t>17</w:t>
            </w:r>
          </w:p>
        </w:tc>
        <w:tc>
          <w:tcPr>
            <w:tcW w:w="3022" w:type="dxa"/>
            <w:vAlign w:val="center"/>
          </w:tcPr>
          <w:p w14:paraId="177B3919" w14:textId="77777777" w:rsidR="00537923" w:rsidRDefault="005C5514">
            <w:r>
              <w:t>repoint_foreign_supply_to_imports_agg.py and repoint_canadian_corridor_ts.py: move foreign-supply TS authority to the physical aggregate and Canadian corridor TS to the pipeline nodes themselves</w:t>
            </w:r>
          </w:p>
        </w:tc>
        <w:tc>
          <w:tcPr>
            <w:tcW w:w="3023" w:type="dxa"/>
            <w:vAlign w:val="center"/>
          </w:tcPr>
          <w:p w14:paraId="6D4A3FD5" w14:textId="77777777" w:rsidR="00537923" w:rsidRDefault="005C5514">
            <w:r>
              <w:t>Authoritative anchors move from ambiguous aggregate-level to specific physical nodes</w:t>
            </w:r>
          </w:p>
        </w:tc>
      </w:tr>
      <w:tr w:rsidR="00537923" w14:paraId="3A2C0015" w14:textId="77777777">
        <w:tc>
          <w:tcPr>
            <w:tcW w:w="3022" w:type="dxa"/>
            <w:vAlign w:val="center"/>
          </w:tcPr>
          <w:p w14:paraId="547FC0B8" w14:textId="77777777" w:rsidR="00537923" w:rsidRDefault="005C5514">
            <w:r>
              <w:t>18</w:t>
            </w:r>
          </w:p>
        </w:tc>
        <w:tc>
          <w:tcPr>
            <w:tcW w:w="3022" w:type="dxa"/>
            <w:vAlign w:val="center"/>
          </w:tcPr>
          <w:p w14:paraId="441133E0" w14:textId="77777777" w:rsidR="00537923" w:rsidRDefault="005C5514">
            <w:r>
              <w:t>add_padd2_canadian_imports_agg.py and add_partition_aggregates.py: add the PADD-2 Canadian-imports prototype, then generalise to all PADD aggregates (19 abstract nodes added)</w:t>
            </w:r>
          </w:p>
        </w:tc>
        <w:tc>
          <w:tcPr>
            <w:tcW w:w="3023" w:type="dxa"/>
            <w:vAlign w:val="center"/>
          </w:tcPr>
          <w:p w14:paraId="62FFFAD4" w14:textId="77777777" w:rsidR="00537923" w:rsidRDefault="005C5514">
            <w:r>
              <w:t>Inter-PADD movement becomes natively addressable in the partition tree</w:t>
            </w:r>
          </w:p>
        </w:tc>
      </w:tr>
      <w:tr w:rsidR="00537923" w14:paraId="3A2C0016" w14:textId="77777777">
        <w:tc>
          <w:tcPr>
            <w:tcW w:w="3022" w:type="dxa"/>
            <w:vAlign w:val="center"/>
          </w:tcPr>
          <w:p w14:paraId="11468AC8" w14:textId="77777777" w:rsidR="00537923" w:rsidRDefault="005C5514">
            <w:r>
              <w:t>19</w:t>
            </w:r>
          </w:p>
        </w:tc>
        <w:tc>
          <w:tcPr>
            <w:tcW w:w="3022" w:type="dxa"/>
            <w:vAlign w:val="center"/>
          </w:tcPr>
          <w:p w14:paraId="5A46E67B" w14:textId="77777777" w:rsidR="00537923" w:rsidRDefault="005C5514">
            <w:r>
              <w:t>split_bakken_gathering.py and wire_bakken_xstate_into_inter_padds.py: split Bakken gathering into ND/MT components and wire the cross-state connector into the inter-PADD aggregates</w:t>
            </w:r>
          </w:p>
        </w:tc>
        <w:tc>
          <w:tcPr>
            <w:tcW w:w="3023" w:type="dxa"/>
            <w:vAlign w:val="center"/>
          </w:tcPr>
          <w:p w14:paraId="6D04F5FD" w14:textId="77777777" w:rsidR="00537923" w:rsidRDefault="005C5514">
            <w:r>
              <w:t>Bakken cross-state flow becomes explicit; closure improves on PADD 2/4 movement</w:t>
            </w:r>
          </w:p>
        </w:tc>
      </w:tr>
      <w:tr w:rsidR="00537923" w14:paraId="3A2C0017" w14:textId="77777777">
        <w:tc>
          <w:tcPr>
            <w:tcW w:w="3022" w:type="dxa"/>
            <w:vAlign w:val="center"/>
          </w:tcPr>
          <w:p w14:paraId="725DEE08" w14:textId="77777777" w:rsidR="00537923" w:rsidRDefault="005C5514">
            <w:r>
              <w:t>20</w:t>
            </w:r>
          </w:p>
        </w:tc>
        <w:tc>
          <w:tcPr>
            <w:tcW w:w="3022" w:type="dxa"/>
            <w:vAlign w:val="center"/>
          </w:tcPr>
          <w:p w14:paraId="1881A451" w14:textId="77777777" w:rsidR="00537923" w:rsidRDefault="005C5514">
            <w:r>
              <w:t>twenty_first_pass_spr_under_padd3.py and promote_spr_total_to_balance_role.py: place SPR sites under PADD-3 inventory and promote the SPR total from constraint to balance role</w:t>
            </w:r>
          </w:p>
        </w:tc>
        <w:tc>
          <w:tcPr>
            <w:tcW w:w="3023" w:type="dxa"/>
            <w:vAlign w:val="center"/>
          </w:tcPr>
          <w:p w14:paraId="40897132" w14:textId="77777777" w:rsidR="00537923" w:rsidRDefault="005C5514">
            <w:r>
              <w:t>USA-level double-counting of SPR resolved; SPR aggregates correctly via PADD 3</w:t>
            </w:r>
          </w:p>
        </w:tc>
      </w:tr>
      <w:tr w:rsidR="00537923" w14:paraId="3A2C0018" w14:textId="77777777">
        <w:tc>
          <w:tcPr>
            <w:tcW w:w="3022" w:type="dxa"/>
            <w:vAlign w:val="center"/>
          </w:tcPr>
          <w:p w14:paraId="73C866B9" w14:textId="77777777" w:rsidR="00537923" w:rsidRDefault="005C5514">
            <w:r>
              <w:t>21</w:t>
            </w:r>
          </w:p>
        </w:tc>
        <w:tc>
          <w:tcPr>
            <w:tcW w:w="3022" w:type="dxa"/>
            <w:vAlign w:val="center"/>
          </w:tcPr>
          <w:p w14:paraId="6A19C60F" w14:textId="77777777" w:rsidR="00537923" w:rsidRDefault="005C5514">
            <w:r>
              <w:t>add_padd_stock_decomposition.py: per-PADD decomposition of stocks into tank-farms-and-pipelines and refinery-stocks components</w:t>
            </w:r>
          </w:p>
        </w:tc>
        <w:tc>
          <w:tcPr>
            <w:tcW w:w="3023" w:type="dxa"/>
            <w:vAlign w:val="center"/>
          </w:tcPr>
          <w:p w14:paraId="79D01B37" w14:textId="77777777" w:rsidR="00537923" w:rsidRDefault="005C5514">
            <w:r>
              <w:t>Stocks decompose into authoritative sub-components; path opens to per-facility data when sourced</w:t>
            </w:r>
          </w:p>
        </w:tc>
      </w:tr>
      <w:tr w:rsidR="00537923" w14:paraId="3A2C0019" w14:textId="77777777">
        <w:tc>
          <w:tcPr>
            <w:tcW w:w="3022" w:type="dxa"/>
            <w:vAlign w:val="center"/>
          </w:tcPr>
          <w:p w14:paraId="3FB11128" w14:textId="77777777" w:rsidR="00537923" w:rsidRDefault="005C5514">
            <w:r>
              <w:lastRenderedPageBreak/>
              <w:t>22</w:t>
            </w:r>
          </w:p>
        </w:tc>
        <w:tc>
          <w:tcPr>
            <w:tcW w:w="3022" w:type="dxa"/>
            <w:vAlign w:val="center"/>
          </w:tcPr>
          <w:p w14:paraId="06EBEEE5" w14:textId="77777777" w:rsidR="00537923" w:rsidRDefault="005C5514">
            <w:r>
              <w:t>refactor_jones_act_into_inter_padd_agg.py, patch_pipeline_production_capacities.py and patch_pipeline_timeline.py: move Jones-Act in-transit onto the inter-PADD aggregate; backfill pipeline and producer capacity for the present and across 2015-2025</w:t>
            </w:r>
          </w:p>
        </w:tc>
        <w:tc>
          <w:tcPr>
            <w:tcW w:w="3023" w:type="dxa"/>
            <w:vAlign w:val="center"/>
          </w:tcPr>
          <w:p w14:paraId="243885FC" w14:textId="77777777" w:rsidR="00537923" w:rsidRDefault="005C5514">
            <w:r>
              <w:t>Capacity layer populated; capacity violations at 2024-12-01 drop to 0</w:t>
            </w:r>
          </w:p>
        </w:tc>
      </w:tr>
      <w:tr w:rsidR="00537923" w14:paraId="3A2C001A" w14:textId="77777777">
        <w:tc>
          <w:tcPr>
            <w:tcW w:w="3022" w:type="dxa"/>
            <w:vAlign w:val="center"/>
          </w:tcPr>
          <w:p w14:paraId="2778D044" w14:textId="77777777" w:rsidR="00537923" w:rsidRDefault="005C5514">
            <w:r>
              <w:t>23</w:t>
            </w:r>
          </w:p>
        </w:tc>
        <w:tc>
          <w:tcPr>
            <w:tcW w:w="3022" w:type="dxa"/>
            <w:vAlign w:val="center"/>
          </w:tcPr>
          <w:p w14:paraId="60DA91A0" w14:textId="77777777" w:rsidR="00537923" w:rsidRDefault="005C5514">
            <w:r>
              <w:t>add_node_roles.py, add_aggregation_constituents.py, patch_v_aggregation_consistency_missing_data.py, patch_production_caps_from_peaks.py, add_canadian_pipelines_inventory_membership.py and build_us_crude_grade_map.py: role tagging (balance/constraint/auxiliary), aggregation-constituent cross-checks, partial-coverage classification for missing data, production-cap headroom from historical peaks, Canadian-pipeline inventory membership, and the crude-grade hierarchy seed (currently dormant after the grade-trial rollback)</w:t>
            </w:r>
          </w:p>
        </w:tc>
        <w:tc>
          <w:tcPr>
            <w:tcW w:w="3023" w:type="dxa"/>
            <w:vAlign w:val="center"/>
          </w:tcPr>
          <w:p w14:paraId="3C11878F" w14:textId="77777777" w:rsidR="00537923" w:rsidRDefault="005C5514">
            <w:r>
              <w:t>Consistency layer finalised; grade-registry placeholder remains for future work</w:t>
            </w:r>
          </w:p>
        </w:tc>
      </w:tr>
    </w:tbl>
    <w:p w14:paraId="36BCFF97" w14:textId="77777777" w:rsidR="008E1B31" w:rsidRDefault="005C5514">
      <w:pPr>
        <w:spacing w:after="160" w:line="320" w:lineRule="auto"/>
        <w:jc w:val="both"/>
      </w:pPr>
      <w:r>
        <w:t xml:space="preserve">Each migration pass is implemented as a Python script in the </w:t>
      </w:r>
      <w:r>
        <w:rPr>
          <w:rFonts w:ascii="Consolas" w:eastAsia="Consolas" w:hAnsi="Consolas" w:cs="Consolas"/>
        </w:rPr>
        <w:t>migrations/</w:t>
      </w:r>
      <w:r>
        <w:t xml:space="preserve"> directory and is replayable from a fresh database. The current state of the starter scenario is the result of running all twenty-three passes in sequence.</w:t>
      </w:r>
    </w:p>
    <w:p w14:paraId="36BCFF98" w14:textId="77777777" w:rsidR="008E1B31" w:rsidRDefault="005C5514">
      <w:pPr>
        <w:pStyle w:val="Heading2"/>
      </w:pPr>
      <w:r>
        <w:t>D.7 Summary statistics</w:t>
      </w:r>
    </w:p>
    <w:p w14:paraId="36BCFF99" w14:textId="77777777" w:rsidR="008E1B31" w:rsidRDefault="005C5514">
      <w:pPr>
        <w:spacing w:after="160" w:line="320" w:lineRule="auto"/>
        <w:jc w:val="both"/>
      </w:pPr>
      <w:r>
        <w:t>For reference at a glance:</w:t>
      </w:r>
    </w:p>
    <w:p w14:paraId="36BCFF9A" w14:textId="77777777" w:rsidR="008E1B31" w:rsidRDefault="005C5514">
      <w:pPr>
        <w:pStyle w:val="ListParagraph"/>
        <w:numPr>
          <w:ilvl w:val="0"/>
          <w:numId w:val="2"/>
        </w:numPr>
        <w:spacing w:after="80" w:line="320" w:lineRule="auto"/>
        <w:jc w:val="both"/>
      </w:pPr>
      <w:r>
        <w:rPr>
          <w:b/>
          <w:bCs/>
        </w:rPr>
        <w:t>Nodes:</w:t>
      </w:r>
      <w:r>
        <w:t xml:space="preserve"> 251 (217 physical, 34 abstract; including 3 boundary)</w:t>
      </w:r>
    </w:p>
    <w:p w14:paraId="36BCFF9B" w14:textId="77777777" w:rsidR="008E1B31" w:rsidRDefault="005C5514">
      <w:pPr>
        <w:pStyle w:val="ListParagraph"/>
        <w:numPr>
          <w:ilvl w:val="0"/>
          <w:numId w:val="2"/>
        </w:numPr>
        <w:spacing w:after="80" w:line="320" w:lineRule="auto"/>
        <w:jc w:val="both"/>
      </w:pPr>
      <w:r>
        <w:rPr>
          <w:b/>
          <w:bCs/>
        </w:rPr>
        <w:t>Edges:</w:t>
      </w:r>
      <w:r>
        <w:t xml:space="preserve"> 433 directed flow edges</w:t>
      </w:r>
    </w:p>
    <w:p w14:paraId="36BCFF9C" w14:textId="77777777" w:rsidR="008E1B31" w:rsidRDefault="005C5514">
      <w:pPr>
        <w:pStyle w:val="ListParagraph"/>
        <w:numPr>
          <w:ilvl w:val="0"/>
          <w:numId w:val="2"/>
        </w:numPr>
        <w:spacing w:after="80" w:line="320" w:lineRule="auto"/>
        <w:jc w:val="both"/>
      </w:pPr>
      <w:r>
        <w:rPr>
          <w:b/>
          <w:bCs/>
        </w:rPr>
        <w:t>Variables:</w:t>
      </w:r>
      <w:r>
        <w:t xml:space="preserve"> 1,870 under the active scenario</w:t>
      </w:r>
    </w:p>
    <w:p w14:paraId="36BCFF9D" w14:textId="77777777" w:rsidR="008E1B31" w:rsidRDefault="005C5514">
      <w:pPr>
        <w:pStyle w:val="ListParagraph"/>
        <w:numPr>
          <w:ilvl w:val="0"/>
          <w:numId w:val="2"/>
        </w:numPr>
        <w:spacing w:after="80" w:line="320" w:lineRule="auto"/>
        <w:jc w:val="both"/>
      </w:pPr>
      <w:r>
        <w:rPr>
          <w:b/>
          <w:bCs/>
        </w:rPr>
        <w:t>Time-series bindings:</w:t>
      </w:r>
      <w:r>
        <w:t xml:space="preserve"> 80 (in 1:1 attribution)</w:t>
      </w:r>
    </w:p>
    <w:p w14:paraId="36BCFF9E" w14:textId="77777777" w:rsidR="008E1B31" w:rsidRDefault="005C5514">
      <w:pPr>
        <w:pStyle w:val="ListParagraph"/>
        <w:numPr>
          <w:ilvl w:val="0"/>
          <w:numId w:val="2"/>
        </w:numPr>
        <w:spacing w:after="80" w:line="320" w:lineRule="auto"/>
        <w:jc w:val="both"/>
      </w:pPr>
      <w:r>
        <w:rPr>
          <w:b/>
          <w:bCs/>
        </w:rPr>
        <w:t>Observation dates:</w:t>
      </w:r>
      <w:r>
        <w:t xml:space="preserve"> 156 (monthly, January 2015 to December 2024)</w:t>
      </w:r>
    </w:p>
    <w:p w14:paraId="36BCFF9F" w14:textId="77777777" w:rsidR="008E1B31" w:rsidRDefault="005C5514">
      <w:pPr>
        <w:pStyle w:val="ListParagraph"/>
        <w:numPr>
          <w:ilvl w:val="0"/>
          <w:numId w:val="2"/>
        </w:numPr>
        <w:spacing w:after="80" w:line="320" w:lineRule="auto"/>
        <w:jc w:val="both"/>
      </w:pPr>
      <w:r>
        <w:rPr>
          <w:b/>
          <w:bCs/>
        </w:rPr>
        <w:t>Resolved (variable, date) pairs:</w:t>
      </w:r>
      <w:r>
        <w:t xml:space="preserve"> 291,564</w:t>
      </w:r>
    </w:p>
    <w:p w14:paraId="36BCFFA0" w14:textId="77777777" w:rsidR="008E1B31" w:rsidRDefault="005C5514">
      <w:pPr>
        <w:pStyle w:val="ListParagraph"/>
        <w:numPr>
          <w:ilvl w:val="0"/>
          <w:numId w:val="2"/>
        </w:numPr>
        <w:spacing w:after="80" w:line="320" w:lineRule="auto"/>
        <w:jc w:val="both"/>
      </w:pPr>
      <w:r>
        <w:rPr>
          <w:b/>
          <w:bCs/>
        </w:rPr>
        <w:t>Resolver runtime:</w:t>
      </w:r>
      <w:r>
        <w:t xml:space="preserve"> approximately 20 seconds on a developer laptop</w:t>
      </w:r>
    </w:p>
    <w:p w14:paraId="36BCFFA1" w14:textId="77777777" w:rsidR="008E1B31" w:rsidRDefault="005C5514">
      <w:pPr>
        <w:pStyle w:val="ListParagraph"/>
        <w:numPr>
          <w:ilvl w:val="0"/>
          <w:numId w:val="2"/>
        </w:numPr>
        <w:spacing w:after="80" w:line="320" w:lineRule="auto"/>
        <w:jc w:val="both"/>
      </w:pPr>
      <w:r>
        <w:rPr>
          <w:b/>
          <w:bCs/>
        </w:rPr>
        <w:t>Partition closure gap:</w:t>
      </w:r>
      <w:r>
        <w:t xml:space="preserve"> 0 kbd at every PADD aggregate and at the USA aggregate</w:t>
      </w:r>
    </w:p>
    <w:p w14:paraId="36BCFFA2" w14:textId="77777777" w:rsidR="008E1B31" w:rsidRDefault="005C5514">
      <w:pPr>
        <w:pStyle w:val="ListParagraph"/>
        <w:numPr>
          <w:ilvl w:val="0"/>
          <w:numId w:val="2"/>
        </w:numPr>
        <w:spacing w:after="80" w:line="320" w:lineRule="auto"/>
        <w:jc w:val="both"/>
      </w:pPr>
      <w:r>
        <w:rPr>
          <w:b/>
          <w:bCs/>
        </w:rPr>
        <w:t>Unresolved variables:</w:t>
      </w:r>
      <w:r>
        <w:t xml:space="preserve"> 0 in the current healthy state</w:t>
      </w:r>
    </w:p>
    <w:p w14:paraId="36BCFFA3" w14:textId="77777777" w:rsidR="008E1B31" w:rsidRDefault="005C5514">
      <w:pPr>
        <w:spacing w:after="80"/>
      </w:pPr>
      <w:r>
        <w:rPr>
          <w:sz w:val="12"/>
          <w:szCs w:val="12"/>
        </w:rPr>
        <w:t xml:space="preserve"> </w:t>
      </w:r>
    </w:p>
    <w:p w14:paraId="36BCFFA4" w14:textId="77777777" w:rsidR="008E1B31" w:rsidRDefault="005C5514">
      <w:r>
        <w:br w:type="page"/>
      </w:r>
    </w:p>
    <w:p w14:paraId="36BCFFA5" w14:textId="77777777" w:rsidR="008E1B31" w:rsidRDefault="005C5514">
      <w:pPr>
        <w:pStyle w:val="Heading1"/>
        <w:pageBreakBefore/>
        <w:spacing w:before="240"/>
      </w:pPr>
      <w:r>
        <w:lastRenderedPageBreak/>
        <w:t>References</w:t>
      </w:r>
    </w:p>
    <w:p w14:paraId="36BCFFA6" w14:textId="77777777" w:rsidR="008E1B31" w:rsidRDefault="005C5514">
      <w:pPr>
        <w:spacing w:after="120" w:line="280" w:lineRule="auto"/>
        <w:ind w:left="360" w:hanging="360"/>
      </w:pPr>
      <w:r>
        <w:rPr>
          <w:sz w:val="21"/>
          <w:szCs w:val="21"/>
        </w:rPr>
        <w:t>Ahn, S., Choi, J. and Park, S. (2024) "Probabilistic supply chain prediction using graph neural networks", Journal of Supply Chain Management.</w:t>
      </w:r>
    </w:p>
    <w:p w14:paraId="36BCFFA7" w14:textId="77777777" w:rsidR="008E1B31" w:rsidRDefault="005C5514">
      <w:pPr>
        <w:spacing w:after="120" w:line="280" w:lineRule="auto"/>
        <w:ind w:left="360" w:hanging="360"/>
      </w:pPr>
      <w:r>
        <w:rPr>
          <w:sz w:val="21"/>
          <w:szCs w:val="21"/>
        </w:rPr>
        <w:t>Fattouh, B. (2011) An Anatomy of the Crude Oil Pricing System, Oxford Institute for Energy Studies, WPM 40.</w:t>
      </w:r>
    </w:p>
    <w:p w14:paraId="36BCFFA8" w14:textId="77777777" w:rsidR="008E1B31" w:rsidRDefault="005C5514">
      <w:pPr>
        <w:spacing w:after="120" w:line="280" w:lineRule="auto"/>
        <w:ind w:left="360" w:hanging="360"/>
      </w:pPr>
      <w:r>
        <w:rPr>
          <w:sz w:val="21"/>
          <w:szCs w:val="21"/>
        </w:rPr>
        <w:t>Fernandes, L.J., Relvas, S. and Barbosa-Póvoa, A.P. (2013) "Strategic network design of downstream petroleum supply chains: single versus multi-entity participation", Chemical Engineering Research and Design, 91(8), pp. 1557–1587.</w:t>
      </w:r>
    </w:p>
    <w:p w14:paraId="36BCFFA9" w14:textId="77777777" w:rsidR="008E1B31" w:rsidRDefault="005C5514">
      <w:pPr>
        <w:spacing w:after="120" w:line="280" w:lineRule="auto"/>
        <w:ind w:left="360" w:hanging="360"/>
      </w:pPr>
      <w:r>
        <w:rPr>
          <w:sz w:val="21"/>
          <w:szCs w:val="21"/>
        </w:rPr>
        <w:t>Ghaithan, A.M., Attia, A. and Duffuaa, S.O. (2017) "Multi-objective optimization model for a downstream oil and gas supply chain", Applied Mathematical Modelling, 52, pp. 689–708.</w:t>
      </w:r>
    </w:p>
    <w:p w14:paraId="36BCFFAA" w14:textId="77777777" w:rsidR="008E1B31" w:rsidRDefault="005C5514">
      <w:pPr>
        <w:spacing w:after="120" w:line="280" w:lineRule="auto"/>
        <w:ind w:left="360" w:hanging="360"/>
      </w:pPr>
      <w:r>
        <w:rPr>
          <w:sz w:val="21"/>
          <w:szCs w:val="21"/>
        </w:rPr>
        <w:t>Grover, A. and Leskovec, J. (2016) "node2vec: scalable feature learning for networks", in Proceedings of the 22nd ACM SIGKDD International Conference on Knowledge Discovery and Data Mining, pp. 855–864.</w:t>
      </w:r>
    </w:p>
    <w:p w14:paraId="36BCFFAB" w14:textId="77777777" w:rsidR="008E1B31" w:rsidRDefault="005C5514">
      <w:pPr>
        <w:spacing w:after="120" w:line="280" w:lineRule="auto"/>
        <w:ind w:left="360" w:hanging="360"/>
      </w:pPr>
      <w:r>
        <w:rPr>
          <w:sz w:val="21"/>
          <w:szCs w:val="21"/>
        </w:rPr>
        <w:t>Hamilton, W., Ying, Z. and Leskovec, J. (2017) "Inductive representation learning on large graphs", in Advances in Neural Information Processing Systems 30, pp. 1024–1034.</w:t>
      </w:r>
    </w:p>
    <w:p w14:paraId="36BCFFAC" w14:textId="77777777" w:rsidR="008E1B31" w:rsidRDefault="005C5514">
      <w:pPr>
        <w:spacing w:after="120" w:line="280" w:lineRule="auto"/>
        <w:ind w:left="360" w:hanging="360"/>
      </w:pPr>
      <w:r>
        <w:rPr>
          <w:sz w:val="21"/>
          <w:szCs w:val="21"/>
        </w:rPr>
        <w:t>Jin, M., Koh, H.Y., Wen, Q., Zambon, D., Alippi, C., Webb, G.I., King, I. and Pan, S. (2024) "A survey on graph neural networks for time series: forecasting, classification, imputation, and anomaly detection", IEEE Transactions on Pattern Analysis and Machine Intelligence.</w:t>
      </w:r>
    </w:p>
    <w:p w14:paraId="36BCFFAD" w14:textId="77777777" w:rsidR="008E1B31" w:rsidRDefault="005C5514">
      <w:pPr>
        <w:spacing w:after="120" w:line="280" w:lineRule="auto"/>
        <w:ind w:left="360" w:hanging="360"/>
      </w:pPr>
      <w:r>
        <w:rPr>
          <w:sz w:val="21"/>
          <w:szCs w:val="21"/>
        </w:rPr>
        <w:t>Kazemi, Y. and Szmerekovsky, J. (2015) "Modeling downstream petroleum supply chain: the importance of multi-mode transportation to strategic planning", Transportation Research Part E, 83, pp. 111–125.</w:t>
      </w:r>
    </w:p>
    <w:p w14:paraId="36BCFFAE" w14:textId="77777777" w:rsidR="008E1B31" w:rsidRDefault="005C5514">
      <w:pPr>
        <w:spacing w:after="120" w:line="280" w:lineRule="auto"/>
        <w:ind w:left="360" w:hanging="360"/>
      </w:pPr>
      <w:r>
        <w:rPr>
          <w:sz w:val="21"/>
          <w:szCs w:val="21"/>
        </w:rPr>
        <w:t>Kipf, T.N. and Welling, M. (2017) "Semi-supervised classification with graph convolutional networks", in International Conference on Learning Representations.</w:t>
      </w:r>
    </w:p>
    <w:p w14:paraId="36BCFFAF" w14:textId="77777777" w:rsidR="008E1B31" w:rsidRDefault="005C5514">
      <w:pPr>
        <w:spacing w:after="120" w:line="280" w:lineRule="auto"/>
        <w:ind w:left="360" w:hanging="360"/>
      </w:pPr>
      <w:r>
        <w:rPr>
          <w:sz w:val="21"/>
          <w:szCs w:val="21"/>
        </w:rPr>
        <w:t>Kosasih, E.E. and Brintrup, A. (2022) "A machine learning approach for predicting hidden links in supply chain with graph neural networks", International Journal of Production Research, 60(17), pp. 5380–5393.</w:t>
      </w:r>
    </w:p>
    <w:p w14:paraId="36BCFFB0" w14:textId="77777777" w:rsidR="008E1B31" w:rsidRDefault="005C5514">
      <w:pPr>
        <w:spacing w:after="120" w:line="280" w:lineRule="auto"/>
        <w:ind w:left="360" w:hanging="360"/>
      </w:pPr>
      <w:r>
        <w:rPr>
          <w:sz w:val="21"/>
          <w:szCs w:val="21"/>
        </w:rPr>
        <w:t>Li, Y., Yu, R., Shahabi, C. and Liu, Y. (2018) "Diffusion convolutional recurrent neural network: data-driven traffic forecasting", in International Conference on Learning Representations.</w:t>
      </w:r>
    </w:p>
    <w:p w14:paraId="36BCFFB1" w14:textId="77777777" w:rsidR="008E1B31" w:rsidRDefault="005C5514">
      <w:pPr>
        <w:spacing w:after="120" w:line="280" w:lineRule="auto"/>
        <w:ind w:left="360" w:hanging="360"/>
      </w:pPr>
      <w:r>
        <w:rPr>
          <w:sz w:val="21"/>
          <w:szCs w:val="21"/>
        </w:rPr>
        <w:t>Lima, C., Relvas, S. and Barbosa-Póvoa, A.P. (2016) "Downstream oil supply chain management: a critical review and future directions", Computers and Chemical Engineering, 92, pp. 78–92.</w:t>
      </w:r>
    </w:p>
    <w:p w14:paraId="36BCFFB2" w14:textId="77777777" w:rsidR="008E1B31" w:rsidRDefault="005C5514">
      <w:pPr>
        <w:spacing w:after="120" w:line="280" w:lineRule="auto"/>
        <w:ind w:left="360" w:hanging="360"/>
      </w:pPr>
      <w:r>
        <w:rPr>
          <w:sz w:val="21"/>
          <w:szCs w:val="21"/>
        </w:rPr>
        <w:t>Perozzi, B., Al-Rfou, R. and Skiena, S. (2014) "DeepWalk: online learning of social representations", in Proceedings of the 20th ACM SIGKDD International Conference on Knowledge Discovery and Data Mining, pp. 701–710.</w:t>
      </w:r>
    </w:p>
    <w:p w14:paraId="36BCFFB3" w14:textId="77777777" w:rsidR="008E1B31" w:rsidRDefault="005C5514">
      <w:pPr>
        <w:spacing w:after="120" w:line="280" w:lineRule="auto"/>
        <w:ind w:left="360" w:hanging="360"/>
      </w:pPr>
      <w:r>
        <w:rPr>
          <w:sz w:val="21"/>
          <w:szCs w:val="21"/>
        </w:rPr>
        <w:t>Ribas, G.P., Hamacher, S. and Street, A. (2010) "Optimization under uncertainty of the integrated oil supply chain using stochastic and robust programming", International Transactions in Operational Research, 17(6), pp. 777–796.</w:t>
      </w:r>
    </w:p>
    <w:p w14:paraId="36BCFFB4" w14:textId="77777777" w:rsidR="008E1B31" w:rsidRDefault="005C5514">
      <w:pPr>
        <w:spacing w:after="120" w:line="280" w:lineRule="auto"/>
        <w:ind w:left="360" w:hanging="360"/>
      </w:pPr>
      <w:r>
        <w:rPr>
          <w:sz w:val="21"/>
          <w:szCs w:val="21"/>
        </w:rPr>
        <w:t>Rossi, E., Chamberlain, B., Frasca, F., Eynard, D., Monti, F. and Bronstein, M. (2020) "Temporal graph networks for deep learning on dynamic graphs", in ICML 2020 Workshop on Graph Representation Learning.</w:t>
      </w:r>
    </w:p>
    <w:p w14:paraId="36BCFFB5" w14:textId="77777777" w:rsidR="008E1B31" w:rsidRDefault="005C5514">
      <w:pPr>
        <w:spacing w:after="120" w:line="280" w:lineRule="auto"/>
        <w:ind w:left="360" w:hanging="360"/>
      </w:pPr>
      <w:r>
        <w:rPr>
          <w:sz w:val="21"/>
          <w:szCs w:val="21"/>
        </w:rPr>
        <w:t>Stopford, M. (2009) Maritime Economics. 3rd edn. London: Routledge.</w:t>
      </w:r>
    </w:p>
    <w:p w14:paraId="36BCFFB6" w14:textId="77777777" w:rsidR="008E1B31" w:rsidRDefault="005C5514">
      <w:pPr>
        <w:spacing w:after="120" w:line="280" w:lineRule="auto"/>
        <w:ind w:left="360" w:hanging="360"/>
      </w:pPr>
      <w:r>
        <w:rPr>
          <w:sz w:val="21"/>
          <w:szCs w:val="21"/>
        </w:rPr>
        <w:lastRenderedPageBreak/>
        <w:t>Tang, J., Qu, M., Wang, M., Zhang, M., Yan, J. and Mei, Q. (2015) "LINE: large-scale information network embedding", in Proceedings of the 24th International Conference on World Wide Web, pp. 1067–1077.</w:t>
      </w:r>
    </w:p>
    <w:p w14:paraId="36BCFFB7" w14:textId="77777777" w:rsidR="008E1B31" w:rsidRDefault="005C5514">
      <w:pPr>
        <w:spacing w:after="120" w:line="280" w:lineRule="auto"/>
        <w:ind w:left="360" w:hanging="360"/>
      </w:pPr>
      <w:r>
        <w:rPr>
          <w:sz w:val="21"/>
          <w:szCs w:val="21"/>
        </w:rPr>
        <w:t>Veličković, P., Cucurull, G., Casanova, A., Romero, A., Liò, P. and Bengio, Y. (2018) "Graph attention networks", in International Conference on Learning Representations.</w:t>
      </w:r>
    </w:p>
    <w:p w14:paraId="36BCFFB8" w14:textId="77777777" w:rsidR="008E1B31" w:rsidRDefault="005C5514">
      <w:pPr>
        <w:spacing w:after="120" w:line="280" w:lineRule="auto"/>
        <w:ind w:left="360" w:hanging="360"/>
      </w:pPr>
      <w:r>
        <w:rPr>
          <w:sz w:val="21"/>
          <w:szCs w:val="21"/>
        </w:rPr>
        <w:t>Wang, Y., Cai, Y., Liang, Y., Ding, H., Wang, C., Bhatia, S. and Hooi, B. (2021) "Inductive representation learning in temporal networks via causal anonymous walks", in International Conference on Learning Representations.</w:t>
      </w:r>
    </w:p>
    <w:p w14:paraId="36BCFFB9" w14:textId="77777777" w:rsidR="008E1B31" w:rsidRDefault="005C5514">
      <w:pPr>
        <w:spacing w:after="120" w:line="280" w:lineRule="auto"/>
        <w:ind w:left="360" w:hanging="360"/>
      </w:pPr>
      <w:r>
        <w:rPr>
          <w:sz w:val="21"/>
          <w:szCs w:val="21"/>
        </w:rPr>
        <w:t>Wasi, A.T., Islam, M.A. and Akib, A.R. (2024) "SupplyGraph: a benchmark dataset for supply chain planning using graph neural networks", in AAAI 2024 Workshop on Graphs and More Complex Structures for Learning and Reasoning.</w:t>
      </w:r>
    </w:p>
    <w:p w14:paraId="36BCFFBA" w14:textId="77777777" w:rsidR="008E1B31" w:rsidRDefault="005C5514">
      <w:pPr>
        <w:spacing w:after="120" w:line="280" w:lineRule="auto"/>
        <w:ind w:left="360" w:hanging="360"/>
      </w:pPr>
      <w:r>
        <w:rPr>
          <w:sz w:val="21"/>
          <w:szCs w:val="21"/>
        </w:rPr>
        <w:t>Wu, Z., Pan, S., Chen, F., Long, G., Zhang, C. and Yu, P.S. (2020) "A comprehensive survey on graph neural networks", IEEE Transactions on Neural Networks and Learning Systems, 32(1), pp. 4–24.</w:t>
      </w:r>
    </w:p>
    <w:p w14:paraId="36BCFFBB" w14:textId="77777777" w:rsidR="008E1B31" w:rsidRDefault="005C5514">
      <w:pPr>
        <w:spacing w:after="120" w:line="280" w:lineRule="auto"/>
        <w:ind w:left="360" w:hanging="360"/>
      </w:pPr>
      <w:r>
        <w:rPr>
          <w:sz w:val="21"/>
          <w:szCs w:val="21"/>
        </w:rPr>
        <w:t>Xu, D., Ruan, C., Korpeoglu, E., Kumar, S. and Achan, K. (2020) "Inductive representation learning on temporal graphs", in International Conference on Learning Representations.</w:t>
      </w:r>
    </w:p>
    <w:p w14:paraId="36BCFFBC" w14:textId="77777777" w:rsidR="008E1B31" w:rsidRDefault="005C5514">
      <w:pPr>
        <w:spacing w:after="120" w:line="280" w:lineRule="auto"/>
        <w:ind w:left="360" w:hanging="360"/>
      </w:pPr>
      <w:r>
        <w:rPr>
          <w:sz w:val="21"/>
          <w:szCs w:val="21"/>
        </w:rPr>
        <w:t>Yu, B., Yin, H. and Zhu, Z. (2018) "Spatio-temporal graph convolutional networks: a deep learning framework for traffic forecasting", in Proceedings of the 27th International Joint Conference on Artificial Intelligence, pp. 3634–3640.</w:t>
      </w:r>
    </w:p>
    <w:sectPr w:rsidR="008E1B31">
      <w:headerReference w:type="default" r:id="rId19"/>
      <w:footerReference w:type="default" r:id="rId20"/>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dro Porfirio" w:date="2026-05-21T10:38:00Z" w:initials="PP">
    <w:p w14:paraId="4FDC2D8A" w14:textId="77777777" w:rsidR="00887766" w:rsidRDefault="00887766" w:rsidP="00887766">
      <w:pPr>
        <w:pStyle w:val="CommentText"/>
      </w:pPr>
      <w:r>
        <w:rPr>
          <w:rStyle w:val="CommentReference"/>
        </w:rPr>
        <w:annotationRef/>
      </w:r>
      <w:r>
        <w:t>Shall we stop at the crude oil model only and eave this for further work?</w:t>
      </w:r>
    </w:p>
  </w:comment>
  <w:comment w:id="1" w:author="Pedro Porfirio" w:date="2026-05-21T11:14:00Z" w:initials="PP">
    <w:p w14:paraId="4895926D" w14:textId="77777777" w:rsidR="007F777D" w:rsidRDefault="007F777D" w:rsidP="007F777D">
      <w:pPr>
        <w:pStyle w:val="CommentText"/>
      </w:pPr>
      <w:r>
        <w:rPr>
          <w:rStyle w:val="CommentReference"/>
        </w:rPr>
        <w:annotationRef/>
      </w:r>
      <w:r>
        <w:t>Do we leave this for future work?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DC2D8A" w15:done="0"/>
  <w15:commentEx w15:paraId="489592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1D2EB8" w16cex:dateUtc="2026-05-21T09:38:00Z"/>
  <w16cex:commentExtensible w16cex:durableId="2EE39022" w16cex:dateUtc="2026-05-21T1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DC2D8A" w16cid:durableId="041D2EB8"/>
  <w16cid:commentId w16cid:paraId="4895926D" w16cid:durableId="2EE390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1F9BD" w14:textId="77777777" w:rsidR="003E20E6" w:rsidRDefault="003E20E6">
      <w:r>
        <w:separator/>
      </w:r>
    </w:p>
  </w:endnote>
  <w:endnote w:type="continuationSeparator" w:id="0">
    <w:p w14:paraId="6E8BF452" w14:textId="77777777" w:rsidR="003E20E6" w:rsidRDefault="003E20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C0" w14:textId="14305D73" w:rsidR="008E1B31" w:rsidRDefault="005C5514">
    <w:pPr>
      <w:jc w:val="center"/>
    </w:pPr>
    <w:r>
      <w:rPr>
        <w:sz w:val="20"/>
        <w:szCs w:val="20"/>
      </w:rPr>
      <w:fldChar w:fldCharType="begin"/>
    </w:r>
    <w:r>
      <w:rPr>
        <w:sz w:val="20"/>
        <w:szCs w:val="20"/>
      </w:rPr>
      <w:instrText>PAGE</w:instrText>
    </w:r>
    <w:r>
      <w:rPr>
        <w:sz w:val="20"/>
        <w:szCs w:val="20"/>
      </w:rPr>
      <w:fldChar w:fldCharType="separate"/>
    </w:r>
    <w:r w:rsidR="00A971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CF0DD" w14:textId="77777777" w:rsidR="003E20E6" w:rsidRDefault="003E20E6">
      <w:r>
        <w:separator/>
      </w:r>
    </w:p>
  </w:footnote>
  <w:footnote w:type="continuationSeparator" w:id="0">
    <w:p w14:paraId="1880ED60" w14:textId="77777777" w:rsidR="003E20E6" w:rsidRDefault="003E20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BF" w14:textId="77777777" w:rsidR="008E1B31" w:rsidRDefault="005C5514">
    <w:pPr>
      <w:jc w:val="right"/>
    </w:pPr>
    <w:r>
      <w:rPr>
        <w:i/>
        <w:iCs/>
        <w:sz w:val="18"/>
        <w:szCs w:val="18"/>
      </w:rPr>
      <w:t>Asset-Centric Temporal Graphs for Crude Oil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0BE"/>
    <w:multiLevelType w:val="hybridMultilevel"/>
    <w:tmpl w:val="026A163A"/>
    <w:lvl w:ilvl="0" w:tplc="1FE294C6">
      <w:start w:val="1"/>
      <w:numFmt w:val="bullet"/>
      <w:lvlText w:val="●"/>
      <w:lvlJc w:val="left"/>
      <w:pPr>
        <w:ind w:left="720" w:hanging="360"/>
      </w:pPr>
    </w:lvl>
    <w:lvl w:ilvl="1" w:tplc="F6082B3E">
      <w:start w:val="1"/>
      <w:numFmt w:val="bullet"/>
      <w:lvlText w:val="○"/>
      <w:lvlJc w:val="left"/>
      <w:pPr>
        <w:ind w:left="1440" w:hanging="360"/>
      </w:pPr>
    </w:lvl>
    <w:lvl w:ilvl="2" w:tplc="4DE83A7A">
      <w:start w:val="1"/>
      <w:numFmt w:val="bullet"/>
      <w:lvlText w:val="■"/>
      <w:lvlJc w:val="left"/>
      <w:pPr>
        <w:ind w:left="2160" w:hanging="360"/>
      </w:pPr>
    </w:lvl>
    <w:lvl w:ilvl="3" w:tplc="EDCC5A6A">
      <w:start w:val="1"/>
      <w:numFmt w:val="bullet"/>
      <w:lvlText w:val="●"/>
      <w:lvlJc w:val="left"/>
      <w:pPr>
        <w:ind w:left="2880" w:hanging="360"/>
      </w:pPr>
    </w:lvl>
    <w:lvl w:ilvl="4" w:tplc="F40E3D26">
      <w:start w:val="1"/>
      <w:numFmt w:val="bullet"/>
      <w:lvlText w:val="○"/>
      <w:lvlJc w:val="left"/>
      <w:pPr>
        <w:ind w:left="3600" w:hanging="360"/>
      </w:pPr>
    </w:lvl>
    <w:lvl w:ilvl="5" w:tplc="60FC21B6">
      <w:start w:val="1"/>
      <w:numFmt w:val="bullet"/>
      <w:lvlText w:val="■"/>
      <w:lvlJc w:val="left"/>
      <w:pPr>
        <w:ind w:left="4320" w:hanging="360"/>
      </w:pPr>
    </w:lvl>
    <w:lvl w:ilvl="6" w:tplc="A2A041E4">
      <w:start w:val="1"/>
      <w:numFmt w:val="bullet"/>
      <w:lvlText w:val="●"/>
      <w:lvlJc w:val="left"/>
      <w:pPr>
        <w:ind w:left="5040" w:hanging="360"/>
      </w:pPr>
    </w:lvl>
    <w:lvl w:ilvl="7" w:tplc="17AA3FF8">
      <w:start w:val="1"/>
      <w:numFmt w:val="bullet"/>
      <w:lvlText w:val="●"/>
      <w:lvlJc w:val="left"/>
      <w:pPr>
        <w:ind w:left="5760" w:hanging="360"/>
      </w:pPr>
    </w:lvl>
    <w:lvl w:ilvl="8" w:tplc="68C0F01A">
      <w:start w:val="1"/>
      <w:numFmt w:val="bullet"/>
      <w:lvlText w:val="●"/>
      <w:lvlJc w:val="left"/>
      <w:pPr>
        <w:ind w:left="6480" w:hanging="360"/>
      </w:pPr>
    </w:lvl>
  </w:abstractNum>
  <w:abstractNum w:abstractNumId="1" w15:restartNumberingAfterBreak="0">
    <w:nsid w:val="276D3C44"/>
    <w:multiLevelType w:val="hybridMultilevel"/>
    <w:tmpl w:val="9830FB5E"/>
    <w:lvl w:ilvl="0" w:tplc="F2FC48F0">
      <w:start w:val="1"/>
      <w:numFmt w:val="bullet"/>
      <w:lvlText w:val="•"/>
      <w:lvlJc w:val="left"/>
      <w:pPr>
        <w:ind w:left="720" w:hanging="360"/>
      </w:pPr>
    </w:lvl>
    <w:lvl w:ilvl="1" w:tplc="AA1091D6">
      <w:numFmt w:val="decimal"/>
      <w:lvlText w:val=""/>
      <w:lvlJc w:val="left"/>
    </w:lvl>
    <w:lvl w:ilvl="2" w:tplc="28362B70">
      <w:numFmt w:val="decimal"/>
      <w:lvlText w:val=""/>
      <w:lvlJc w:val="left"/>
    </w:lvl>
    <w:lvl w:ilvl="3" w:tplc="EBACD77E">
      <w:numFmt w:val="decimal"/>
      <w:lvlText w:val=""/>
      <w:lvlJc w:val="left"/>
    </w:lvl>
    <w:lvl w:ilvl="4" w:tplc="763EA686">
      <w:numFmt w:val="decimal"/>
      <w:lvlText w:val=""/>
      <w:lvlJc w:val="left"/>
    </w:lvl>
    <w:lvl w:ilvl="5" w:tplc="D166DF8C">
      <w:numFmt w:val="decimal"/>
      <w:lvlText w:val=""/>
      <w:lvlJc w:val="left"/>
    </w:lvl>
    <w:lvl w:ilvl="6" w:tplc="C22E1834">
      <w:numFmt w:val="decimal"/>
      <w:lvlText w:val=""/>
      <w:lvlJc w:val="left"/>
    </w:lvl>
    <w:lvl w:ilvl="7" w:tplc="E06040E8">
      <w:numFmt w:val="decimal"/>
      <w:lvlText w:val=""/>
      <w:lvlJc w:val="left"/>
    </w:lvl>
    <w:lvl w:ilvl="8" w:tplc="7DB02DDA">
      <w:numFmt w:val="decimal"/>
      <w:lvlText w:val=""/>
      <w:lvlJc w:val="left"/>
    </w:lvl>
  </w:abstractNum>
  <w:num w:numId="1" w16cid:durableId="1990018702">
    <w:abstractNumId w:val="0"/>
    <w:lvlOverride w:ilvl="0">
      <w:startOverride w:val="1"/>
    </w:lvlOverride>
  </w:num>
  <w:num w:numId="2" w16cid:durableId="607083253">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dro Porfirio">
    <w15:presenceInfo w15:providerId="AD" w15:userId="S::pedro@jabuticaba.app::017994b7-f73b-4193-85f7-4b8e871116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B31"/>
    <w:rsid w:val="00000360"/>
    <w:rsid w:val="00001A97"/>
    <w:rsid w:val="00025209"/>
    <w:rsid w:val="000417E0"/>
    <w:rsid w:val="000431D0"/>
    <w:rsid w:val="000438BC"/>
    <w:rsid w:val="0007075C"/>
    <w:rsid w:val="00081E26"/>
    <w:rsid w:val="0008447C"/>
    <w:rsid w:val="00085FE1"/>
    <w:rsid w:val="00091FE8"/>
    <w:rsid w:val="000A2FA9"/>
    <w:rsid w:val="000B104B"/>
    <w:rsid w:val="000C328E"/>
    <w:rsid w:val="000C3B52"/>
    <w:rsid w:val="000E3929"/>
    <w:rsid w:val="000E7FC1"/>
    <w:rsid w:val="000F60F7"/>
    <w:rsid w:val="000F731F"/>
    <w:rsid w:val="00121CEA"/>
    <w:rsid w:val="0012700B"/>
    <w:rsid w:val="00130B7F"/>
    <w:rsid w:val="00134318"/>
    <w:rsid w:val="001412BD"/>
    <w:rsid w:val="0016310A"/>
    <w:rsid w:val="00176047"/>
    <w:rsid w:val="00176609"/>
    <w:rsid w:val="00176D4D"/>
    <w:rsid w:val="00182029"/>
    <w:rsid w:val="00182451"/>
    <w:rsid w:val="00195287"/>
    <w:rsid w:val="0019603D"/>
    <w:rsid w:val="00196E8A"/>
    <w:rsid w:val="001C3183"/>
    <w:rsid w:val="001C6770"/>
    <w:rsid w:val="001F1DD0"/>
    <w:rsid w:val="00233874"/>
    <w:rsid w:val="00236115"/>
    <w:rsid w:val="00236E18"/>
    <w:rsid w:val="00237027"/>
    <w:rsid w:val="0023738B"/>
    <w:rsid w:val="00257CF5"/>
    <w:rsid w:val="00267E72"/>
    <w:rsid w:val="00272D39"/>
    <w:rsid w:val="0027645F"/>
    <w:rsid w:val="002A57D6"/>
    <w:rsid w:val="002B708C"/>
    <w:rsid w:val="002C4238"/>
    <w:rsid w:val="002D208B"/>
    <w:rsid w:val="002D3000"/>
    <w:rsid w:val="002E0C50"/>
    <w:rsid w:val="002F06DB"/>
    <w:rsid w:val="002F1EDC"/>
    <w:rsid w:val="00301576"/>
    <w:rsid w:val="0030197E"/>
    <w:rsid w:val="00314484"/>
    <w:rsid w:val="003241FD"/>
    <w:rsid w:val="00342D70"/>
    <w:rsid w:val="00344353"/>
    <w:rsid w:val="00347169"/>
    <w:rsid w:val="0035694E"/>
    <w:rsid w:val="0037118B"/>
    <w:rsid w:val="00372225"/>
    <w:rsid w:val="00372C03"/>
    <w:rsid w:val="00374A30"/>
    <w:rsid w:val="00383EE3"/>
    <w:rsid w:val="00383FBA"/>
    <w:rsid w:val="00394E4B"/>
    <w:rsid w:val="003A3CF9"/>
    <w:rsid w:val="003B501C"/>
    <w:rsid w:val="003C3981"/>
    <w:rsid w:val="003D3622"/>
    <w:rsid w:val="003E151E"/>
    <w:rsid w:val="003E20E6"/>
    <w:rsid w:val="003E5FE2"/>
    <w:rsid w:val="003F6FC7"/>
    <w:rsid w:val="004014F5"/>
    <w:rsid w:val="00407512"/>
    <w:rsid w:val="004134CC"/>
    <w:rsid w:val="00420973"/>
    <w:rsid w:val="00420B59"/>
    <w:rsid w:val="004322D9"/>
    <w:rsid w:val="00435A6C"/>
    <w:rsid w:val="00441B34"/>
    <w:rsid w:val="00445BB2"/>
    <w:rsid w:val="00464364"/>
    <w:rsid w:val="004C5386"/>
    <w:rsid w:val="004D1315"/>
    <w:rsid w:val="004D5E43"/>
    <w:rsid w:val="004E1CAA"/>
    <w:rsid w:val="004F43F0"/>
    <w:rsid w:val="00501A09"/>
    <w:rsid w:val="00514FC7"/>
    <w:rsid w:val="00517E64"/>
    <w:rsid w:val="00533ABA"/>
    <w:rsid w:val="005354F1"/>
    <w:rsid w:val="00537923"/>
    <w:rsid w:val="005444C9"/>
    <w:rsid w:val="00546888"/>
    <w:rsid w:val="00551728"/>
    <w:rsid w:val="00553CCE"/>
    <w:rsid w:val="00556E30"/>
    <w:rsid w:val="00567CE2"/>
    <w:rsid w:val="00571129"/>
    <w:rsid w:val="0057550F"/>
    <w:rsid w:val="00590F7F"/>
    <w:rsid w:val="00591343"/>
    <w:rsid w:val="00594100"/>
    <w:rsid w:val="005A319A"/>
    <w:rsid w:val="005B6490"/>
    <w:rsid w:val="005C0D72"/>
    <w:rsid w:val="005C5514"/>
    <w:rsid w:val="005D53AF"/>
    <w:rsid w:val="005E7624"/>
    <w:rsid w:val="00603BA1"/>
    <w:rsid w:val="00610C49"/>
    <w:rsid w:val="00616A0D"/>
    <w:rsid w:val="0063398B"/>
    <w:rsid w:val="00635D82"/>
    <w:rsid w:val="00645A6F"/>
    <w:rsid w:val="00650104"/>
    <w:rsid w:val="006575EC"/>
    <w:rsid w:val="006654A8"/>
    <w:rsid w:val="006801A3"/>
    <w:rsid w:val="00680636"/>
    <w:rsid w:val="00682AA4"/>
    <w:rsid w:val="00691247"/>
    <w:rsid w:val="00696633"/>
    <w:rsid w:val="006A63D0"/>
    <w:rsid w:val="006B5BB0"/>
    <w:rsid w:val="006C0BB1"/>
    <w:rsid w:val="006C180A"/>
    <w:rsid w:val="006D26C8"/>
    <w:rsid w:val="006E0F51"/>
    <w:rsid w:val="006E3777"/>
    <w:rsid w:val="006E5EB9"/>
    <w:rsid w:val="006F1B2F"/>
    <w:rsid w:val="006F3706"/>
    <w:rsid w:val="0070276D"/>
    <w:rsid w:val="0070475E"/>
    <w:rsid w:val="00711530"/>
    <w:rsid w:val="00724170"/>
    <w:rsid w:val="0072684F"/>
    <w:rsid w:val="00730567"/>
    <w:rsid w:val="00734107"/>
    <w:rsid w:val="00753A45"/>
    <w:rsid w:val="007629B7"/>
    <w:rsid w:val="007729A0"/>
    <w:rsid w:val="00783D3E"/>
    <w:rsid w:val="00785796"/>
    <w:rsid w:val="00791C51"/>
    <w:rsid w:val="0079345F"/>
    <w:rsid w:val="007A2D12"/>
    <w:rsid w:val="007C0A31"/>
    <w:rsid w:val="007D4F8E"/>
    <w:rsid w:val="007D7806"/>
    <w:rsid w:val="007E3B23"/>
    <w:rsid w:val="007E6E38"/>
    <w:rsid w:val="007F777D"/>
    <w:rsid w:val="00805436"/>
    <w:rsid w:val="00815F0F"/>
    <w:rsid w:val="00823209"/>
    <w:rsid w:val="008323A4"/>
    <w:rsid w:val="0084167F"/>
    <w:rsid w:val="0085068D"/>
    <w:rsid w:val="00852D08"/>
    <w:rsid w:val="008667B4"/>
    <w:rsid w:val="0087039F"/>
    <w:rsid w:val="008733E4"/>
    <w:rsid w:val="00873A5A"/>
    <w:rsid w:val="00887766"/>
    <w:rsid w:val="00892723"/>
    <w:rsid w:val="008C2140"/>
    <w:rsid w:val="008D148F"/>
    <w:rsid w:val="008D5EBC"/>
    <w:rsid w:val="008D5F85"/>
    <w:rsid w:val="008E1B31"/>
    <w:rsid w:val="008E1B55"/>
    <w:rsid w:val="008E4EB0"/>
    <w:rsid w:val="008F0042"/>
    <w:rsid w:val="008F3427"/>
    <w:rsid w:val="009014E4"/>
    <w:rsid w:val="009145BA"/>
    <w:rsid w:val="0092359D"/>
    <w:rsid w:val="00936CC9"/>
    <w:rsid w:val="00937B6B"/>
    <w:rsid w:val="00937DA1"/>
    <w:rsid w:val="00940C23"/>
    <w:rsid w:val="009438FD"/>
    <w:rsid w:val="00943BC2"/>
    <w:rsid w:val="00945EB4"/>
    <w:rsid w:val="009521A9"/>
    <w:rsid w:val="00952E9E"/>
    <w:rsid w:val="00953E62"/>
    <w:rsid w:val="0095667A"/>
    <w:rsid w:val="00964724"/>
    <w:rsid w:val="009736FD"/>
    <w:rsid w:val="0097555C"/>
    <w:rsid w:val="009A265C"/>
    <w:rsid w:val="009B4C92"/>
    <w:rsid w:val="009D10F5"/>
    <w:rsid w:val="009D365F"/>
    <w:rsid w:val="009D707B"/>
    <w:rsid w:val="009F023E"/>
    <w:rsid w:val="00A376DE"/>
    <w:rsid w:val="00A44854"/>
    <w:rsid w:val="00A45810"/>
    <w:rsid w:val="00A74670"/>
    <w:rsid w:val="00A8663C"/>
    <w:rsid w:val="00A94E41"/>
    <w:rsid w:val="00A9717A"/>
    <w:rsid w:val="00AB0C04"/>
    <w:rsid w:val="00AC08DD"/>
    <w:rsid w:val="00AC5D54"/>
    <w:rsid w:val="00AD2CB7"/>
    <w:rsid w:val="00AE4FDA"/>
    <w:rsid w:val="00B05E3E"/>
    <w:rsid w:val="00B12B3E"/>
    <w:rsid w:val="00B133EB"/>
    <w:rsid w:val="00B26901"/>
    <w:rsid w:val="00B33B39"/>
    <w:rsid w:val="00B35EAE"/>
    <w:rsid w:val="00B364AA"/>
    <w:rsid w:val="00B8385A"/>
    <w:rsid w:val="00B86F2F"/>
    <w:rsid w:val="00B91F2A"/>
    <w:rsid w:val="00BA3AE9"/>
    <w:rsid w:val="00BA4B88"/>
    <w:rsid w:val="00BA7679"/>
    <w:rsid w:val="00BB2681"/>
    <w:rsid w:val="00BB3E6E"/>
    <w:rsid w:val="00BD3161"/>
    <w:rsid w:val="00BE69DE"/>
    <w:rsid w:val="00BF01A9"/>
    <w:rsid w:val="00BF313E"/>
    <w:rsid w:val="00C24AA3"/>
    <w:rsid w:val="00C2590A"/>
    <w:rsid w:val="00C330AC"/>
    <w:rsid w:val="00C357B2"/>
    <w:rsid w:val="00C4535A"/>
    <w:rsid w:val="00C53377"/>
    <w:rsid w:val="00C72685"/>
    <w:rsid w:val="00C74C74"/>
    <w:rsid w:val="00C8125A"/>
    <w:rsid w:val="00C9286E"/>
    <w:rsid w:val="00C95545"/>
    <w:rsid w:val="00C955D6"/>
    <w:rsid w:val="00CA2993"/>
    <w:rsid w:val="00CB075E"/>
    <w:rsid w:val="00CB3431"/>
    <w:rsid w:val="00CC2930"/>
    <w:rsid w:val="00CC769D"/>
    <w:rsid w:val="00CF4422"/>
    <w:rsid w:val="00D305D4"/>
    <w:rsid w:val="00D37764"/>
    <w:rsid w:val="00D46A42"/>
    <w:rsid w:val="00D508EE"/>
    <w:rsid w:val="00D613E7"/>
    <w:rsid w:val="00D7417D"/>
    <w:rsid w:val="00D74ED9"/>
    <w:rsid w:val="00DA40CB"/>
    <w:rsid w:val="00DA5208"/>
    <w:rsid w:val="00DC1E04"/>
    <w:rsid w:val="00DC7B18"/>
    <w:rsid w:val="00DD2220"/>
    <w:rsid w:val="00DE0F34"/>
    <w:rsid w:val="00DE5F4B"/>
    <w:rsid w:val="00DF50CD"/>
    <w:rsid w:val="00E074A0"/>
    <w:rsid w:val="00E1487F"/>
    <w:rsid w:val="00E22E31"/>
    <w:rsid w:val="00E23E83"/>
    <w:rsid w:val="00E270DB"/>
    <w:rsid w:val="00E276AB"/>
    <w:rsid w:val="00E6032D"/>
    <w:rsid w:val="00E80193"/>
    <w:rsid w:val="00E91A49"/>
    <w:rsid w:val="00EA3672"/>
    <w:rsid w:val="00EA7A06"/>
    <w:rsid w:val="00EC622B"/>
    <w:rsid w:val="00EC6E77"/>
    <w:rsid w:val="00ED1644"/>
    <w:rsid w:val="00ED1685"/>
    <w:rsid w:val="00ED3DA6"/>
    <w:rsid w:val="00ED672D"/>
    <w:rsid w:val="00EE667E"/>
    <w:rsid w:val="00F07FC2"/>
    <w:rsid w:val="00F263B6"/>
    <w:rsid w:val="00F325B9"/>
    <w:rsid w:val="00F36414"/>
    <w:rsid w:val="00F541C6"/>
    <w:rsid w:val="00F64906"/>
    <w:rsid w:val="00F655C4"/>
    <w:rsid w:val="00F67382"/>
    <w:rsid w:val="00F742D9"/>
    <w:rsid w:val="00FA4BAD"/>
    <w:rsid w:val="00FB2104"/>
    <w:rsid w:val="00FB25FB"/>
    <w:rsid w:val="00FC45A0"/>
    <w:rsid w:val="00FE42AE"/>
    <w:rsid w:val="00FE51C4"/>
    <w:rsid w:val="00FF5F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FAF9"/>
  <w15:docId w15:val="{8AD5823D-4886-4F6B-AC7D-FD5616F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85068D"/>
  </w:style>
  <w:style w:type="character" w:styleId="CommentReference">
    <w:name w:val="annotation reference"/>
    <w:basedOn w:val="DefaultParagraphFont"/>
    <w:uiPriority w:val="99"/>
    <w:semiHidden/>
    <w:unhideWhenUsed/>
    <w:rsid w:val="008D5F85"/>
    <w:rPr>
      <w:sz w:val="16"/>
      <w:szCs w:val="16"/>
    </w:rPr>
  </w:style>
  <w:style w:type="paragraph" w:styleId="CommentText">
    <w:name w:val="annotation text"/>
    <w:basedOn w:val="Normal"/>
    <w:link w:val="CommentTextChar"/>
    <w:uiPriority w:val="99"/>
    <w:unhideWhenUsed/>
    <w:rsid w:val="008D5F85"/>
    <w:rPr>
      <w:sz w:val="20"/>
      <w:szCs w:val="20"/>
    </w:rPr>
  </w:style>
  <w:style w:type="character" w:customStyle="1" w:styleId="CommentTextChar">
    <w:name w:val="Comment Text Char"/>
    <w:basedOn w:val="DefaultParagraphFont"/>
    <w:link w:val="CommentText"/>
    <w:uiPriority w:val="99"/>
    <w:rsid w:val="008D5F85"/>
    <w:rPr>
      <w:sz w:val="20"/>
      <w:szCs w:val="20"/>
    </w:rPr>
  </w:style>
  <w:style w:type="paragraph" w:styleId="CommentSubject">
    <w:name w:val="annotation subject"/>
    <w:basedOn w:val="CommentText"/>
    <w:next w:val="CommentText"/>
    <w:link w:val="CommentSubjectChar"/>
    <w:uiPriority w:val="99"/>
    <w:semiHidden/>
    <w:unhideWhenUsed/>
    <w:rsid w:val="008D5F85"/>
    <w:rPr>
      <w:b/>
      <w:bCs/>
    </w:rPr>
  </w:style>
  <w:style w:type="character" w:customStyle="1" w:styleId="CommentSubjectChar">
    <w:name w:val="Comment Subject Char"/>
    <w:basedOn w:val="CommentTextChar"/>
    <w:link w:val="CommentSubject"/>
    <w:uiPriority w:val="99"/>
    <w:semiHidden/>
    <w:rsid w:val="008D5F85"/>
    <w:rPr>
      <w:b/>
      <w:bCs/>
      <w:sz w:val="20"/>
      <w:szCs w:val="20"/>
    </w:rPr>
  </w:style>
  <w:style w:type="paragraph" w:styleId="Header">
    <w:name w:val="header"/>
    <w:basedOn w:val="Normal"/>
    <w:link w:val="HeaderChar"/>
    <w:uiPriority w:val="99"/>
    <w:unhideWhenUsed/>
    <w:rsid w:val="003C3981"/>
    <w:pPr>
      <w:tabs>
        <w:tab w:val="center" w:pos="4513"/>
        <w:tab w:val="right" w:pos="9026"/>
      </w:tabs>
    </w:pPr>
  </w:style>
  <w:style w:type="character" w:customStyle="1" w:styleId="HeaderChar">
    <w:name w:val="Header Char"/>
    <w:basedOn w:val="DefaultParagraphFont"/>
    <w:link w:val="Header"/>
    <w:uiPriority w:val="99"/>
    <w:rsid w:val="003C3981"/>
  </w:style>
  <w:style w:type="paragraph" w:styleId="Footer">
    <w:name w:val="footer"/>
    <w:basedOn w:val="Normal"/>
    <w:link w:val="FooterChar"/>
    <w:uiPriority w:val="99"/>
    <w:unhideWhenUsed/>
    <w:rsid w:val="003C3981"/>
    <w:pPr>
      <w:tabs>
        <w:tab w:val="center" w:pos="4513"/>
        <w:tab w:val="right" w:pos="9026"/>
      </w:tabs>
    </w:pPr>
  </w:style>
  <w:style w:type="character" w:customStyle="1" w:styleId="FooterChar">
    <w:name w:val="Footer Char"/>
    <w:basedOn w:val="DefaultParagraphFont"/>
    <w:link w:val="Footer"/>
    <w:uiPriority w:val="99"/>
    <w:rsid w:val="003C3981"/>
  </w:style>
  <w:style w:type="table" w:styleId="TableGrid">
    <w:name w:val="Table Grid"/>
    <w:basedOn w:val="TableNormal"/>
    <w:uiPriority w:val="39"/>
    <w:rsid w:val="00E23E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74ED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74ED9"/>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ListTable3">
    <w:name w:val="List Table 3"/>
    <w:basedOn w:val="TableNormal"/>
    <w:uiPriority w:val="48"/>
    <w:rsid w:val="00D74ED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PlaceholderText">
    <w:name w:val="Placeholder Text"/>
    <w:basedOn w:val="DefaultParagraphFont"/>
    <w:uiPriority w:val="99"/>
    <w:semiHidden/>
    <w:rsid w:val="00BA3A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575</TotalTime>
  <Pages>134</Pages>
  <Words>43967</Words>
  <Characters>251057</Characters>
  <Application>Microsoft Office Word</Application>
  <DocSecurity>0</DocSecurity>
  <Lines>5230</Lines>
  <Paragraphs>2323</Paragraphs>
  <ScaleCrop>false</ScaleCrop>
  <Company/>
  <LinksUpToDate>false</LinksUpToDate>
  <CharactersWithSpaces>292701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 Oil Logistics</dc:title>
  <dc:creator>Pedro Porfirio</dc:creator>
  <dc:description>Master Thesis, NOVA IMS, May 2026</dc:description>
  <cp:lastModifiedBy>Pedro Porfirio</cp:lastModifiedBy>
  <cp:revision>146</cp:revision>
  <dcterms:created xsi:type="dcterms:W3CDTF">2026-05-21T09:34:00Z</dcterms:created>
  <dcterms:modified xsi:type="dcterms:W3CDTF">2026-05-21T19:09:00Z</dcterms:modified>
</cp:coreProperties>
</file>