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All nodes follow a common mass-balance equation with an explicit balancing item.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Earlier versions of the project treated a temporal graph neural network as the central modelling contribution, with the schema playing a supporting role. The current thesis reverses that emphasis: the schema is the contribution, while forecasting is treated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node, regardless of type, satisfies the same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r>
        <w:rPr>
          <w:b/>
          <w:bCs/>
        </w:rPr>
        <w:t>Example.</w:t>
      </w:r>
      <w:r>
        <w:t xml:space="preserv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w:t>
      </w:r>
      <w:proofErr w:type="spellStart"/>
      <w:r>
        <w:rPr>
          <w:rFonts w:ascii="Consolas" w:eastAsia="Consolas" w:hAnsi="Consolas" w:cs="Consolas"/>
        </w:rPr>
        <w:t>variable_assignments</w:t>
      </w:r>
      <w:proofErr w:type="spellEnd"/>
      <w:r>
        <w:t xml:space="preserve">. The refineries' status under the scenario flips from collapsed to authoritative automatically through </w:t>
      </w:r>
      <w:proofErr w:type="spellStart"/>
      <w:r>
        <w:rPr>
          <w:rFonts w:ascii="Consolas" w:eastAsia="Consolas" w:hAnsi="Consolas" w:cs="Consolas"/>
        </w:rPr>
        <w:t>v_node_status</w:t>
      </w:r>
      <w:proofErr w:type="spellEnd"/>
      <w:r>
        <w:t>.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The framework defines three states. A node is authoritative if at least one of its variables is TS-bound. It is derived if no variable is TS-bound but at least one resolves to a non-zero value via formula. It is collapsed if every variable on the node is '0' or 'latent()'.</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r>
        <w:t xml:space="preserve">In practical terms, an early framing of the work included a separate object called a "coverage contract" that recorded which level of resolution was authoritative for each subsystem under a given scenario. As the implementation matured, it became clear that the coverage contract was mechanically identical to the assignment table tagged with a </w:t>
      </w:r>
      <w:proofErr w:type="spellStart"/>
      <w:r>
        <w:rPr>
          <w:rFonts w:ascii="Consolas" w:eastAsia="Consolas" w:hAnsi="Consolas" w:cs="Consolas"/>
        </w:rPr>
        <w:t>scenario_id</w:t>
      </w:r>
      <w:proofErr w:type="spellEnd"/>
      <w:r>
        <w:t xml:space="preserve">. The choice of authoritative level for each variable is exactly the per-variable selection of a time series binding or a formula binding. No separate object was needed; the principle was </w:t>
      </w:r>
      <w:proofErr w:type="gramStart"/>
      <w:r>
        <w:t>preserved,</w:t>
      </w:r>
      <w:proofErr w:type="gramEnd"/>
      <w:r>
        <w:t xml:space="preserve">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collapsed; the storage report is at hub level |</w:t>
      </w:r>
    </w:p>
    <w:p w14:paraId="36BCFC2B" w14:textId="77777777" w:rsidR="008E1B31" w:rsidRDefault="00000000">
      <w:pPr>
        <w:spacing w:after="160" w:line="320" w:lineRule="auto"/>
        <w:jc w:val="both"/>
      </w:pPr>
      <w:r>
        <w:t>| Houston exports | export aggregate | Facility sub-terminals collapsed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r>
        <w:t xml:space="preserve">| L3b | </w:t>
      </w:r>
      <w:proofErr w:type="spellStart"/>
      <w:r>
        <w:t>v_node_status</w:t>
      </w:r>
      <w:proofErr w:type="spellEnd"/>
      <w:r>
        <w:t xml:space="preserve"> | L1 | The per-(scenario, node) status from Section 4.5: authoritative, derived, or collapsed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that earlier framings of the thesis prioritised — and concludes that the framework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the GNN forecasting work that earlier framings of the thesis prioritised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earlier framing of this thesis envisaged a temporal graph neural network as the central contribution, with the asset-centric representation as supporting infrastructure. The current framing inverts the priority: the representation is the contribution, and forecasting is a downstream consumer that the framework is designed to support. The inversion is more than a presentational choice; it reflects an honest assessment of where the work's value lies. The representation is novel; the GNN architectures that would consume it are well-established; the gap in the existing literature is at the representational layer, not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