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All nodes follow a common mass-balance equation with an explicit balancing item.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The framework defines three states. A node is authoritative if at least one of its variables is TS-bound. It is derived if no variable is TS-bound but at least one resolves to a non-zero value via formula. It is collapsed if every variable on the node is '0' or 'latent()'.</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