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05A43D87" w14:textId="77777777"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the equation without introducing a new constraint.</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Bdr>
          <w:top w:val="single" w:sz="12" w:space="8" w:color="406090"/>
          <w:left w:val="single" w:sz="12" w:space="8" w:color="406090"/>
          <w:bottom w:val="single" w:sz="12" w:space="8" w:color="406090"/>
          <w:right w:val="single" w:sz="12" w:space="8" w:color="406090"/>
        </w:pBdr>
        <w:shd w:val="clear" w:color="auto" w:fill="EAF1F8"/>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5A43D87"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05A43D87"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05A43D87"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05A43D87" w14:textId="77777777"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05A43D87"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05A43D87" w14:textId="77777777" w:rsidR="006E3777" w:rsidRDefault="006E3777">
      <w:pPr>
        <w:spacing w:after="160" w:line="319" w:lineRule="auto"/>
        <w:jc w:val="both"/>
        <w:rPr>
          <w:kern w:val="2"/>
          <w14:ligatures w14:val="standardContextual"/>
        </w:rPr>
      </w:pPr>
      <w:r>
        <w:t>| Region | Typical crude | API gravity (°) | Sulphur | Notes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05A43D87" w14:textId="77777777" w:rsidR="006E3777" w:rsidRDefault="006E3777">
      <w:pPr>
        <w:spacing w:after="160" w:line="319" w:lineRule="auto"/>
        <w:jc w:val="both"/>
        <w:rPr>
          <w:kern w:val="2"/>
          <w14:ligatures w14:val="standardContextual"/>
        </w:rPr>
      </w:pPr>
      <w:r>
        <w:t>| Bakken (ND/MT) | Bakken Light | ~42 | Sweet (~0.2%) | Light tight oil |</w:t>
      </w:r>
    </w:p>
    <w:p w14:paraId="05A43D87"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05A43D87" w14:textId="77777777" w:rsidR="006E3777" w:rsidRDefault="006E3777">
      <w:pPr>
        <w:spacing w:after="160" w:line="319" w:lineRule="auto"/>
        <w:jc w:val="both"/>
        <w:rPr>
          <w:kern w:val="2"/>
          <w14:ligatures w14:val="standardContextual"/>
        </w:rPr>
      </w:pPr>
      <w:r>
        <w:t>| Gulf of America | Mars, Poseidon, Thunder Horse blends | 28–33 | Medium-sour | Offshore deepwater |</w:t>
      </w:r>
    </w:p>
    <w:p w14:paraId="05A43D87" w14:textId="77777777" w:rsidR="006E3777" w:rsidRDefault="006E3777">
      <w:pPr>
        <w:spacing w:after="160" w:line="319" w:lineRule="auto"/>
        <w:jc w:val="both"/>
        <w:rPr>
          <w:kern w:val="2"/>
          <w14:ligatures w14:val="standardContextual"/>
        </w:rPr>
      </w:pPr>
      <w:r>
        <w:t>| Alaska North Slope | ANS | ~31 | Medium-sour (~0.9%) | Pipeline to TAPS / Valdez |</w:t>
      </w:r>
    </w:p>
    <w:p w14:paraId="05A43D87"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05A43D87" w14:textId="77777777" w:rsidR="006E3777" w:rsidRDefault="006E3777">
      <w:pPr>
        <w:spacing w:after="160" w:line="319" w:lineRule="auto"/>
        <w:jc w:val="both"/>
        <w:rPr>
          <w:kern w:val="2"/>
          <w14:ligatures w14:val="standardContextual"/>
        </w:rPr>
      </w:pPr>
      <w:r>
        <w:t>| Oklahoma (conv.) | WTI-like / regional | ~38 | Sweet | Mature conventional |</w:t>
      </w:r>
    </w:p>
    <w:p w14:paraId="05A43D87"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669280" cy="3320578"/>
            <wp:docPr id="4" name="Picture 4"/>
            <wp:cNvGraphicFramePr>
              <a:graphicFrameLocks noChangeAspect="1"/>
            </wp:cNvGraphicFramePr>
            <a:graphic>
              <a:graphicData uri="http://schemas.openxmlformats.org/drawingml/2006/picture">
                <pic:pic>
                  <pic:nvPicPr>
                    <pic:cNvPr id="0" name="fig_transport_network.png"/>
                    <pic:cNvPicPr/>
                  </pic:nvPicPr>
                  <pic:blipFill>
                    <a:blip r:embed="rId14"/>
                    <a:stretch>
                      <a:fillRect/>
                    </a:stretch>
                  </pic:blipFill>
                  <pic:spPr>
                    <a:xfrm>
                      <a:off x="0" y="0"/>
                      <a:ext cx="5669280" cy="3320578"/>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3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090A82C9" w14:textId="77777777" w:rsidR="008E1B31" w:rsidRDefault="00000000">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05A43D87" w14:textId="77777777" w:rsidR="006E3777" w:rsidRDefault="006E3777">
      <w:pPr>
        <w:spacing w:after="160" w:line="319" w:lineRule="auto"/>
        <w:jc w:val="both"/>
        <w:rPr>
          <w:kern w:val="2"/>
          <w14:ligatures w14:val="standardContextual"/>
        </w:rPr>
      </w:pPr>
      <w:r>
        <w:t>The stable adjacency has a direct consequence for the downstream LP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C" w14:textId="77777777" w:rsidR="008E1B31" w:rsidRDefault="00000000">
      <w:pPr>
        <w:spacing w:after="160" w:line="320" w:lineRule="auto"/>
        <w:jc w:val="both"/>
      </w:pPr>
      <w:proofErr w:type="spellStart"/>
      <w:proofErr w:type="spellEnd"/>
      <w:proofErr w:type="spellStart"/>
      <w:proofErr w:type="spellEnd"/>
      <w:proofErr w:type="spellStart"/>
      <w:proofErr w:type="spellEnd"/>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proofErr w:type="spellStart"/>
      <w:proofErr w:type="spellEnd"/>
      <w:proofErr w:type="spellStart"/>
      <w:proofErr w:type="spellEnd"/>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05A43D87"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05A43D87"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05A43D87"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852160" cy="2835914"/>
            <wp:docPr id="5" name="Picture 5"/>
            <wp:cNvGraphicFramePr>
              <a:graphicFrameLocks noChangeAspect="1"/>
            </wp:cNvGraphicFramePr>
            <a:graphic>
              <a:graphicData uri="http://schemas.openxmlformats.org/drawingml/2006/picture">
                <pic:pic>
                  <pic:nvPicPr>
                    <pic:cNvPr id="0" name="fig_eagle_ford_binding.png"/>
                    <pic:cNvPicPr/>
                  </pic:nvPicPr>
                  <pic:blipFill>
                    <a:blip r:embed="rId15"/>
                    <a:stretch>
                      <a:fillRect/>
                    </a:stretch>
                  </pic:blipFill>
                  <pic:spPr>
                    <a:xfrm>
                      <a:off x="0" y="0"/>
                      <a:ext cx="5852160" cy="2835914"/>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4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05A43D87"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05A43D87"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05A43D87"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A43D87"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Why does this matter? Status drives rendering (authoritative nodes are coloured green in the explorers, derived nodes blue, inactive nodes grey), drives the LP consumer's decisions about which junctions are fully-determined and which carry latents, and drives the audit's interpretation of partition gaps. Storing it would mean carrying a value that has to be kept in sync with the assignments — a second source of truth waiting to drift. Computing it is straightforward. The framework defines three states. A node is authoritative if at least one of its variables is TS-bound. It is derived if no variable is TS-bound but at least one resolves to a non-zero value via formula. It is inactive if every variable on the node is '0' or 'latent()'; the schema column carries the name 'collapsed' for historical reasons, but 'inactive' is the more accurate description of what the state represents — a node that is structurally present but contributes no value in this scenario.</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05A43D87"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303520" cy="3143282"/>
            <wp:docPr id="2" name="Picture 2"/>
            <wp:cNvGraphicFramePr>
              <a:graphicFrameLocks noChangeAspect="1"/>
            </wp:cNvGraphicFramePr>
            <a:graphic>
              <a:graphicData uri="http://schemas.openxmlformats.org/drawingml/2006/picture">
                <pic:pic>
                  <pic:nvPicPr>
                    <pic:cNvPr id="0" name="fig_entity_relationships.png"/>
                    <pic:cNvPicPr/>
                  </pic:nvPicPr>
                  <pic:blipFill>
                    <a:blip r:embed="rId12"/>
                    <a:stretch>
                      <a:fillRect/>
                    </a:stretch>
                  </pic:blipFill>
                  <pic:spPr>
                    <a:xfrm>
                      <a:off x="0" y="0"/>
                      <a:ext cx="5303520" cy="3143282"/>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05A43D87"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proofErr w:type="spellStart"/>
      <w:proofErr w:type="spellEnd"/>
      <w:proofErr w:type="gramStart"/>
      <w:proofErr w:type="gramEnd"/>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05A43D87"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05A43D87"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05A43D87"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05A43D8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05A43D87"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05A43D87"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05A43D87" w14:textId="77777777" w:rsidR="006E3777" w:rsidRDefault="006E3777">
      <w:pPr>
        <w:spacing w:after="160" w:line="319" w:lineRule="auto"/>
        <w:jc w:val="both"/>
        <w:rPr>
          <w:kern w:val="2"/>
          <w14:ligatures w14:val="standardContextual"/>
        </w:rPr>
      </w:pPr>
      <w:r>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20"/>
          <w:szCs w:val="20"/>
        </w:rPr>
        <w:t>usa_view</w:t>
      </w:r>
      <w:proofErr w:type="spellEnd"/>
    </w:p>
    <w:p w14:paraId="36BCFC0B" w14:textId="77777777" w:rsidR="008E1B31" w:rsidRDefault="00000000">
      <w:pPr>
        <w:shd w:val="clear" w:color="auto" w:fill="F4F4F4"/>
      </w:pPr>
      <w:r>
        <w:rPr>
          <w:rFonts w:ascii="Consolas" w:eastAsia="Consolas" w:hAnsi="Consolas" w:cs="Consolas"/>
          <w:sz w:val="20"/>
          <w:szCs w:val="20"/>
        </w:rPr>
        <w:t>├── padd1_view</w:t>
      </w:r>
    </w:p>
    <w:p w14:paraId="36BCFC0C" w14:textId="77777777" w:rsidR="008E1B31" w:rsidRDefault="00000000">
      <w:pPr>
        <w:shd w:val="clear" w:color="auto" w:fill="F4F4F4"/>
      </w:pPr>
      <w:r>
        <w:rPr>
          <w:rFonts w:ascii="Consolas" w:eastAsia="Consolas" w:hAnsi="Consolas" w:cs="Consolas"/>
          <w:sz w:val="20"/>
          <w:szCs w:val="20"/>
        </w:rPr>
        <w:t>│   ├── refining districts (RAP, REC)</w:t>
      </w:r>
    </w:p>
    <w:p w14:paraId="36BCFC0D" w14:textId="77777777" w:rsidR="008E1B31" w:rsidRDefault="00000000">
      <w:pPr>
        <w:shd w:val="clear" w:color="auto" w:fill="F4F4F4"/>
      </w:pPr>
      <w:r>
        <w:rPr>
          <w:rFonts w:ascii="Consolas" w:eastAsia="Consolas" w:hAnsi="Consolas" w:cs="Consolas"/>
          <w:sz w:val="20"/>
          <w:szCs w:val="20"/>
        </w:rPr>
        <w:t>│   ├── padd1_imports_agg ← MCRIPP12 − MCRIPP1CA2</w:t>
      </w:r>
    </w:p>
    <w:p w14:paraId="36BCFC0E" w14:textId="77777777" w:rsidR="008E1B31" w:rsidRDefault="00000000">
      <w:pPr>
        <w:shd w:val="clear" w:color="auto" w:fill="F4F4F4"/>
      </w:pPr>
      <w:r>
        <w:rPr>
          <w:rFonts w:ascii="Consolas" w:eastAsia="Consolas" w:hAnsi="Consolas" w:cs="Consolas"/>
          <w:sz w:val="20"/>
          <w:szCs w:val="20"/>
        </w:rPr>
        <w:t>│   ├── padd1_canadian_imports_agg ← MCRIPP1CA2</w:t>
      </w:r>
    </w:p>
    <w:p w14:paraId="36BCFC0F" w14:textId="77777777" w:rsidR="008E1B31" w:rsidRDefault="00000000">
      <w:pPr>
        <w:shd w:val="clear" w:color="auto" w:fill="F4F4F4"/>
      </w:pPr>
      <w:r>
        <w:rPr>
          <w:rFonts w:ascii="Consolas" w:eastAsia="Consolas" w:hAnsi="Consolas" w:cs="Consolas"/>
          <w:sz w:val="20"/>
          <w:szCs w:val="20"/>
        </w:rPr>
        <w:t>│   ├── padd1_exports_agg ← MCREXP12</w:t>
      </w:r>
    </w:p>
    <w:p w14:paraId="36BCFC10" w14:textId="77777777" w:rsidR="008E1B31" w:rsidRDefault="00000000">
      <w:pPr>
        <w:shd w:val="clear" w:color="auto" w:fill="F4F4F4"/>
      </w:pPr>
      <w:r>
        <w:rPr>
          <w:rFonts w:ascii="Consolas" w:eastAsia="Consolas" w:hAnsi="Consolas" w:cs="Consolas"/>
          <w:sz w:val="20"/>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20"/>
          <w:szCs w:val="20"/>
        </w:rPr>
        <w:t>│   └── padd1_other (residual)</w:t>
      </w:r>
    </w:p>
    <w:p w14:paraId="36BCFC12" w14:textId="77777777" w:rsidR="008E1B31" w:rsidRDefault="00000000">
      <w:pPr>
        <w:shd w:val="clear" w:color="auto" w:fill="F4F4F4"/>
      </w:pPr>
      <w:r>
        <w:rPr>
          <w:rFonts w:ascii="Consolas" w:eastAsia="Consolas" w:hAnsi="Consolas" w:cs="Consolas"/>
          <w:sz w:val="20"/>
          <w:szCs w:val="20"/>
        </w:rPr>
        <w:t>├── padd2_view</w:t>
      </w:r>
    </w:p>
    <w:p w14:paraId="36BCFC13" w14:textId="77777777" w:rsidR="008E1B31" w:rsidRDefault="00000000">
      <w:pPr>
        <w:shd w:val="clear" w:color="auto" w:fill="F4F4F4"/>
      </w:pPr>
      <w:r>
        <w:rPr>
          <w:rFonts w:ascii="Consolas" w:eastAsia="Consolas" w:hAnsi="Consolas" w:cs="Consolas"/>
          <w:sz w:val="20"/>
          <w:szCs w:val="20"/>
        </w:rPr>
        <w:t>│   ├── refining districts (R2A, R2B, R2C)</w:t>
      </w:r>
    </w:p>
    <w:p w14:paraId="36BCFC14"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oklahoma</w:t>
      </w:r>
      <w:proofErr w:type="spellEnd"/>
      <w:r>
        <w:rPr>
          <w:rFonts w:ascii="Consolas" w:eastAsia="Consolas" w:hAnsi="Consolas" w:cs="Consolas"/>
          <w:sz w:val="20"/>
          <w:szCs w:val="20"/>
        </w:rPr>
        <w:t>, padd2_other</w:t>
      </w:r>
    </w:p>
    <w:p w14:paraId="36BCFC15"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cushing_hub</w:t>
      </w:r>
      <w:proofErr w:type="spellEnd"/>
      <w:r>
        <w:rPr>
          <w:rFonts w:ascii="Consolas" w:eastAsia="Consolas" w:hAnsi="Consolas" w:cs="Consolas"/>
          <w:sz w:val="20"/>
          <w:szCs w:val="20"/>
        </w:rPr>
        <w:t xml:space="preserve"> (with three operator sub-terminals), </w:t>
      </w:r>
      <w:proofErr w:type="spellStart"/>
      <w:r>
        <w:rPr>
          <w:rFonts w:ascii="Consolas" w:eastAsia="Consolas" w:hAnsi="Consolas" w:cs="Consolas"/>
          <w:sz w:val="20"/>
          <w:szCs w:val="20"/>
        </w:rPr>
        <w:t>patoka_hub</w:t>
      </w:r>
      <w:proofErr w:type="spellEnd"/>
    </w:p>
    <w:p w14:paraId="36BCFC16" w14:textId="77777777" w:rsidR="008E1B31" w:rsidRDefault="00000000">
      <w:pPr>
        <w:shd w:val="clear" w:color="auto" w:fill="F4F4F4"/>
      </w:pPr>
      <w:r>
        <w:rPr>
          <w:rFonts w:ascii="Consolas" w:eastAsia="Consolas" w:hAnsi="Consolas" w:cs="Consolas"/>
          <w:sz w:val="20"/>
          <w:szCs w:val="20"/>
        </w:rPr>
        <w:t xml:space="preserve">│   ├── </w:t>
      </w:r>
      <w:proofErr w:type="spellStart"/>
      <w:r>
        <w:rPr>
          <w:rFonts w:ascii="Consolas" w:eastAsia="Consolas" w:hAnsi="Consolas" w:cs="Consolas"/>
          <w:sz w:val="20"/>
          <w:szCs w:val="20"/>
        </w:rPr>
        <w:t>bakken_nd_gathering</w:t>
      </w:r>
      <w:proofErr w:type="spellEnd"/>
      <w:r>
        <w:rPr>
          <w:rFonts w:ascii="Consolas" w:eastAsia="Consolas" w:hAnsi="Consolas" w:cs="Consolas"/>
          <w:sz w:val="20"/>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20"/>
          <w:szCs w:val="20"/>
        </w:rPr>
        <w:t>│   ├── padd2_canadian_imports_agg ← MCRIPP2CA2</w:t>
      </w:r>
    </w:p>
    <w:p w14:paraId="36BCFC18" w14:textId="77777777" w:rsidR="008E1B31" w:rsidRDefault="00000000">
      <w:pPr>
        <w:shd w:val="clear" w:color="auto" w:fill="F4F4F4"/>
      </w:pPr>
      <w:r>
        <w:rPr>
          <w:rFonts w:ascii="Consolas" w:eastAsia="Consolas" w:hAnsi="Consolas" w:cs="Consolas"/>
          <w:sz w:val="20"/>
          <w:szCs w:val="20"/>
        </w:rPr>
        <w:t>│   ├── padd2_exports_agg ← MCREXP22</w:t>
      </w:r>
    </w:p>
    <w:p w14:paraId="36BCFC19" w14:textId="77777777" w:rsidR="008E1B31" w:rsidRDefault="00000000">
      <w:pPr>
        <w:shd w:val="clear" w:color="auto" w:fill="F4F4F4"/>
      </w:pPr>
      <w:r>
        <w:rPr>
          <w:rFonts w:ascii="Consolas" w:eastAsia="Consolas" w:hAnsi="Consolas" w:cs="Consolas"/>
          <w:sz w:val="20"/>
          <w:szCs w:val="20"/>
        </w:rPr>
        <w:t>│   └── inter_padd_2_to</w:t>
      </w:r>
      <w:proofErr w:type="gramStart"/>
      <w:r>
        <w:rPr>
          <w:rFonts w:ascii="Consolas" w:eastAsia="Consolas" w:hAnsi="Consolas" w:cs="Consolas"/>
          <w:sz w:val="20"/>
          <w:szCs w:val="20"/>
        </w:rPr>
        <w:t>_{</w:t>
      </w:r>
      <w:proofErr w:type="gramEnd"/>
      <w:r>
        <w:rPr>
          <w:rFonts w:ascii="Consolas" w:eastAsia="Consolas" w:hAnsi="Consolas" w:cs="Consolas"/>
          <w:sz w:val="20"/>
          <w:szCs w:val="20"/>
        </w:rPr>
        <w:t>1,3,</w:t>
      </w:r>
      <w:proofErr w:type="gramStart"/>
      <w:r>
        <w:rPr>
          <w:rFonts w:ascii="Consolas" w:eastAsia="Consolas" w:hAnsi="Consolas" w:cs="Consolas"/>
          <w:sz w:val="20"/>
          <w:szCs w:val="20"/>
        </w:rPr>
        <w:t>4}_</w:t>
      </w:r>
      <w:proofErr w:type="spellStart"/>
      <w:proofErr w:type="gramEnd"/>
      <w:r>
        <w:rPr>
          <w:rFonts w:ascii="Consolas" w:eastAsia="Consolas" w:hAnsi="Consolas" w:cs="Consolas"/>
          <w:sz w:val="20"/>
          <w:szCs w:val="20"/>
        </w:rPr>
        <w:t>agg</w:t>
      </w:r>
      <w:proofErr w:type="spellEnd"/>
      <w:r>
        <w:rPr>
          <w:rFonts w:ascii="Consolas" w:eastAsia="Consolas" w:hAnsi="Consolas" w:cs="Consolas"/>
          <w:sz w:val="20"/>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20"/>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20"/>
          <w:szCs w:val="20"/>
        </w:rPr>
        <w:t>└── (boundary nodes sit outside the partition):</w:t>
      </w:r>
    </w:p>
    <w:p w14:paraId="36BCFC1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foreign_supply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canadian_oil_sands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foreign_export_destination</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spr_total</w:t>
      </w:r>
      <w:proofErr w:type="spellEnd"/>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486400" cy="2490673"/>
            <wp:docPr id="3" name="Picture 3"/>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486400" cy="2490673"/>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five phases:</w:t>
      </w:r>
    </w:p>
    <w:p w14:paraId="36BCFC5E"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load(</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build_</w:t>
      </w:r>
      <w:proofErr w:type="gramStart"/>
      <w:r>
        <w:rPr>
          <w:rFonts w:ascii="Consolas" w:eastAsia="Consolas" w:hAnsi="Consolas" w:cs="Consolas"/>
          <w:sz w:val="20"/>
          <w:szCs w:val="20"/>
        </w:rPr>
        <w:t>deps</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topo</w:t>
      </w:r>
      <w:proofErr w:type="spellEnd"/>
      <w:r>
        <w:rPr>
          <w:rFonts w:ascii="Consolas" w:eastAsia="Consolas" w:hAnsi="Consolas" w:cs="Consolas"/>
          <w:sz w:val="20"/>
          <w:szCs w:val="20"/>
        </w:rPr>
        <w:t xml:space="preserve"> sort</w:t>
      </w:r>
    </w:p>
    <w:p w14:paraId="36BCFC5F" w14:textId="77777777" w:rsidR="008E1B31" w:rsidRDefault="00000000">
      <w:pPr>
        <w:shd w:val="clear" w:color="auto" w:fill="F4F4F4"/>
      </w:pPr>
      <w:r>
        <w:rPr>
          <w:rFonts w:ascii="Consolas" w:eastAsia="Consolas" w:hAnsi="Consolas" w:cs="Consolas"/>
          <w:sz w:val="20"/>
          <w:szCs w:val="20"/>
        </w:rPr>
        <w:t xml:space="preserve">DB ────────► assignments ──────► deps </w:t>
      </w:r>
      <w:proofErr w:type="spellStart"/>
      <w:r>
        <w:rPr>
          <w:rFonts w:ascii="Consolas" w:eastAsia="Consolas" w:hAnsi="Consolas" w:cs="Consolas"/>
          <w:sz w:val="20"/>
          <w:szCs w:val="20"/>
        </w:rPr>
        <w:t>dict</w:t>
      </w:r>
      <w:proofErr w:type="spellEnd"/>
      <w:r>
        <w:rPr>
          <w:rFonts w:ascii="Consolas" w:eastAsia="Consolas" w:hAnsi="Consolas" w:cs="Consolas"/>
          <w:sz w:val="20"/>
          <w:szCs w:val="20"/>
        </w:rPr>
        <w:t xml:space="preserve"> ────────►</w:t>
      </w:r>
    </w:p>
    <w:p w14:paraId="36BCFC60" w14:textId="77777777" w:rsidR="008E1B31" w:rsidRDefault="00000000">
      <w:pPr>
        <w:shd w:val="clear" w:color="auto" w:fill="F4F4F4"/>
      </w:pPr>
      <w:r>
        <w:rPr>
          <w:rFonts w:ascii="Consolas" w:eastAsia="Consolas" w:hAnsi="Consolas" w:cs="Consolas"/>
          <w:sz w:val="20"/>
          <w:szCs w:val="20"/>
        </w:rPr>
        <w:t xml:space="preserve">                                                      │</w:t>
      </w:r>
    </w:p>
    <w:p w14:paraId="36BCFC61" w14:textId="77777777" w:rsidR="008E1B31" w:rsidRDefault="00000000">
      <w:pPr>
        <w:shd w:val="clear" w:color="auto" w:fill="F4F4F4"/>
      </w:pPr>
      <w:r>
        <w:rPr>
          <w:rFonts w:ascii="Consolas" w:eastAsia="Consolas" w:hAnsi="Consolas" w:cs="Consolas"/>
          <w:sz w:val="20"/>
          <w:szCs w:val="20"/>
        </w:rPr>
        <w:t xml:space="preserve">                                                      ▼</w:t>
      </w:r>
    </w:p>
    <w:p w14:paraId="36BCFC62" w14:textId="77777777" w:rsidR="008E1B31" w:rsidRDefault="00000000">
      <w:pPr>
        <w:shd w:val="clear" w:color="auto" w:fill="F4F4F4"/>
      </w:pPr>
      <w:r>
        <w:rPr>
          <w:rFonts w:ascii="Consolas" w:eastAsia="Consolas" w:hAnsi="Consolas" w:cs="Consolas"/>
          <w:sz w:val="20"/>
          <w:szCs w:val="20"/>
        </w:rPr>
        <w:t xml:space="preserve">                                            dispatch loop (rules </w:t>
      </w:r>
      <w:proofErr w:type="gramStart"/>
      <w:r>
        <w:rPr>
          <w:rFonts w:ascii="Consolas" w:eastAsia="Consolas" w:hAnsi="Consolas" w:cs="Consolas"/>
          <w:sz w:val="20"/>
          <w:szCs w:val="20"/>
        </w:rPr>
        <w:t>1..</w:t>
      </w:r>
      <w:proofErr w:type="gramEnd"/>
      <w:r>
        <w:rPr>
          <w:rFonts w:ascii="Consolas" w:eastAsia="Consolas" w:hAnsi="Consolas" w:cs="Consolas"/>
          <w:sz w:val="20"/>
          <w:szCs w:val="20"/>
        </w:rPr>
        <w:t>9)</w:t>
      </w:r>
    </w:p>
    <w:p w14:paraId="36BCFC63" w14:textId="77777777" w:rsidR="008E1B31" w:rsidRDefault="00000000">
      <w:pPr>
        <w:shd w:val="clear" w:color="auto" w:fill="F4F4F4"/>
      </w:pPr>
      <w:r>
        <w:rPr>
          <w:rFonts w:ascii="Consolas" w:eastAsia="Consolas" w:hAnsi="Consolas" w:cs="Consolas"/>
          <w:sz w:val="20"/>
          <w:szCs w:val="20"/>
        </w:rPr>
        <w:t xml:space="preserve">                                                      │</w:t>
      </w:r>
    </w:p>
    <w:p w14:paraId="36BCFC64" w14:textId="77777777" w:rsidR="008E1B31" w:rsidRDefault="00000000">
      <w:pPr>
        <w:shd w:val="clear" w:color="auto" w:fill="F4F4F4"/>
      </w:pPr>
      <w:r>
        <w:rPr>
          <w:rFonts w:ascii="Consolas" w:eastAsia="Consolas" w:hAnsi="Consolas" w:cs="Consolas"/>
          <w:sz w:val="20"/>
          <w:szCs w:val="20"/>
        </w:rPr>
        <w:lastRenderedPageBreak/>
        <w:t xml:space="preserve">                                                      ▼</w:t>
      </w:r>
    </w:p>
    <w:p w14:paraId="36BCFC65" w14:textId="77777777" w:rsidR="008E1B31" w:rsidRDefault="00000000">
      <w:pPr>
        <w:shd w:val="clear" w:color="auto" w:fill="F4F4F4"/>
      </w:pPr>
      <w:r>
        <w:rPr>
          <w:rFonts w:ascii="Consolas" w:eastAsia="Consolas" w:hAnsi="Consolas" w:cs="Consolas"/>
          <w:sz w:val="20"/>
          <w:szCs w:val="20"/>
        </w:rPr>
        <w:t xml:space="preserve">                                      persist to </w:t>
      </w:r>
      <w:proofErr w:type="spellStart"/>
      <w:r>
        <w:rPr>
          <w:rFonts w:ascii="Consolas" w:eastAsia="Consolas" w:hAnsi="Consolas" w:cs="Consolas"/>
          <w:sz w:val="20"/>
          <w:szCs w:val="20"/>
        </w:rPr>
        <w:t>scenario_resolved_values</w:t>
      </w:r>
      <w:proofErr w:type="spellEnd"/>
    </w:p>
    <w:p w14:paraId="36BCFC66" w14:textId="77777777" w:rsidR="008E1B31" w:rsidRDefault="00000000">
      <w:pPr>
        <w:spacing w:after="120"/>
      </w:pPr>
      <w:r>
        <w:rPr>
          <w:sz w:val="12"/>
          <w:szCs w:val="12"/>
        </w:rPr>
        <w:t xml:space="preserve"> </w:t>
      </w:r>
    </w:p>
    <w:p w14:paraId="36BCFC67" w14:textId="77777777" w:rsidR="008E1B31" w:rsidRDefault="00000000">
      <w:pPr>
        <w:spacing w:after="160" w:line="320" w:lineRule="auto"/>
        <w:jc w:val="both"/>
      </w:pPr>
      <w:r>
        <w:t>Each phase has a single concern, isolated from the others. The dispatch loop never reads from the database; the loader never evaluates formulas; the topological sort never produces values. Mistakes in any one phase are diagnosed by inspecting that phase's single concern.</w:t>
      </w:r>
    </w:p>
    <w:p w14:paraId="36BCFC68" w14:textId="77777777" w:rsidR="008E1B31" w:rsidRDefault="00000000">
      <w:pPr>
        <w:spacing w:after="160" w:line="320" w:lineRule="auto"/>
        <w:jc w:val="both"/>
      </w:pPr>
      <w:r>
        <w:t xml:space="preserve">A common framing of the resolver is that it starts from "production nodes with P observed and outflow equal to production". That is a special case, not the rule. The actual starting points are the leaves of the dependency DAG — every variable with no upstream dependency. There are two categories of leaf. First, </w:t>
      </w:r>
      <w:r>
        <w:rPr>
          <w:b/>
          <w:bCs/>
        </w:rPr>
        <w:t>observed variables</w:t>
      </w:r>
      <w:r>
        <w:t xml:space="preserve">: any variable with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time-series lookup is the ground truth; no other rule contributes to its value. Second, </w:t>
      </w:r>
      <w:r>
        <w:rPr>
          <w:b/>
          <w:bCs/>
        </w:rPr>
        <w:t>structural zeros</w:t>
      </w:r>
      <w:r>
        <w:t xml:space="preserve">: any variable with </w:t>
      </w:r>
      <w:r>
        <w:rPr>
          <w:rFonts w:ascii="Consolas" w:eastAsia="Consolas" w:hAnsi="Consolas" w:cs="Consolas"/>
        </w:rPr>
        <w:t>formula = '0'</w:t>
      </w:r>
      <w:r>
        <w:t xml:space="preserve">. These come from </w:t>
      </w:r>
      <w:proofErr w:type="spellStart"/>
      <w:r>
        <w:rPr>
          <w:rFonts w:ascii="Consolas" w:eastAsia="Consolas" w:hAnsi="Consolas" w:cs="Consolas"/>
        </w:rPr>
        <w:t>node_type_default_formulas</w:t>
      </w:r>
      <w:proofErr w:type="spellEnd"/>
      <w:r>
        <w:t xml:space="preserve"> — a pipeline's P, C, ΔS, and B are zero by physical construction; a refinery's outflow is zero (refineries consume crude, they do not return it). No upstream variable contributes to a structural zero either.</w:t>
      </w:r>
    </w:p>
    <w:p w14:paraId="36BCFC69" w14:textId="77777777" w:rsidR="008E1B31" w:rsidRDefault="00000000">
      <w:pPr>
        <w:spacing w:after="160" w:line="320" w:lineRule="auto"/>
        <w:jc w:val="both"/>
      </w:pPr>
      <w:r>
        <w:t>Everything else is derived from these leaves through the topologically ordered dispatch loop. The propagation is bottom-up: an alias needs its target resolved first; a sum needs its inputs; a closure needs the inventory delta and the flows. The topological sort guarantees that each variable is visited only after its dependencies are.</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Rules are tried in priority order. The first rule that succeeds produces a value and short-circuits the rest. The unresolved fallback (the last rule) should fire zero times in a healthy run.</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Building the dependency graph</w:t>
      </w:r>
    </w:p>
    <w:p w14:paraId="36BCFC87" w14:textId="77777777" w:rsidR="008E1B31" w:rsidRDefault="00000000">
      <w:pPr>
        <w:spacing w:after="160" w:line="320" w:lineRule="auto"/>
        <w:jc w:val="both"/>
      </w:pPr>
      <w:r>
        <w:t xml:space="preserve">The function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walks every assignment and produces a </w:t>
      </w:r>
      <w:proofErr w:type="gramStart"/>
      <w:r>
        <w:t xml:space="preserve">dictionary </w:t>
      </w:r>
      <w:r>
        <w:rPr>
          <w:rFonts w:ascii="Consolas" w:eastAsia="Consolas" w:hAnsi="Consolas" w:cs="Consolas"/>
        </w:rPr>
        <w:t>deps[variable]</w:t>
      </w:r>
      <w:proofErr w:type="gramEnd"/>
      <w:r>
        <w:t xml:space="preserve"> containing the set of upstream variable IDs for that variable. The set must be acyclic so that the topological sorter can produce a valid evaluation order. Three sources of dependencies contribute to the dictionary:</w:t>
      </w:r>
    </w:p>
    <w:p w14:paraId="36BCFC88" w14:textId="77777777" w:rsidR="008E1B31" w:rsidRDefault="00000000">
      <w:pPr>
        <w:spacing w:after="160" w:line="320" w:lineRule="auto"/>
        <w:jc w:val="both"/>
      </w:pPr>
      <w:r>
        <w:t xml:space="preserve">First, </w:t>
      </w:r>
      <w:r>
        <w:rPr>
          <w:b/>
          <w:bCs/>
        </w:rPr>
        <w:t>formula inputs.</w:t>
      </w:r>
      <w:r>
        <w:t xml:space="preserve"> Every variable ID listed in </w:t>
      </w:r>
      <w:proofErr w:type="spellStart"/>
      <w:r>
        <w:rPr>
          <w:rFonts w:ascii="Consolas" w:eastAsia="Consolas" w:hAnsi="Consolas" w:cs="Consolas"/>
        </w:rPr>
        <w:t>formula_inputs</w:t>
      </w:r>
      <w:proofErr w:type="spellEnd"/>
      <w:r>
        <w:t xml:space="preserve"> that exists in the assignment set becomes a dependency. This handles all sum, alias, and arithmetic formulas.</w:t>
      </w:r>
    </w:p>
    <w:p w14:paraId="36BCFC89" w14:textId="77777777" w:rsidR="008E1B31" w:rsidRDefault="00000000">
      <w:pPr>
        <w:spacing w:after="160" w:line="320" w:lineRule="auto"/>
        <w:jc w:val="both"/>
      </w:pPr>
      <w:r>
        <w:lastRenderedPageBreak/>
        <w:t xml:space="preserve">Second, </w:t>
      </w:r>
      <w:r>
        <w:rPr>
          <w:b/>
          <w:bCs/>
        </w:rPr>
        <w:t>fan-out at the same node.</w:t>
      </w:r>
      <w:r>
        <w:t xml:space="preserve"> When a variable's formula is a sum over outflows, the variable depends on every outflow variable at the same node, except itself. This is the only case where a dependency is inferred rather than declared.</w:t>
      </w:r>
    </w:p>
    <w:p w14:paraId="36BCFC8A" w14:textId="77777777" w:rsidR="008E1B31" w:rsidRDefault="00000000">
      <w:pPr>
        <w:spacing w:after="160" w:line="320" w:lineRule="auto"/>
        <w:jc w:val="both"/>
      </w:pPr>
      <w:r>
        <w:t xml:space="preserve">Third, </w:t>
      </w:r>
      <w:r>
        <w:rPr>
          <w:b/>
          <w:bCs/>
        </w:rPr>
        <w:t>reverse-mirror dependency, hoisted above the early-continue path.</w:t>
      </w:r>
      <w:r>
        <w:t xml:space="preserve"> When a variable is latent and its paired direction is resolved, the paired direction is added as a dependency. Two cycle-avoidance gates protect this addition. The paired side must not itself be plain latent (else neither side has a value); and the paired side must not already alias from us (else a two-node cycle forms). The second gate, called </w:t>
      </w:r>
      <w:proofErr w:type="spellStart"/>
      <w:r>
        <w:rPr>
          <w:rFonts w:ascii="Consolas" w:eastAsia="Consolas" w:hAnsi="Consolas" w:cs="Consolas"/>
        </w:rPr>
        <w:t>paired_aliases_us</w:t>
      </w:r>
      <w:proofErr w:type="spellEnd"/>
      <w:r>
        <w:t xml:space="preserve">, is the result of the </w:t>
      </w:r>
      <w:proofErr w:type="gramStart"/>
      <w:r>
        <w:t>ninth-pass</w:t>
      </w:r>
      <w:proofErr w:type="gramEnd"/>
      <w:r>
        <w:t xml:space="preserve"> debugging episode described below.</w:t>
      </w:r>
    </w:p>
    <w:p w14:paraId="36BCFC8B" w14:textId="77777777" w:rsidR="008E1B31" w:rsidRDefault="00000000">
      <w:pPr>
        <w:spacing w:after="160" w:line="320" w:lineRule="auto"/>
        <w:jc w:val="both"/>
      </w:pPr>
      <w:r>
        <w:t xml:space="preserve">Cycle gates matter because the topological sort raises a </w:t>
      </w:r>
      <w:proofErr w:type="spellStart"/>
      <w:r>
        <w:rPr>
          <w:rFonts w:ascii="Consolas" w:eastAsia="Consolas" w:hAnsi="Consolas" w:cs="Consolas"/>
        </w:rPr>
        <w:t>CycleError</w:t>
      </w:r>
      <w:proofErr w:type="spellEnd"/>
      <w:r>
        <w:t xml:space="preserve"> on the first cycle it encounters. The resolver tolerates many alias-and-mirror patterns precisely because of these gates; the cost is that a few subtle conditions in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need to be read together rather than in isolation.</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proofErr w:type="spellStart"/>
      <w:proofErr w:type="spellEnd"/>
      <w:r>
        <w:t>| L3b | v_node_status | L1 | The per-(scenario, node) status from Section 4.5: authoritative, derived, or inactive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At each evaluation date the resolver looks up the most recent time-series value at or before that date and returns it as the resolved value.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Corollary D-bis at work. The variable montana_other.production is defined as montana_state.production minus bakken_mt.production. The state-level series MCRFPMT2 ends earlier than the STEO basin forecast COPRBK. LOCF holds Montana flat from MCRFPMT2's last observation onward while Bakken-MT keeps forecasting upward, and the residual goes negative for the months between the two horizons. This is not a resolver bug; it is the framework registering a real divergence between source publications. The v_resolution_anomalies view tags the pattern as a low-severity anomaly for review.</w:t>
      </w:r>
    </w:p>
    <w:p w14:paraId="05A43D87"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