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8D06" w14:textId="77777777" w:rsidR="00770067" w:rsidRDefault="00B07BD9">
      <w:pPr>
        <w:spacing w:after="120"/>
        <w:jc w:val="center"/>
      </w:pPr>
      <w:r>
        <w:rPr>
          <w:b/>
          <w:bCs/>
          <w:color w:val="2C2C2A"/>
          <w:sz w:val="36"/>
          <w:szCs w:val="36"/>
        </w:rPr>
        <w:t>Annex A</w:t>
      </w:r>
    </w:p>
    <w:p w14:paraId="6BBFF977" w14:textId="77777777" w:rsidR="00770067" w:rsidRDefault="00B07BD9">
      <w:pPr>
        <w:spacing w:after="80"/>
        <w:jc w:val="center"/>
      </w:pPr>
      <w:r>
        <w:rPr>
          <w:b/>
          <w:bCs/>
          <w:color w:val="3C3489"/>
          <w:sz w:val="28"/>
          <w:szCs w:val="28"/>
        </w:rPr>
        <w:t>Graph Neural Networks: Concepts, Mathematics, and a Crude-Oil Example</w:t>
      </w:r>
    </w:p>
    <w:p w14:paraId="3ED245B6" w14:textId="77777777" w:rsidR="00770067" w:rsidRDefault="00B07BD9">
      <w:pPr>
        <w:spacing w:after="400"/>
        <w:jc w:val="center"/>
      </w:pPr>
      <w:r>
        <w:rPr>
          <w:i/>
          <w:iCs/>
          <w:color w:val="5F5E5A"/>
          <w:sz w:val="20"/>
          <w:szCs w:val="20"/>
        </w:rPr>
        <w:t>A technical primer supporting Chapter 2 of the thesis</w:t>
      </w:r>
    </w:p>
    <w:p w14:paraId="23C93E25" w14:textId="77777777" w:rsidR="00770067" w:rsidRDefault="00B07BD9">
      <w:pPr>
        <w:pStyle w:val="Heading1"/>
        <w:spacing w:before="400" w:after="200"/>
      </w:pPr>
      <w:r>
        <w:rPr>
          <w:b/>
          <w:bCs/>
          <w:color w:val="2C2C2A"/>
        </w:rPr>
        <w:t>A.1 Overview</w:t>
      </w:r>
    </w:p>
    <w:p w14:paraId="7A61E1E9" w14:textId="77777777" w:rsidR="00770067" w:rsidRDefault="00B07BD9">
      <w:pPr>
        <w:spacing w:after="160"/>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1824AAFF" w14:textId="77777777" w:rsidR="00770067" w:rsidRDefault="00B07BD9">
      <w:pPr>
        <w:spacing w:after="80"/>
        <w:ind w:left="720" w:hanging="360"/>
      </w:pPr>
      <w:r>
        <w:t>• A.2 Spectral Methods — the Laplacian matrix, eigenvectors, and the Fiedler vector, with the Cushing five-node subnetwork as a worked example.</w:t>
      </w:r>
    </w:p>
    <w:p w14:paraId="51C0BC25" w14:textId="77777777" w:rsidR="00770067" w:rsidRDefault="00B07BD9">
      <w:pPr>
        <w:spacing w:after="80"/>
        <w:ind w:left="720" w:hanging="360"/>
      </w:pPr>
      <w:r>
        <w:t xml:space="preserve">• A.3 </w:t>
      </w:r>
      <w:proofErr w:type="spellStart"/>
      <w:r>
        <w:t>DeepWalk</w:t>
      </w:r>
      <w:proofErr w:type="spellEnd"/>
      <w:r>
        <w:t xml:space="preserve"> and node2vec — the random walk analogy, what it captures, and its limitation of ignoring node features.</w:t>
      </w:r>
    </w:p>
    <w:p w14:paraId="69FECA87" w14:textId="77777777" w:rsidR="00770067" w:rsidRDefault="00B07BD9">
      <w:pPr>
        <w:spacing w:after="80"/>
        <w:ind w:left="720" w:hanging="360"/>
      </w:pPr>
      <w:r>
        <w:t>• A.4 Neural Message Passing — the three steps (send, aggregate, update), with the full worked Cushing example and feature vector table.</w:t>
      </w:r>
    </w:p>
    <w:p w14:paraId="6EAC9D3E" w14:textId="77777777" w:rsidR="00770067" w:rsidRDefault="00B07BD9">
      <w:pPr>
        <w:spacing w:after="80"/>
        <w:ind w:left="720" w:hanging="360"/>
      </w:pPr>
      <w:r>
        <w:t>• A.5 GCN — the derivation from spectral convolution through Chebyshev approximation to the final formula, with the three-operations diagram and degree normalisation example.</w:t>
      </w:r>
    </w:p>
    <w:p w14:paraId="6F194B8E" w14:textId="77777777" w:rsidR="00770067" w:rsidRDefault="00B07BD9">
      <w:pPr>
        <w:spacing w:after="80"/>
        <w:ind w:left="720" w:hanging="360"/>
      </w:pPr>
      <w:r>
        <w:t xml:space="preserve">• A.6 GAT and </w:t>
      </w:r>
      <w:proofErr w:type="spellStart"/>
      <w:r>
        <w:t>GraphSAGE</w:t>
      </w:r>
      <w:proofErr w:type="spellEnd"/>
      <w:r>
        <w:t xml:space="preserve"> — attention weights and inductive learning, connected to the vessel-node extensibility argument.</w:t>
      </w:r>
    </w:p>
    <w:p w14:paraId="3874867D" w14:textId="77777777" w:rsidR="00770067" w:rsidRDefault="00B07BD9">
      <w:pPr>
        <w:spacing w:after="240"/>
        <w:ind w:left="720" w:hanging="360"/>
      </w:pPr>
      <w:r>
        <w:t>• A.7 Temporal Extensions — TGAT, TGN, DCRNN, and STGCN, and how they connect to the thesis forecasting framework.</w:t>
      </w:r>
    </w:p>
    <w:p w14:paraId="695845A5" w14:textId="77777777" w:rsidR="00770067" w:rsidRDefault="00B07BD9">
      <w:pPr>
        <w:spacing w:before="160" w:after="80"/>
        <w:jc w:val="center"/>
      </w:pPr>
      <w:r>
        <w:rPr>
          <w:noProof/>
        </w:rPr>
        <w:drawing>
          <wp:inline distT="0" distB="0" distL="0" distR="0" wp14:anchorId="1962A640" wp14:editId="7890A310">
            <wp:extent cx="5524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90875"/>
                    </a:xfrm>
                    <a:prstGeom prst="rect">
                      <a:avLst/>
                    </a:prstGeom>
                  </pic:spPr>
                </pic:pic>
              </a:graphicData>
            </a:graphic>
          </wp:inline>
        </w:drawing>
      </w:r>
    </w:p>
    <w:p w14:paraId="7A74BBC8" w14:textId="77777777" w:rsidR="00770067" w:rsidRDefault="00B07BD9">
      <w:pPr>
        <w:spacing w:after="240"/>
        <w:jc w:val="center"/>
      </w:pPr>
      <w:r>
        <w:rPr>
          <w:i/>
          <w:iCs/>
          <w:color w:val="5F5E5A"/>
          <w:sz w:val="18"/>
          <w:szCs w:val="18"/>
        </w:rPr>
        <w:t xml:space="preserve">Figure A.1 — Evolution of GNN methods from spectral embeddings to hybrid </w:t>
      </w:r>
      <w:proofErr w:type="spellStart"/>
      <w:r>
        <w:rPr>
          <w:i/>
          <w:iCs/>
          <w:color w:val="5F5E5A"/>
          <w:sz w:val="18"/>
          <w:szCs w:val="18"/>
        </w:rPr>
        <w:t>spatio</w:t>
      </w:r>
      <w:proofErr w:type="spellEnd"/>
      <w:r>
        <w:rPr>
          <w:i/>
          <w:iCs/>
          <w:color w:val="5F5E5A"/>
          <w:sz w:val="18"/>
          <w:szCs w:val="18"/>
        </w:rPr>
        <w:t>-temporal architectures.</w:t>
      </w:r>
    </w:p>
    <w:p w14:paraId="6B54D69F" w14:textId="77777777" w:rsidR="00770067" w:rsidRDefault="00B07BD9">
      <w:pPr>
        <w:pStyle w:val="Heading1"/>
        <w:spacing w:before="400" w:after="200"/>
      </w:pPr>
      <w:r>
        <w:rPr>
          <w:b/>
          <w:bCs/>
          <w:color w:val="2C2C2A"/>
        </w:rPr>
        <w:t>A.2 Spectral Methods and the Graph Laplacian</w:t>
      </w:r>
    </w:p>
    <w:p w14:paraId="30BA926A" w14:textId="77777777" w:rsidR="00770067" w:rsidRDefault="00B07BD9">
      <w:pPr>
        <w:spacing w:after="160"/>
      </w:pPr>
      <w:r>
        <w:lastRenderedPageBreak/>
        <w:t>The earliest approach to learning node representations was rooted in linear algebra. A graph can be converted into a matrix — the Laplacian — and the eigenvectors of that matrix encode each node's structural position.</w:t>
      </w:r>
    </w:p>
    <w:p w14:paraId="008FC1B5" w14:textId="77777777" w:rsidR="00770067" w:rsidRDefault="00B07BD9">
      <w:pPr>
        <w:spacing w:before="200" w:after="100"/>
      </w:pPr>
      <w:r>
        <w:rPr>
          <w:b/>
          <w:bCs/>
          <w:color w:val="3C3489"/>
        </w:rPr>
        <w:t>A.2.1 From graph to matrix</w:t>
      </w:r>
    </w:p>
    <w:p w14:paraId="2606DE06" w14:textId="77777777" w:rsidR="00770067" w:rsidRDefault="00B07BD9">
      <w:pPr>
        <w:spacing w:after="160"/>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70805888" w14:textId="77777777" w:rsidR="00770067" w:rsidRDefault="00B07BD9">
      <w:pPr>
        <w:spacing w:before="60" w:after="60"/>
        <w:ind w:left="720"/>
      </w:pPr>
      <w:r>
        <w:rPr>
          <w:rFonts w:ascii="Courier New" w:eastAsia="Courier New" w:hAnsi="Courier New" w:cs="Courier New"/>
          <w:color w:val="26215C"/>
          <w:sz w:val="18"/>
          <w:szCs w:val="18"/>
        </w:rPr>
        <w:t>L = D − A</w:t>
      </w:r>
    </w:p>
    <w:p w14:paraId="06D14246" w14:textId="77777777" w:rsidR="00770067" w:rsidRDefault="00B07BD9">
      <w:pPr>
        <w:spacing w:after="160"/>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24E81FAB" w14:textId="77777777" w:rsidR="00770067" w:rsidRDefault="00B07BD9">
      <w:pPr>
        <w:spacing w:before="200" w:after="100"/>
      </w:pPr>
      <w:r>
        <w:rPr>
          <w:b/>
          <w:bCs/>
          <w:color w:val="3C3489"/>
        </w:rPr>
        <w:t>A.2.2 The Cushing subnetwork</w:t>
      </w:r>
    </w:p>
    <w:p w14:paraId="7813AB59" w14:textId="77777777" w:rsidR="00770067" w:rsidRDefault="00B07BD9">
      <w:pPr>
        <w:spacing w:after="160"/>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25A1796F" w14:textId="77777777" w:rsidR="00770067" w:rsidRDefault="00B07BD9">
      <w:pPr>
        <w:spacing w:before="160" w:after="80"/>
        <w:jc w:val="center"/>
      </w:pPr>
      <w:r>
        <w:rPr>
          <w:noProof/>
        </w:rPr>
        <w:drawing>
          <wp:inline distT="0" distB="0" distL="0" distR="0" wp14:anchorId="5FCC9765" wp14:editId="46D8DDD3">
            <wp:extent cx="5524500" cy="2762250"/>
            <wp:effectExtent l="0" t="0" r="0" b="0"/>
            <wp:docPr id="1432641230" name="Picture 14326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762250"/>
                    </a:xfrm>
                    <a:prstGeom prst="rect">
                      <a:avLst/>
                    </a:prstGeom>
                  </pic:spPr>
                </pic:pic>
              </a:graphicData>
            </a:graphic>
          </wp:inline>
        </w:drawing>
      </w:r>
    </w:p>
    <w:p w14:paraId="3EBC53CB" w14:textId="77777777" w:rsidR="00770067" w:rsidRDefault="00B07BD9">
      <w:pPr>
        <w:spacing w:after="240"/>
        <w:jc w:val="center"/>
      </w:pPr>
      <w:r>
        <w:rPr>
          <w:i/>
          <w:iCs/>
          <w:color w:val="5F5E5A"/>
          <w:sz w:val="18"/>
          <w:szCs w:val="18"/>
        </w:rPr>
        <w:t>Figure A.2 — The five-node crude-oil subnetwork and its Laplacian matrix. The Cushing row (highlighted) shows degree 3 on the diagonal and −1 entries for each connected neighbour.</w:t>
      </w:r>
    </w:p>
    <w:p w14:paraId="59E75CA0" w14:textId="77777777" w:rsidR="00770067" w:rsidRDefault="00B07BD9">
      <w:pPr>
        <w:spacing w:after="160"/>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1BD943B7" w14:textId="77777777" w:rsidR="00770067" w:rsidRDefault="00B07BD9">
      <w:pPr>
        <w:spacing w:after="160"/>
      </w:pPr>
      <w:r>
        <w:t>The limitation of spectral methods is that eigenvectors must be recomputed from scratch whenever the graph changes. Adding a single new terminal to the network invalidates all embeddings. This motivated a fundamentally different approach.</w:t>
      </w:r>
    </w:p>
    <w:p w14:paraId="790771EF" w14:textId="77777777" w:rsidR="00770067" w:rsidRDefault="00B07BD9">
      <w:pPr>
        <w:pStyle w:val="Heading1"/>
        <w:spacing w:before="400" w:after="200"/>
      </w:pPr>
      <w:r>
        <w:rPr>
          <w:b/>
          <w:bCs/>
          <w:color w:val="2C2C2A"/>
        </w:rPr>
        <w:t xml:space="preserve">A.3 </w:t>
      </w:r>
      <w:proofErr w:type="spellStart"/>
      <w:r>
        <w:rPr>
          <w:b/>
          <w:bCs/>
          <w:color w:val="2C2C2A"/>
        </w:rPr>
        <w:t>DeepWalk</w:t>
      </w:r>
      <w:proofErr w:type="spellEnd"/>
      <w:r>
        <w:rPr>
          <w:b/>
          <w:bCs/>
          <w:color w:val="2C2C2A"/>
        </w:rPr>
        <w:t xml:space="preserve"> and node2vec — Random Walk Embeddings</w:t>
      </w:r>
    </w:p>
    <w:p w14:paraId="2DAACF58" w14:textId="77777777" w:rsidR="00770067" w:rsidRDefault="00B07BD9">
      <w:pPr>
        <w:spacing w:after="160"/>
      </w:pPr>
      <w:proofErr w:type="spellStart"/>
      <w:r>
        <w:lastRenderedPageBreak/>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0CE11DA4" w14:textId="77777777" w:rsidR="00770067" w:rsidRDefault="00B07BD9">
      <w:pPr>
        <w:spacing w:after="160"/>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33AD8AC" w14:textId="77777777" w:rsidR="00770067" w:rsidRDefault="00B07BD9">
      <w:pPr>
        <w:spacing w:after="160"/>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73970BE2" w14:textId="77777777" w:rsidR="00770067" w:rsidRDefault="00B07BD9">
      <w:pPr>
        <w:spacing w:after="160"/>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04AFCF4C" w14:textId="77777777" w:rsidR="00770067" w:rsidRDefault="00B07BD9">
      <w:pPr>
        <w:pStyle w:val="Heading1"/>
        <w:spacing w:before="400" w:after="200"/>
      </w:pPr>
      <w:r>
        <w:rPr>
          <w:b/>
          <w:bCs/>
          <w:color w:val="2C2C2A"/>
        </w:rPr>
        <w:t>A.4 Neural Message Passing — the GNN Mechanism</w:t>
      </w:r>
    </w:p>
    <w:p w14:paraId="67B04331" w14:textId="77777777" w:rsidR="00770067" w:rsidRDefault="00B07BD9">
      <w:pPr>
        <w:spacing w:after="160"/>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700E8B8F" w14:textId="77777777" w:rsidR="00770067" w:rsidRDefault="00B07BD9">
      <w:pPr>
        <w:spacing w:before="200" w:after="100"/>
      </w:pPr>
      <w:r>
        <w:rPr>
          <w:b/>
          <w:bCs/>
          <w:color w:val="3C3489"/>
        </w:rPr>
        <w:t>A.4.1 The three steps</w:t>
      </w:r>
    </w:p>
    <w:p w14:paraId="790CE834" w14:textId="77777777" w:rsidR="00770067" w:rsidRDefault="00B07BD9">
      <w:pPr>
        <w:pStyle w:val="ListParagraph"/>
        <w:numPr>
          <w:ilvl w:val="0"/>
          <w:numId w:val="2"/>
        </w:numPr>
        <w:spacing w:before="60" w:after="100"/>
      </w:pPr>
      <w:r>
        <w:rPr>
          <w:b/>
          <w:bCs/>
        </w:rPr>
        <w:t xml:space="preserve">Send — </w:t>
      </w:r>
      <w:r>
        <w:t>each node sends a message to its neighbours. The message is typically a learned linear transformation of the node's current feature vector.</w:t>
      </w:r>
    </w:p>
    <w:p w14:paraId="7F350B72" w14:textId="77777777" w:rsidR="00770067" w:rsidRDefault="00B07BD9">
      <w:pPr>
        <w:pStyle w:val="ListParagraph"/>
        <w:numPr>
          <w:ilvl w:val="0"/>
          <w:numId w:val="2"/>
        </w:numPr>
        <w:spacing w:before="60" w:after="100"/>
      </w:pPr>
      <w:r>
        <w:rPr>
          <w:b/>
          <w:bCs/>
        </w:rPr>
        <w:t xml:space="preserve">Aggregate — </w:t>
      </w:r>
      <w:r>
        <w:t>each node collects all incoming messages and combines them — usually by summing or averaging — into a single neighbourhood summary vector.</w:t>
      </w:r>
    </w:p>
    <w:p w14:paraId="31051EA8" w14:textId="77777777" w:rsidR="00770067" w:rsidRDefault="00B07BD9">
      <w:pPr>
        <w:pStyle w:val="ListParagraph"/>
        <w:numPr>
          <w:ilvl w:val="0"/>
          <w:numId w:val="2"/>
        </w:numPr>
        <w:spacing w:before="60" w:after="100"/>
      </w:pPr>
      <w:r>
        <w:rPr>
          <w:b/>
          <w:bCs/>
        </w:rPr>
        <w:t xml:space="preserve">Update — </w:t>
      </w:r>
      <w:r>
        <w:t>each node combines the neighbourhood summary with its own current representation to produce a new, updated embedding.</w:t>
      </w:r>
    </w:p>
    <w:p w14:paraId="2C75F1D1" w14:textId="77777777" w:rsidR="00770067" w:rsidRDefault="00B07BD9">
      <w:pPr>
        <w:spacing w:after="160"/>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43CAB026" w14:textId="77777777" w:rsidR="00770067" w:rsidRDefault="00B07BD9">
      <w:pPr>
        <w:spacing w:before="200" w:after="100"/>
      </w:pPr>
      <w:r>
        <w:rPr>
          <w:b/>
          <w:bCs/>
          <w:color w:val="3C3489"/>
        </w:rPr>
        <w:t>A.4.2 The Cushing example</w:t>
      </w:r>
    </w:p>
    <w:p w14:paraId="51D477BF" w14:textId="77777777" w:rsidR="00770067" w:rsidRDefault="00B07BD9">
      <w:pPr>
        <w:spacing w:after="160"/>
      </w:pPr>
      <w:r>
        <w:t>To make this concrete, consider Cushing terminal connected to three assets with the following feature vectors (all flows in barrels per day):</w:t>
      </w:r>
    </w:p>
    <w:p w14:paraId="5F02C156" w14:textId="77777777" w:rsidR="00770067" w:rsidRDefault="0077006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1641"/>
        <w:gridCol w:w="1744"/>
        <w:gridCol w:w="1641"/>
        <w:gridCol w:w="1744"/>
      </w:tblGrid>
      <w:tr w:rsidR="00770067" w14:paraId="22D71C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07BFF01D" w14:textId="77777777" w:rsidR="00770067" w:rsidRDefault="00B07BD9">
            <w:r>
              <w:rPr>
                <w:b/>
                <w:bCs/>
                <w:color w:val="2C2C2A"/>
                <w:sz w:val="18"/>
                <w:szCs w:val="18"/>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96B4347" w14:textId="77777777" w:rsidR="00770067" w:rsidRDefault="00B07BD9">
            <w:r>
              <w:rPr>
                <w:b/>
                <w:bCs/>
                <w:color w:val="2C2C2A"/>
                <w:sz w:val="18"/>
                <w:szCs w:val="18"/>
              </w:rPr>
              <w:t>Permian (node 1)</w:t>
            </w:r>
          </w:p>
        </w:tc>
        <w:tc>
          <w:tcPr>
            <w:tcW w:w="17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5300E437" w14:textId="77777777" w:rsidR="00770067" w:rsidRDefault="00B07BD9">
            <w:r>
              <w:rPr>
                <w:b/>
                <w:bCs/>
                <w:color w:val="2C2C2A"/>
                <w:sz w:val="18"/>
                <w:szCs w:val="18"/>
              </w:rPr>
              <w:t>Gulf Coast (node 2)</w:t>
            </w:r>
          </w:p>
        </w:tc>
        <w:tc>
          <w:tcPr>
            <w:tcW w:w="16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440019F" w14:textId="77777777" w:rsidR="00770067" w:rsidRDefault="00B07BD9">
            <w:r>
              <w:rPr>
                <w:b/>
                <w:bCs/>
                <w:color w:val="2C2C2A"/>
                <w:sz w:val="18"/>
                <w:szCs w:val="18"/>
              </w:rPr>
              <w:t>Cushing (node 3)</w:t>
            </w:r>
          </w:p>
        </w:tc>
        <w:tc>
          <w:tcPr>
            <w:tcW w:w="17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068B2355" w14:textId="77777777" w:rsidR="00770067" w:rsidRDefault="00B07BD9">
            <w:r>
              <w:rPr>
                <w:b/>
                <w:bCs/>
                <w:color w:val="2C2C2A"/>
                <w:sz w:val="18"/>
                <w:szCs w:val="18"/>
              </w:rPr>
              <w:t>Refinery (node 4)</w:t>
            </w:r>
          </w:p>
        </w:tc>
      </w:tr>
      <w:tr w:rsidR="00770067" w14:paraId="04D27A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1B5" w14:textId="77777777" w:rsidR="00770067" w:rsidRDefault="00B07BD9">
            <w:r>
              <w:rPr>
                <w:b/>
                <w:bCs/>
                <w:color w:val="444441"/>
                <w:sz w:val="18"/>
                <w:szCs w:val="18"/>
              </w:rPr>
              <w:t>Production (b/d)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2385" w14:textId="77777777" w:rsidR="00770067" w:rsidRDefault="00B07BD9">
            <w:r>
              <w:rPr>
                <w:color w:val="444441"/>
                <w:sz w:val="18"/>
                <w:szCs w:val="18"/>
              </w:rPr>
              <w:t>800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8C32" w14:textId="77777777" w:rsidR="00770067" w:rsidRDefault="00B07BD9">
            <w:r>
              <w:rPr>
                <w:color w:val="444441"/>
                <w:sz w:val="18"/>
                <w:szCs w:val="18"/>
              </w:rPr>
              <w:t>600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C1CB4" w14:textId="77777777" w:rsidR="00770067" w:rsidRDefault="00B07BD9">
            <w:r>
              <w:rPr>
                <w:color w:val="444441"/>
                <w:sz w:val="18"/>
                <w:szCs w:val="18"/>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5E442" w14:textId="77777777" w:rsidR="00770067" w:rsidRDefault="00B07BD9">
            <w:r>
              <w:rPr>
                <w:color w:val="444441"/>
                <w:sz w:val="18"/>
                <w:szCs w:val="18"/>
              </w:rPr>
              <w:t>0</w:t>
            </w:r>
          </w:p>
        </w:tc>
      </w:tr>
      <w:tr w:rsidR="00770067" w14:paraId="786BE5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9890" w14:textId="77777777" w:rsidR="00770067" w:rsidRDefault="00B07BD9">
            <w:r>
              <w:rPr>
                <w:b/>
                <w:bCs/>
                <w:color w:val="444441"/>
                <w:sz w:val="18"/>
                <w:szCs w:val="18"/>
              </w:rPr>
              <w:t>Inflow (b/d)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86C1" w14:textId="77777777" w:rsidR="00770067" w:rsidRDefault="00B07BD9">
            <w:r>
              <w:rPr>
                <w:color w:val="444441"/>
                <w:sz w:val="18"/>
                <w:szCs w:val="18"/>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8E06" w14:textId="77777777" w:rsidR="00770067" w:rsidRDefault="00B07BD9">
            <w:r>
              <w:rPr>
                <w:color w:val="444441"/>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7C50" w14:textId="77777777" w:rsidR="00770067" w:rsidRDefault="00B07BD9">
            <w:r>
              <w:rPr>
                <w:color w:val="444441"/>
                <w:sz w:val="18"/>
                <w:szCs w:val="18"/>
              </w:rPr>
              <w:t>1,400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1AD8E" w14:textId="77777777" w:rsidR="00770067" w:rsidRDefault="00B07BD9">
            <w:r>
              <w:rPr>
                <w:color w:val="444441"/>
                <w:sz w:val="18"/>
                <w:szCs w:val="18"/>
              </w:rPr>
              <w:t>950</w:t>
            </w:r>
          </w:p>
        </w:tc>
      </w:tr>
      <w:tr w:rsidR="00770067" w14:paraId="79A7D9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BD17" w14:textId="77777777" w:rsidR="00770067" w:rsidRDefault="00B07BD9">
            <w:r>
              <w:rPr>
                <w:b/>
                <w:bCs/>
                <w:color w:val="444441"/>
                <w:sz w:val="18"/>
                <w:szCs w:val="18"/>
              </w:rPr>
              <w:t>Inventory (</w:t>
            </w:r>
            <w:proofErr w:type="spellStart"/>
            <w:r>
              <w:rPr>
                <w:b/>
                <w:bCs/>
                <w:color w:val="444441"/>
                <w:sz w:val="18"/>
                <w:szCs w:val="18"/>
              </w:rPr>
              <w:t>bbls</w:t>
            </w:r>
            <w:proofErr w:type="spellEnd"/>
            <w:r>
              <w:rPr>
                <w:b/>
                <w:bCs/>
                <w:color w:val="444441"/>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11D1" w14:textId="77777777" w:rsidR="00770067" w:rsidRDefault="00B07BD9">
            <w:r>
              <w:rPr>
                <w:color w:val="444441"/>
                <w:sz w:val="18"/>
                <w:szCs w:val="18"/>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55F6E" w14:textId="77777777" w:rsidR="00770067" w:rsidRDefault="00B07BD9">
            <w:r>
              <w:rPr>
                <w:color w:val="444441"/>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FD5D" w14:textId="77777777" w:rsidR="00770067" w:rsidRDefault="00B07BD9">
            <w:r>
              <w:rPr>
                <w:color w:val="3C3489"/>
                <w:sz w:val="18"/>
                <w:szCs w:val="18"/>
              </w:rPr>
              <w:t>45,000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C31C" w14:textId="77777777" w:rsidR="00770067" w:rsidRDefault="00B07BD9">
            <w:r>
              <w:rPr>
                <w:color w:val="444441"/>
                <w:sz w:val="18"/>
                <w:szCs w:val="18"/>
              </w:rPr>
              <w:t>0</w:t>
            </w:r>
          </w:p>
        </w:tc>
      </w:tr>
      <w:tr w:rsidR="00770067" w14:paraId="4B6886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9EC72" w14:textId="77777777" w:rsidR="00770067" w:rsidRDefault="00B07BD9">
            <w:r>
              <w:rPr>
                <w:b/>
                <w:bCs/>
                <w:color w:val="444441"/>
                <w:sz w:val="18"/>
                <w:szCs w:val="18"/>
              </w:rPr>
              <w:lastRenderedPageBreak/>
              <w:t>Outflow (b/d)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A569" w14:textId="77777777" w:rsidR="00770067" w:rsidRDefault="00B07BD9">
            <w:r>
              <w:rPr>
                <w:color w:val="444441"/>
                <w:sz w:val="18"/>
                <w:szCs w:val="18"/>
              </w:rPr>
              <w:t>800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6785F" w14:textId="77777777" w:rsidR="00770067" w:rsidRDefault="00B07BD9">
            <w:r>
              <w:rPr>
                <w:color w:val="444441"/>
                <w:sz w:val="18"/>
                <w:szCs w:val="18"/>
              </w:rPr>
              <w:t>600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BC70" w14:textId="77777777" w:rsidR="00770067" w:rsidRDefault="00B07BD9">
            <w:r>
              <w:rPr>
                <w:color w:val="444441"/>
                <w:sz w:val="18"/>
                <w:szCs w:val="18"/>
              </w:rPr>
              <w:t>1,350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DEC21" w14:textId="77777777" w:rsidR="00770067" w:rsidRDefault="00B07BD9">
            <w:r>
              <w:rPr>
                <w:color w:val="444441"/>
                <w:sz w:val="18"/>
                <w:szCs w:val="18"/>
              </w:rPr>
              <w:t>950</w:t>
            </w:r>
          </w:p>
        </w:tc>
      </w:tr>
      <w:tr w:rsidR="00770067" w14:paraId="387AC9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435F" w14:textId="77777777" w:rsidR="00770067" w:rsidRDefault="00B07BD9">
            <w:r>
              <w:rPr>
                <w:b/>
                <w:bCs/>
                <w:color w:val="444441"/>
                <w:sz w:val="18"/>
                <w:szCs w:val="18"/>
              </w:rPr>
              <w:t>Utilisation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55C0" w14:textId="77777777" w:rsidR="00770067" w:rsidRDefault="00B07BD9">
            <w:r>
              <w:rPr>
                <w:color w:val="444441"/>
                <w:sz w:val="18"/>
                <w:szCs w:val="18"/>
              </w:rPr>
              <w:t>0.82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1701B" w14:textId="77777777" w:rsidR="00770067" w:rsidRDefault="00B07BD9">
            <w:r>
              <w:rPr>
                <w:color w:val="444441"/>
                <w:sz w:val="18"/>
                <w:szCs w:val="18"/>
              </w:rPr>
              <w:t>0.71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8EFB" w14:textId="77777777" w:rsidR="00770067" w:rsidRDefault="00B07BD9">
            <w:r>
              <w:rPr>
                <w:color w:val="444441"/>
                <w:sz w:val="18"/>
                <w:szCs w:val="18"/>
              </w:rPr>
              <w:t>0.68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7FE7C" w14:textId="77777777" w:rsidR="00770067" w:rsidRDefault="00B07BD9">
            <w:r>
              <w:rPr>
                <w:color w:val="444441"/>
                <w:sz w:val="18"/>
                <w:szCs w:val="18"/>
              </w:rPr>
              <w:t>0.91</w:t>
            </w:r>
          </w:p>
        </w:tc>
      </w:tr>
    </w:tbl>
    <w:p w14:paraId="59A1F5CB" w14:textId="77777777" w:rsidR="00770067" w:rsidRDefault="00770067">
      <w:pPr>
        <w:spacing w:after="120"/>
      </w:pPr>
    </w:p>
    <w:p w14:paraId="355F6562" w14:textId="77777777" w:rsidR="00770067" w:rsidRDefault="00B07BD9">
      <w:pPr>
        <w:spacing w:after="160"/>
      </w:pPr>
      <w:r>
        <w:t>Cushing holds 45,000 barrels in stock, receiving 1,400 b/d from the two pipelines and sending 950 b/d to the refinery — a slow net inventory build of 50 b/d.</w:t>
      </w:r>
    </w:p>
    <w:p w14:paraId="27C12503" w14:textId="77777777" w:rsidR="00770067" w:rsidRDefault="00B07BD9">
      <w:pPr>
        <w:spacing w:before="160" w:after="80"/>
        <w:jc w:val="center"/>
      </w:pPr>
      <w:r>
        <w:rPr>
          <w:noProof/>
        </w:rPr>
        <w:drawing>
          <wp:inline distT="0" distB="0" distL="0" distR="0" wp14:anchorId="08C2C338" wp14:editId="32C7ED79">
            <wp:extent cx="5524500" cy="2952750"/>
            <wp:effectExtent l="0" t="0" r="0" b="0"/>
            <wp:docPr id="982076946" name="Picture 98207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52750"/>
                    </a:xfrm>
                    <a:prstGeom prst="rect">
                      <a:avLst/>
                    </a:prstGeom>
                  </pic:spPr>
                </pic:pic>
              </a:graphicData>
            </a:graphic>
          </wp:inline>
        </w:drawing>
      </w:r>
    </w:p>
    <w:p w14:paraId="37B5B7B6" w14:textId="77777777" w:rsidR="00770067" w:rsidRDefault="00B07BD9">
      <w:pPr>
        <w:spacing w:after="240"/>
        <w:jc w:val="center"/>
      </w:pPr>
      <w:r>
        <w:rPr>
          <w:i/>
          <w:iCs/>
          <w:color w:val="5F5E5A"/>
          <w:sz w:val="18"/>
          <w:szCs w:val="18"/>
        </w:rPr>
        <w:t>Figure A.3 — Round 1 of message passing at Cushing. Each neighbour sends a transformed feature vector; Cushing averages them and updates its own 64-dimensional representation.</w:t>
      </w:r>
    </w:p>
    <w:p w14:paraId="51558FDE" w14:textId="77777777" w:rsidR="00770067" w:rsidRDefault="00B07BD9">
      <w:pPr>
        <w:spacing w:after="160"/>
      </w:pPr>
      <w:r>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5A7D0DD1" w14:textId="77777777" w:rsidR="00770067" w:rsidRDefault="00B07BD9">
      <w:pPr>
        <w:spacing w:before="60" w:after="60"/>
        <w:ind w:left="720"/>
      </w:pPr>
      <w:r>
        <w:rPr>
          <w:rFonts w:ascii="Courier New" w:eastAsia="Courier New" w:hAnsi="Courier New" w:cs="Courier New"/>
          <w:color w:val="26215C"/>
          <w:sz w:val="18"/>
          <w:szCs w:val="18"/>
        </w:rPr>
        <w:t xml:space="preserve">New representation = </w:t>
      </w:r>
      <w:proofErr w:type="spellStart"/>
      <w:proofErr w:type="gramStart"/>
      <w:r>
        <w:rPr>
          <w:rFonts w:ascii="Courier New" w:eastAsia="Courier New" w:hAnsi="Courier New" w:cs="Courier New"/>
          <w:color w:val="26215C"/>
          <w:sz w:val="18"/>
          <w:szCs w:val="18"/>
        </w:rPr>
        <w:t>ReLU</w:t>
      </w:r>
      <w:proofErr w:type="spellEnd"/>
      <w:r>
        <w:rPr>
          <w:rFonts w:ascii="Courier New" w:eastAsia="Courier New" w:hAnsi="Courier New" w:cs="Courier New"/>
          <w:color w:val="26215C"/>
          <w:sz w:val="18"/>
          <w:szCs w:val="18"/>
        </w:rPr>
        <w:t xml:space="preserve">( </w:t>
      </w:r>
      <w:proofErr w:type="spellStart"/>
      <w:r>
        <w:rPr>
          <w:rFonts w:ascii="Courier New" w:eastAsia="Courier New" w:hAnsi="Courier New" w:cs="Courier New"/>
          <w:color w:val="26215C"/>
          <w:sz w:val="18"/>
          <w:szCs w:val="18"/>
        </w:rPr>
        <w:t>W</w:t>
      </w:r>
      <w:proofErr w:type="gramEnd"/>
      <w:r>
        <w:rPr>
          <w:rFonts w:ascii="Courier New" w:eastAsia="Courier New" w:hAnsi="Courier New" w:cs="Courier New"/>
          <w:color w:val="26215C"/>
          <w:sz w:val="18"/>
          <w:szCs w:val="18"/>
        </w:rPr>
        <w:t>_self</w:t>
      </w:r>
      <w:proofErr w:type="spellEnd"/>
      <w:r>
        <w:rPr>
          <w:rFonts w:ascii="Courier New" w:eastAsia="Courier New" w:hAnsi="Courier New" w:cs="Courier New"/>
          <w:color w:val="26215C"/>
          <w:sz w:val="18"/>
          <w:szCs w:val="18"/>
        </w:rPr>
        <w:t xml:space="preserve"> × [0, 1400, 45000, 1350, 0.68]</w:t>
      </w:r>
    </w:p>
    <w:p w14:paraId="0A87E06C" w14:textId="77777777" w:rsidR="00770067" w:rsidRDefault="00B07BD9">
      <w:pPr>
        <w:spacing w:before="60" w:after="60"/>
        <w:ind w:left="720"/>
      </w:pPr>
      <w:r>
        <w:rPr>
          <w:rFonts w:ascii="Courier New" w:eastAsia="Courier New" w:hAnsi="Courier New" w:cs="Courier New"/>
          <w:color w:val="26215C"/>
          <w:sz w:val="18"/>
          <w:szCs w:val="18"/>
        </w:rPr>
        <w:t xml:space="preserve">                         + </w:t>
      </w:r>
      <w:proofErr w:type="spellStart"/>
      <w:r>
        <w:rPr>
          <w:rFonts w:ascii="Courier New" w:eastAsia="Courier New" w:hAnsi="Courier New" w:cs="Courier New"/>
          <w:color w:val="26215C"/>
          <w:sz w:val="18"/>
          <w:szCs w:val="18"/>
        </w:rPr>
        <w:t>W_neigh</w:t>
      </w:r>
      <w:proofErr w:type="spellEnd"/>
      <w:r>
        <w:rPr>
          <w:rFonts w:ascii="Courier New" w:eastAsia="Courier New" w:hAnsi="Courier New" w:cs="Courier New"/>
          <w:color w:val="26215C"/>
          <w:sz w:val="18"/>
          <w:szCs w:val="18"/>
        </w:rPr>
        <w:t xml:space="preserve"> × </w:t>
      </w:r>
      <w:proofErr w:type="spellStart"/>
      <w:proofErr w:type="gramStart"/>
      <w:r>
        <w:rPr>
          <w:rFonts w:ascii="Courier New" w:eastAsia="Courier New" w:hAnsi="Courier New" w:cs="Courier New"/>
          <w:color w:val="26215C"/>
          <w:sz w:val="18"/>
          <w:szCs w:val="18"/>
        </w:rPr>
        <w:t>avg</w:t>
      </w:r>
      <w:proofErr w:type="spellEnd"/>
      <w:r>
        <w:rPr>
          <w:rFonts w:ascii="Courier New" w:eastAsia="Courier New" w:hAnsi="Courier New" w:cs="Courier New"/>
          <w:color w:val="26215C"/>
          <w:sz w:val="18"/>
          <w:szCs w:val="18"/>
        </w:rPr>
        <w:t>(</w:t>
      </w:r>
      <w:proofErr w:type="spellStart"/>
      <w:proofErr w:type="gramEnd"/>
      <w:r>
        <w:rPr>
          <w:rFonts w:ascii="Courier New" w:eastAsia="Courier New" w:hAnsi="Courier New" w:cs="Courier New"/>
          <w:color w:val="26215C"/>
          <w:sz w:val="18"/>
          <w:szCs w:val="18"/>
        </w:rPr>
        <w:t>msg_Permian</w:t>
      </w:r>
      <w:proofErr w:type="spellEnd"/>
      <w:r>
        <w:rPr>
          <w:rFonts w:ascii="Courier New" w:eastAsia="Courier New" w:hAnsi="Courier New" w:cs="Courier New"/>
          <w:color w:val="26215C"/>
          <w:sz w:val="18"/>
          <w:szCs w:val="18"/>
        </w:rPr>
        <w:t xml:space="preserve">, </w:t>
      </w:r>
      <w:proofErr w:type="spellStart"/>
      <w:r>
        <w:rPr>
          <w:rFonts w:ascii="Courier New" w:eastAsia="Courier New" w:hAnsi="Courier New" w:cs="Courier New"/>
          <w:color w:val="26215C"/>
          <w:sz w:val="18"/>
          <w:szCs w:val="18"/>
        </w:rPr>
        <w:t>msg_Gulf</w:t>
      </w:r>
      <w:proofErr w:type="spellEnd"/>
      <w:r>
        <w:rPr>
          <w:rFonts w:ascii="Courier New" w:eastAsia="Courier New" w:hAnsi="Courier New" w:cs="Courier New"/>
          <w:color w:val="26215C"/>
          <w:sz w:val="18"/>
          <w:szCs w:val="18"/>
        </w:rPr>
        <w:t xml:space="preserve">, </w:t>
      </w:r>
      <w:proofErr w:type="spellStart"/>
      <w:r>
        <w:rPr>
          <w:rFonts w:ascii="Courier New" w:eastAsia="Courier New" w:hAnsi="Courier New" w:cs="Courier New"/>
          <w:color w:val="26215C"/>
          <w:sz w:val="18"/>
          <w:szCs w:val="18"/>
        </w:rPr>
        <w:t>msg_Refinery</w:t>
      </w:r>
      <w:proofErr w:type="spellEnd"/>
      <w:proofErr w:type="gramStart"/>
      <w:r>
        <w:rPr>
          <w:rFonts w:ascii="Courier New" w:eastAsia="Courier New" w:hAnsi="Courier New" w:cs="Courier New"/>
          <w:color w:val="26215C"/>
          <w:sz w:val="18"/>
          <w:szCs w:val="18"/>
        </w:rPr>
        <w:t>) )</w:t>
      </w:r>
      <w:proofErr w:type="gramEnd"/>
    </w:p>
    <w:p w14:paraId="19B94C61" w14:textId="77777777" w:rsidR="00770067" w:rsidRDefault="00B07BD9">
      <w:pPr>
        <w:spacing w:after="160"/>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74B3E11A" w14:textId="77777777" w:rsidR="00770067" w:rsidRDefault="00B07BD9">
      <w:pPr>
        <w:spacing w:after="160"/>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3CFA7AB" w14:textId="77777777" w:rsidR="00770067" w:rsidRDefault="00B07BD9">
      <w:pPr>
        <w:pStyle w:val="Heading1"/>
        <w:spacing w:before="400" w:after="200"/>
      </w:pPr>
      <w:r>
        <w:rPr>
          <w:b/>
          <w:bCs/>
          <w:color w:val="2C2C2A"/>
        </w:rPr>
        <w:t>A.5 Graph Convolutional Networks (GCN)</w:t>
      </w:r>
    </w:p>
    <w:p w14:paraId="40602376" w14:textId="77777777" w:rsidR="00770067" w:rsidRDefault="00B07BD9">
      <w:pPr>
        <w:spacing w:after="160"/>
      </w:pPr>
      <w:r>
        <w:t>GCN (Kipf and Welling, 2017) is a mathematically principled formalisation of message passing, derived from spectral theory via two simplifications.</w:t>
      </w:r>
    </w:p>
    <w:p w14:paraId="433D45A0" w14:textId="77777777" w:rsidR="00770067" w:rsidRDefault="00B07BD9">
      <w:pPr>
        <w:spacing w:before="200" w:after="100"/>
      </w:pPr>
      <w:r>
        <w:rPr>
          <w:b/>
          <w:bCs/>
          <w:color w:val="3C3489"/>
        </w:rPr>
        <w:t>A.5.1 From spectral convolution to GCN</w:t>
      </w:r>
    </w:p>
    <w:p w14:paraId="20A4EA36" w14:textId="77777777" w:rsidR="00770067" w:rsidRDefault="00B07BD9">
      <w:pPr>
        <w:spacing w:after="160"/>
      </w:pPr>
      <w:r>
        <w:lastRenderedPageBreak/>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w:t>
      </w:r>
      <w:proofErr w:type="gramStart"/>
      <w:r>
        <w:t>first-order</w:t>
      </w:r>
      <w:proofErr w:type="gramEnd"/>
      <w:r>
        <w:t xml:space="preserve">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71B9E059" w14:textId="77777777" w:rsidR="00770067" w:rsidRDefault="00B07BD9">
      <w:pPr>
        <w:spacing w:before="200" w:after="100"/>
      </w:pPr>
      <w:r>
        <w:rPr>
          <w:b/>
          <w:bCs/>
          <w:color w:val="3C3489"/>
        </w:rPr>
        <w:t>A.5.2 The GCN layer formula</w:t>
      </w:r>
    </w:p>
    <w:p w14:paraId="02E0A228" w14:textId="77777777" w:rsidR="00770067" w:rsidRDefault="00B07BD9">
      <w:pPr>
        <w:spacing w:before="60" w:after="60"/>
        <w:ind w:left="720"/>
      </w:pPr>
      <w:r>
        <w:rPr>
          <w:rFonts w:ascii="Courier New" w:eastAsia="Courier New" w:hAnsi="Courier New" w:cs="Courier New"/>
          <w:color w:val="26215C"/>
          <w:sz w:val="18"/>
          <w:szCs w:val="18"/>
        </w:rPr>
        <w:t xml:space="preserve">H⁽ˡ⁺¹⁾ = </w:t>
      </w:r>
      <w:proofErr w:type="gramStart"/>
      <w:r>
        <w:rPr>
          <w:rFonts w:ascii="Courier New" w:eastAsia="Courier New" w:hAnsi="Courier New" w:cs="Courier New"/>
          <w:color w:val="26215C"/>
          <w:sz w:val="18"/>
          <w:szCs w:val="18"/>
        </w:rPr>
        <w:t>σ( D̃</w:t>
      </w:r>
      <w:proofErr w:type="gramEnd"/>
      <w:r>
        <w:rPr>
          <w:rFonts w:ascii="Courier New" w:eastAsia="Courier New" w:hAnsi="Courier New" w:cs="Courier New"/>
          <w:color w:val="26215C"/>
          <w:sz w:val="18"/>
          <w:szCs w:val="18"/>
        </w:rPr>
        <w:t xml:space="preserve">⁻¹/² Ã D̃⁻¹/² </w:t>
      </w:r>
      <w:proofErr w:type="spellStart"/>
      <w:r>
        <w:rPr>
          <w:rFonts w:ascii="Courier New" w:eastAsia="Courier New" w:hAnsi="Courier New" w:cs="Courier New"/>
          <w:color w:val="26215C"/>
          <w:sz w:val="18"/>
          <w:szCs w:val="18"/>
        </w:rPr>
        <w:t>H⁽ˡ</w:t>
      </w:r>
      <w:proofErr w:type="spellEnd"/>
      <w:r>
        <w:rPr>
          <w:rFonts w:ascii="Courier New" w:eastAsia="Courier New" w:hAnsi="Courier New" w:cs="Courier New"/>
          <w:color w:val="26215C"/>
          <w:sz w:val="18"/>
          <w:szCs w:val="18"/>
        </w:rPr>
        <w:t xml:space="preserve">⁾ </w:t>
      </w:r>
      <w:proofErr w:type="spellStart"/>
      <w:r>
        <w:rPr>
          <w:rFonts w:ascii="Courier New" w:eastAsia="Courier New" w:hAnsi="Courier New" w:cs="Courier New"/>
          <w:color w:val="26215C"/>
          <w:sz w:val="18"/>
          <w:szCs w:val="18"/>
        </w:rPr>
        <w:t>W⁽ˡ</w:t>
      </w:r>
      <w:proofErr w:type="spellEnd"/>
      <w:proofErr w:type="gramStart"/>
      <w:r>
        <w:rPr>
          <w:rFonts w:ascii="Courier New" w:eastAsia="Courier New" w:hAnsi="Courier New" w:cs="Courier New"/>
          <w:color w:val="26215C"/>
          <w:sz w:val="18"/>
          <w:szCs w:val="18"/>
        </w:rPr>
        <w:t>⁾ )</w:t>
      </w:r>
      <w:proofErr w:type="gramEnd"/>
    </w:p>
    <w:p w14:paraId="7EB99AB0" w14:textId="77777777" w:rsidR="00770067" w:rsidRDefault="00B07BD9">
      <w:pPr>
        <w:spacing w:after="160"/>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170610E" w14:textId="77777777" w:rsidR="00770067" w:rsidRDefault="00B07BD9">
      <w:pPr>
        <w:spacing w:before="160" w:after="80"/>
        <w:jc w:val="center"/>
      </w:pPr>
      <w:r>
        <w:rPr>
          <w:noProof/>
        </w:rPr>
        <w:drawing>
          <wp:inline distT="0" distB="0" distL="0" distR="0" wp14:anchorId="3AEE024A" wp14:editId="57DAA7B9">
            <wp:extent cx="5524500" cy="2762250"/>
            <wp:effectExtent l="0" t="0" r="0" b="0"/>
            <wp:docPr id="1631785504" name="Picture 163178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3F481E18" w14:textId="77777777" w:rsidR="00770067" w:rsidRDefault="00B07BD9">
      <w:pPr>
        <w:spacing w:after="240"/>
        <w:jc w:val="center"/>
      </w:pPr>
      <w:r>
        <w:rPr>
          <w:i/>
          <w:iCs/>
          <w:color w:val="5F5E5A"/>
          <w:sz w:val="18"/>
          <w:szCs w:val="18"/>
        </w:rPr>
        <w:t>Figure A.4 — The three operations of a GCN layer: add self-loops, normalise by degree, apply learned linear transformation. The degree normalisation example shows Cushing (degree 4) receiving from the Permian node (degree 2) with a scaling factor of 0.35.</w:t>
      </w:r>
    </w:p>
    <w:p w14:paraId="4CB7478C" w14:textId="77777777" w:rsidR="00770067" w:rsidRDefault="00B07BD9">
      <w:pPr>
        <w:spacing w:after="160"/>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2E40B4FB" w14:textId="77777777" w:rsidR="00770067" w:rsidRDefault="00B07BD9">
      <w:pPr>
        <w:pStyle w:val="Heading1"/>
        <w:spacing w:before="400" w:after="200"/>
      </w:pPr>
      <w:r>
        <w:rPr>
          <w:b/>
          <w:bCs/>
          <w:color w:val="2C2C2A"/>
        </w:rPr>
        <w:t xml:space="preserve">A.6 Attention and Inductive Learning — GAT and </w:t>
      </w:r>
      <w:proofErr w:type="spellStart"/>
      <w:r>
        <w:rPr>
          <w:b/>
          <w:bCs/>
          <w:color w:val="2C2C2A"/>
        </w:rPr>
        <w:t>GraphSAGE</w:t>
      </w:r>
      <w:proofErr w:type="spellEnd"/>
    </w:p>
    <w:p w14:paraId="036BC2FA" w14:textId="77777777" w:rsidR="00770067" w:rsidRDefault="00B07BD9">
      <w:pPr>
        <w:spacing w:after="160"/>
      </w:pPr>
      <w:r>
        <w:t>GCN applies the same aggregation weight to all neighbours. Two extensions address this limitation.</w:t>
      </w:r>
    </w:p>
    <w:p w14:paraId="5823905D" w14:textId="77777777" w:rsidR="00770067" w:rsidRDefault="00B07BD9">
      <w:pPr>
        <w:spacing w:after="160"/>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67662BAE" w14:textId="77777777" w:rsidR="00770067" w:rsidRDefault="00B07BD9">
      <w:pPr>
        <w:spacing w:after="160"/>
      </w:pPr>
      <w:proofErr w:type="spellStart"/>
      <w:r>
        <w:lastRenderedPageBreak/>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55A6A1A1" w14:textId="77777777" w:rsidR="00770067" w:rsidRDefault="00B07BD9">
      <w:pPr>
        <w:pStyle w:val="Heading1"/>
        <w:spacing w:before="400" w:after="200"/>
      </w:pPr>
      <w:r>
        <w:rPr>
          <w:b/>
          <w:bCs/>
          <w:color w:val="2C2C2A"/>
        </w:rPr>
        <w:t>A.7 Temporal Extensions — TGAT, TGN, and Hybrid Architectures</w:t>
      </w:r>
    </w:p>
    <w:p w14:paraId="74937B25" w14:textId="77777777" w:rsidR="00770067" w:rsidRDefault="00B07BD9">
      <w:pPr>
        <w:spacing w:after="160"/>
      </w:pPr>
      <w:r>
        <w:t>All methods discussed so far operate on a static graph snapshot. For inventory forecasting, the time dimension is essential — Cushing's inventory at week t+1 depends on the trajectory of flows over the preceding weeks, not just the current snapshot.</w:t>
      </w:r>
    </w:p>
    <w:p w14:paraId="58E83C97" w14:textId="77777777" w:rsidR="00770067" w:rsidRDefault="00B07BD9">
      <w:pPr>
        <w:spacing w:after="160"/>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60695A53" w14:textId="77777777" w:rsidR="00770067" w:rsidRDefault="00B07BD9">
      <w:pPr>
        <w:spacing w:after="160"/>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44BB0A74" w14:textId="77777777" w:rsidR="00770067" w:rsidRDefault="00B07BD9">
      <w:pPr>
        <w:spacing w:after="160"/>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568CD7FC" w14:textId="77777777" w:rsidR="00770067" w:rsidRDefault="00B07BD9">
      <w:pPr>
        <w:pStyle w:val="Heading1"/>
        <w:spacing w:before="400" w:after="200"/>
      </w:pPr>
      <w:r>
        <w:rPr>
          <w:b/>
          <w:bCs/>
          <w:color w:val="2C2C2A"/>
        </w:rPr>
        <w:t>References</w:t>
      </w:r>
    </w:p>
    <w:p w14:paraId="7446C233" w14:textId="77777777" w:rsidR="00770067" w:rsidRDefault="00B07BD9">
      <w:pPr>
        <w:spacing w:after="120"/>
      </w:pPr>
      <w:r>
        <w:rPr>
          <w:color w:val="444441"/>
          <w:sz w:val="20"/>
          <w:szCs w:val="20"/>
        </w:rPr>
        <w:t xml:space="preserve">Gilmer, J., Schoenholz, S. S., Riley, P. F., </w:t>
      </w:r>
      <w:proofErr w:type="spellStart"/>
      <w:r>
        <w:rPr>
          <w:color w:val="444441"/>
          <w:sz w:val="20"/>
          <w:szCs w:val="20"/>
        </w:rPr>
        <w:t>Vinyals</w:t>
      </w:r>
      <w:proofErr w:type="spellEnd"/>
      <w:r>
        <w:rPr>
          <w:color w:val="444441"/>
          <w:sz w:val="20"/>
          <w:szCs w:val="20"/>
        </w:rPr>
        <w:t>, O., and Dahl, G. E. (2017). Neural Message Passing for Quantum Chemistry. ICML.</w:t>
      </w:r>
    </w:p>
    <w:p w14:paraId="59950EB2" w14:textId="77777777" w:rsidR="00770067" w:rsidRDefault="00B07BD9">
      <w:pPr>
        <w:spacing w:after="120"/>
      </w:pPr>
      <w:r>
        <w:rPr>
          <w:color w:val="444441"/>
          <w:sz w:val="20"/>
          <w:szCs w:val="20"/>
        </w:rPr>
        <w:t>Grover, A. and Leskovec, J. (2016). node2vec: Scalable Feature Learning for Networks. KDD.</w:t>
      </w:r>
    </w:p>
    <w:p w14:paraId="4661995B" w14:textId="77777777" w:rsidR="00770067" w:rsidRDefault="00B07BD9">
      <w:pPr>
        <w:spacing w:after="120"/>
      </w:pPr>
      <w:r>
        <w:rPr>
          <w:color w:val="444441"/>
          <w:sz w:val="20"/>
          <w:szCs w:val="20"/>
        </w:rPr>
        <w:t xml:space="preserve">Hamilton, W. L., Ying, Z., and Leskovec, J. (2017). Inductive Representation Learning on Large Graphs. </w:t>
      </w:r>
      <w:proofErr w:type="spellStart"/>
      <w:r>
        <w:rPr>
          <w:color w:val="444441"/>
          <w:sz w:val="20"/>
          <w:szCs w:val="20"/>
        </w:rPr>
        <w:t>NeurIPS</w:t>
      </w:r>
      <w:proofErr w:type="spellEnd"/>
      <w:r>
        <w:rPr>
          <w:color w:val="444441"/>
          <w:sz w:val="20"/>
          <w:szCs w:val="20"/>
        </w:rPr>
        <w:t>.</w:t>
      </w:r>
    </w:p>
    <w:p w14:paraId="294517F8" w14:textId="77777777" w:rsidR="00770067" w:rsidRDefault="00B07BD9">
      <w:pPr>
        <w:spacing w:after="120"/>
      </w:pPr>
      <w:r>
        <w:rPr>
          <w:color w:val="444441"/>
          <w:sz w:val="20"/>
          <w:szCs w:val="20"/>
        </w:rPr>
        <w:t>Kipf, T. N. and Welling, M. (2017). Semi-Supervised Classification with Graph Convolutional Networks. ICLR.</w:t>
      </w:r>
    </w:p>
    <w:p w14:paraId="5AB54BC0" w14:textId="77777777" w:rsidR="00770067" w:rsidRDefault="00B07BD9">
      <w:pPr>
        <w:spacing w:after="120"/>
      </w:pPr>
      <w:r>
        <w:rPr>
          <w:color w:val="444441"/>
          <w:sz w:val="20"/>
          <w:szCs w:val="20"/>
        </w:rPr>
        <w:t>Li, Y., Yu, R., Shahabi, C., and Liu, Y. (2018). Diffusion Convolutional Recurrent Neural Network. ICLR.</w:t>
      </w:r>
    </w:p>
    <w:p w14:paraId="7827E99A" w14:textId="77777777" w:rsidR="00770067" w:rsidRDefault="00B07BD9">
      <w:pPr>
        <w:spacing w:after="120"/>
      </w:pPr>
      <w:r>
        <w:rPr>
          <w:color w:val="444441"/>
          <w:sz w:val="20"/>
          <w:szCs w:val="20"/>
        </w:rPr>
        <w:t>Perozzi, B., Al-</w:t>
      </w:r>
      <w:proofErr w:type="spellStart"/>
      <w:r>
        <w:rPr>
          <w:color w:val="444441"/>
          <w:sz w:val="20"/>
          <w:szCs w:val="20"/>
        </w:rPr>
        <w:t>Rfou</w:t>
      </w:r>
      <w:proofErr w:type="spellEnd"/>
      <w:r>
        <w:rPr>
          <w:color w:val="444441"/>
          <w:sz w:val="20"/>
          <w:szCs w:val="20"/>
        </w:rPr>
        <w:t xml:space="preserve">, R., and </w:t>
      </w:r>
      <w:proofErr w:type="spellStart"/>
      <w:r>
        <w:rPr>
          <w:color w:val="444441"/>
          <w:sz w:val="20"/>
          <w:szCs w:val="20"/>
        </w:rPr>
        <w:t>Skiena</w:t>
      </w:r>
      <w:proofErr w:type="spellEnd"/>
      <w:r>
        <w:rPr>
          <w:color w:val="444441"/>
          <w:sz w:val="20"/>
          <w:szCs w:val="20"/>
        </w:rPr>
        <w:t xml:space="preserve">, S. (2014). </w:t>
      </w:r>
      <w:proofErr w:type="spellStart"/>
      <w:r>
        <w:rPr>
          <w:color w:val="444441"/>
          <w:sz w:val="20"/>
          <w:szCs w:val="20"/>
        </w:rPr>
        <w:t>DeepWalk</w:t>
      </w:r>
      <w:proofErr w:type="spellEnd"/>
      <w:r>
        <w:rPr>
          <w:color w:val="444441"/>
          <w:sz w:val="20"/>
          <w:szCs w:val="20"/>
        </w:rPr>
        <w:t>: Online Learning of Social Representations. KDD.</w:t>
      </w:r>
    </w:p>
    <w:p w14:paraId="2E39A585" w14:textId="77777777" w:rsidR="00770067" w:rsidRDefault="00B07BD9">
      <w:pPr>
        <w:spacing w:after="120"/>
      </w:pPr>
      <w:r>
        <w:rPr>
          <w:color w:val="444441"/>
          <w:sz w:val="20"/>
          <w:szCs w:val="20"/>
        </w:rPr>
        <w:t xml:space="preserve">Rossi, E., Chamberlain, B., Frasca, F., </w:t>
      </w:r>
      <w:proofErr w:type="spellStart"/>
      <w:r>
        <w:rPr>
          <w:color w:val="444441"/>
          <w:sz w:val="20"/>
          <w:szCs w:val="20"/>
        </w:rPr>
        <w:t>Eynard</w:t>
      </w:r>
      <w:proofErr w:type="spellEnd"/>
      <w:r>
        <w:rPr>
          <w:color w:val="444441"/>
          <w:sz w:val="20"/>
          <w:szCs w:val="20"/>
        </w:rPr>
        <w:t>, D., Bronstein, M., and Monti, F. (2020). Temporal Graph Networks. ICML Workshop.</w:t>
      </w:r>
    </w:p>
    <w:p w14:paraId="748F9A6F" w14:textId="77777777" w:rsidR="00770067" w:rsidRDefault="00B07BD9">
      <w:pPr>
        <w:spacing w:after="120"/>
      </w:pPr>
      <w:proofErr w:type="spellStart"/>
      <w:r>
        <w:rPr>
          <w:color w:val="444441"/>
          <w:sz w:val="20"/>
          <w:szCs w:val="20"/>
        </w:rPr>
        <w:t>Veličković</w:t>
      </w:r>
      <w:proofErr w:type="spellEnd"/>
      <w:r>
        <w:rPr>
          <w:color w:val="444441"/>
          <w:sz w:val="20"/>
          <w:szCs w:val="20"/>
        </w:rPr>
        <w:t xml:space="preserve">, P., </w:t>
      </w:r>
      <w:proofErr w:type="spellStart"/>
      <w:r>
        <w:rPr>
          <w:color w:val="444441"/>
          <w:sz w:val="20"/>
          <w:szCs w:val="20"/>
        </w:rPr>
        <w:t>Cucurull</w:t>
      </w:r>
      <w:proofErr w:type="spellEnd"/>
      <w:r>
        <w:rPr>
          <w:color w:val="444441"/>
          <w:sz w:val="20"/>
          <w:szCs w:val="20"/>
        </w:rPr>
        <w:t xml:space="preserve">, G., Casanova, A., Romero, A., </w:t>
      </w:r>
      <w:proofErr w:type="spellStart"/>
      <w:r>
        <w:rPr>
          <w:color w:val="444441"/>
          <w:sz w:val="20"/>
          <w:szCs w:val="20"/>
        </w:rPr>
        <w:t>Liò</w:t>
      </w:r>
      <w:proofErr w:type="spellEnd"/>
      <w:r>
        <w:rPr>
          <w:color w:val="444441"/>
          <w:sz w:val="20"/>
          <w:szCs w:val="20"/>
        </w:rPr>
        <w:t>, P., and Bengio, Y. (2018). Graph Attention Networks. ICLR.</w:t>
      </w:r>
    </w:p>
    <w:p w14:paraId="44247A3A" w14:textId="77777777" w:rsidR="00770067" w:rsidRDefault="00B07BD9">
      <w:pPr>
        <w:spacing w:after="120"/>
      </w:pPr>
      <w:r>
        <w:rPr>
          <w:color w:val="444441"/>
          <w:sz w:val="20"/>
          <w:szCs w:val="20"/>
        </w:rPr>
        <w:t>Xu, D., Rong, Y., Huang, J., Zhu, W., and Leskovec, J. (2020). Inductive Representation Learning on Temporal Graphs. ICLR.</w:t>
      </w:r>
    </w:p>
    <w:p w14:paraId="4671DE1C" w14:textId="77777777" w:rsidR="00770067" w:rsidRDefault="00B07BD9">
      <w:pPr>
        <w:spacing w:after="120"/>
      </w:pPr>
      <w:r>
        <w:rPr>
          <w:color w:val="444441"/>
          <w:sz w:val="20"/>
          <w:szCs w:val="20"/>
        </w:rPr>
        <w:t xml:space="preserve">Yu, B., Yin, H., and Zhu, Z. (2018). </w:t>
      </w:r>
      <w:proofErr w:type="spellStart"/>
      <w:r>
        <w:rPr>
          <w:color w:val="444441"/>
          <w:sz w:val="20"/>
          <w:szCs w:val="20"/>
        </w:rPr>
        <w:t>Spatio</w:t>
      </w:r>
      <w:proofErr w:type="spellEnd"/>
      <w:r>
        <w:rPr>
          <w:color w:val="444441"/>
          <w:sz w:val="20"/>
          <w:szCs w:val="20"/>
        </w:rPr>
        <w:t>-Temporal Graph Convolutional Networks. IJCAI.</w:t>
      </w:r>
    </w:p>
    <w:sectPr w:rsidR="007700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D48F4"/>
    <w:multiLevelType w:val="hybridMultilevel"/>
    <w:tmpl w:val="1382E6CA"/>
    <w:lvl w:ilvl="0" w:tplc="7D521F70">
      <w:start w:val="1"/>
      <w:numFmt w:val="bullet"/>
      <w:lvlText w:val="•"/>
      <w:lvlJc w:val="left"/>
      <w:pPr>
        <w:ind w:left="720" w:hanging="360"/>
      </w:pPr>
    </w:lvl>
    <w:lvl w:ilvl="1" w:tplc="929ABF1A">
      <w:numFmt w:val="decimal"/>
      <w:lvlText w:val=""/>
      <w:lvlJc w:val="left"/>
    </w:lvl>
    <w:lvl w:ilvl="2" w:tplc="FBE41498">
      <w:numFmt w:val="decimal"/>
      <w:lvlText w:val=""/>
      <w:lvlJc w:val="left"/>
    </w:lvl>
    <w:lvl w:ilvl="3" w:tplc="72000ADA">
      <w:numFmt w:val="decimal"/>
      <w:lvlText w:val=""/>
      <w:lvlJc w:val="left"/>
    </w:lvl>
    <w:lvl w:ilvl="4" w:tplc="D2AA42EC">
      <w:numFmt w:val="decimal"/>
      <w:lvlText w:val=""/>
      <w:lvlJc w:val="left"/>
    </w:lvl>
    <w:lvl w:ilvl="5" w:tplc="CDB8B846">
      <w:numFmt w:val="decimal"/>
      <w:lvlText w:val=""/>
      <w:lvlJc w:val="left"/>
    </w:lvl>
    <w:lvl w:ilvl="6" w:tplc="FD9E5278">
      <w:numFmt w:val="decimal"/>
      <w:lvlText w:val=""/>
      <w:lvlJc w:val="left"/>
    </w:lvl>
    <w:lvl w:ilvl="7" w:tplc="2CC26C32">
      <w:numFmt w:val="decimal"/>
      <w:lvlText w:val=""/>
      <w:lvlJc w:val="left"/>
    </w:lvl>
    <w:lvl w:ilvl="8" w:tplc="3AC283FE">
      <w:numFmt w:val="decimal"/>
      <w:lvlText w:val=""/>
      <w:lvlJc w:val="left"/>
    </w:lvl>
  </w:abstractNum>
  <w:abstractNum w:abstractNumId="1" w15:restartNumberingAfterBreak="0">
    <w:nsid w:val="24225747"/>
    <w:multiLevelType w:val="hybridMultilevel"/>
    <w:tmpl w:val="12BE4E92"/>
    <w:lvl w:ilvl="0" w:tplc="AC12CB70">
      <w:start w:val="1"/>
      <w:numFmt w:val="bullet"/>
      <w:lvlText w:val="●"/>
      <w:lvlJc w:val="left"/>
      <w:pPr>
        <w:ind w:left="720" w:hanging="360"/>
      </w:pPr>
    </w:lvl>
    <w:lvl w:ilvl="1" w:tplc="0D0AB65C">
      <w:start w:val="1"/>
      <w:numFmt w:val="bullet"/>
      <w:lvlText w:val="○"/>
      <w:lvlJc w:val="left"/>
      <w:pPr>
        <w:ind w:left="1440" w:hanging="360"/>
      </w:pPr>
    </w:lvl>
    <w:lvl w:ilvl="2" w:tplc="610A260E">
      <w:start w:val="1"/>
      <w:numFmt w:val="bullet"/>
      <w:lvlText w:val="■"/>
      <w:lvlJc w:val="left"/>
      <w:pPr>
        <w:ind w:left="2160" w:hanging="360"/>
      </w:pPr>
    </w:lvl>
    <w:lvl w:ilvl="3" w:tplc="45FC4E4C">
      <w:start w:val="1"/>
      <w:numFmt w:val="bullet"/>
      <w:lvlText w:val="●"/>
      <w:lvlJc w:val="left"/>
      <w:pPr>
        <w:ind w:left="2880" w:hanging="360"/>
      </w:pPr>
    </w:lvl>
    <w:lvl w:ilvl="4" w:tplc="2E805880">
      <w:start w:val="1"/>
      <w:numFmt w:val="bullet"/>
      <w:lvlText w:val="○"/>
      <w:lvlJc w:val="left"/>
      <w:pPr>
        <w:ind w:left="3600" w:hanging="360"/>
      </w:pPr>
    </w:lvl>
    <w:lvl w:ilvl="5" w:tplc="AAECCBFA">
      <w:start w:val="1"/>
      <w:numFmt w:val="bullet"/>
      <w:lvlText w:val="■"/>
      <w:lvlJc w:val="left"/>
      <w:pPr>
        <w:ind w:left="4320" w:hanging="360"/>
      </w:pPr>
    </w:lvl>
    <w:lvl w:ilvl="6" w:tplc="CA0E23CE">
      <w:start w:val="1"/>
      <w:numFmt w:val="bullet"/>
      <w:lvlText w:val="●"/>
      <w:lvlJc w:val="left"/>
      <w:pPr>
        <w:ind w:left="5040" w:hanging="360"/>
      </w:pPr>
    </w:lvl>
    <w:lvl w:ilvl="7" w:tplc="FD2C37D0">
      <w:start w:val="1"/>
      <w:numFmt w:val="bullet"/>
      <w:lvlText w:val="●"/>
      <w:lvlJc w:val="left"/>
      <w:pPr>
        <w:ind w:left="5760" w:hanging="360"/>
      </w:pPr>
    </w:lvl>
    <w:lvl w:ilvl="8" w:tplc="7904FE20">
      <w:start w:val="1"/>
      <w:numFmt w:val="bullet"/>
      <w:lvlText w:val="●"/>
      <w:lvlJc w:val="left"/>
      <w:pPr>
        <w:ind w:left="6480" w:hanging="360"/>
      </w:pPr>
    </w:lvl>
  </w:abstractNum>
  <w:num w:numId="1" w16cid:durableId="1077479997">
    <w:abstractNumId w:val="1"/>
    <w:lvlOverride w:ilvl="0">
      <w:startOverride w:val="1"/>
    </w:lvlOverride>
  </w:num>
  <w:num w:numId="2" w16cid:durableId="834145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067"/>
    <w:rsid w:val="00310761"/>
    <w:rsid w:val="003D75A3"/>
    <w:rsid w:val="00770067"/>
    <w:rsid w:val="009264CC"/>
    <w:rsid w:val="00B07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B57D8"/>
  <w15:docId w15:val="{CE8B291D-219F-48A2-9F89-9A01F556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2025</Words>
  <Characters>11456</Characters>
  <Application>Microsoft Office Word</Application>
  <DocSecurity>0</DocSecurity>
  <Lines>229</Lines>
  <Paragraphs>103</Paragraphs>
  <ScaleCrop>false</ScaleCrop>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Porfirio</cp:lastModifiedBy>
  <cp:revision>3</cp:revision>
  <dcterms:created xsi:type="dcterms:W3CDTF">2026-04-10T12:15:00Z</dcterms:created>
  <dcterms:modified xsi:type="dcterms:W3CDTF">2026-04-10T12:21:00Z</dcterms:modified>
</cp:coreProperties>
</file>