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DF26" w14:textId="77777777" w:rsidR="003F03E3" w:rsidRPr="009C3863" w:rsidRDefault="001C6531">
      <w:pPr>
        <w:spacing w:before="1440" w:after="240"/>
        <w:jc w:val="center"/>
        <w:rPr>
          <w:lang w:val="pt-BR"/>
        </w:rPr>
      </w:pPr>
      <w:r>
        <w:rPr>
          <w:b/>
          <w:bCs/>
          <w:sz w:val="28"/>
          <w:szCs w:val="28"/>
          <w:lang w:val="pt-BR"/>
        </w:rPr>
        <w:t>NOVA Information Management School</w:t>
      </w:r>
    </w:p>
    <w:p w14:paraId="67D6DF27" w14:textId="77777777" w:rsidR="003F03E3" w:rsidRPr="009C3863" w:rsidRDefault="001C6531">
      <w:pPr>
        <w:spacing w:after="480"/>
        <w:jc w:val="center"/>
        <w:rPr>
          <w:lang w:val="pt-BR"/>
        </w:rPr>
      </w:pPr>
      <w:r>
        <w:rPr>
          <w:lang w:val="pt-BR"/>
        </w:rPr>
        <w:t>Universidade Nova de Lisboa</w:t>
      </w:r>
    </w:p>
    <w:p w14:paraId="67D6DF28" w14:textId="77777777" w:rsidR="003F03E3" w:rsidRDefault="001C6531">
      <w:pPr>
        <w:spacing w:after="240"/>
        <w:jc w:val="center"/>
      </w:pPr>
      <w:r>
        <w:rPr>
          <w:b/>
          <w:bCs/>
          <w:sz w:val="32"/>
          <w:szCs w:val="32"/>
        </w:rPr>
        <w:t xml:space="preserve">Vectorized Graph </w:t>
      </w:r>
      <w:proofErr w:type="spellStart"/>
      <w:r>
        <w:rPr>
          <w:b/>
          <w:bCs/>
          <w:sz w:val="32"/>
          <w:szCs w:val="32"/>
        </w:rPr>
        <w:t>Modeling</w:t>
      </w:r>
      <w:proofErr w:type="spellEnd"/>
      <w:r>
        <w:rPr>
          <w:b/>
          <w:bCs/>
          <w:sz w:val="32"/>
          <w:szCs w:val="32"/>
        </w:rPr>
        <w:t xml:space="preserve"> of Logistics Networks</w:t>
      </w:r>
    </w:p>
    <w:p w14:paraId="67D6DF29" w14:textId="642129DD" w:rsidR="003F03E3" w:rsidRDefault="001C6531">
      <w:pPr>
        <w:spacing w:after="480"/>
        <w:jc w:val="center"/>
      </w:pPr>
      <w:r>
        <w:rPr>
          <w:b/>
          <w:bCs/>
          <w:sz w:val="32"/>
          <w:szCs w:val="32"/>
        </w:rPr>
        <w:t>for Predictive Flow Optimization for Crude Oil</w:t>
      </w:r>
    </w:p>
    <w:p w14:paraId="67D6DF2A" w14:textId="77777777" w:rsidR="003F03E3" w:rsidRDefault="001C6531">
      <w:pPr>
        <w:spacing w:after="240"/>
        <w:jc w:val="center"/>
      </w:pPr>
      <w:r>
        <w:rPr>
          <w:i/>
          <w:iCs/>
        </w:rPr>
        <w:t>Master Thesis in Information Management Systems</w:t>
      </w:r>
    </w:p>
    <w:p w14:paraId="67D6DF2B" w14:textId="77777777" w:rsidR="003F03E3" w:rsidRPr="009C3863" w:rsidRDefault="001C6531">
      <w:pPr>
        <w:spacing w:after="120"/>
        <w:jc w:val="center"/>
        <w:rPr>
          <w:lang w:val="pt-BR"/>
        </w:rPr>
      </w:pPr>
      <w:r>
        <w:rPr>
          <w:b/>
          <w:bCs/>
          <w:lang w:val="pt-BR"/>
        </w:rPr>
        <w:t>Pedro Porfirio</w:t>
      </w:r>
    </w:p>
    <w:p w14:paraId="67D6DF2C" w14:textId="77777777" w:rsidR="003F03E3" w:rsidRPr="009C3863" w:rsidRDefault="001C6531">
      <w:pPr>
        <w:spacing w:after="120"/>
        <w:jc w:val="center"/>
        <w:rPr>
          <w:lang w:val="pt-BR"/>
        </w:rPr>
      </w:pPr>
      <w:r>
        <w:rPr>
          <w:sz w:val="22"/>
          <w:szCs w:val="22"/>
          <w:lang w:val="pt-BR"/>
        </w:rPr>
        <w:t>Student Number: 20241283</w:t>
      </w:r>
    </w:p>
    <w:p w14:paraId="67D6DF2D" w14:textId="77777777" w:rsidR="003F03E3" w:rsidRPr="009C3863" w:rsidRDefault="001C6531">
      <w:pPr>
        <w:spacing w:after="120"/>
        <w:jc w:val="center"/>
        <w:rPr>
          <w:lang w:val="pt-BR"/>
        </w:rPr>
      </w:pPr>
      <w:r>
        <w:rPr>
          <w:sz w:val="22"/>
          <w:szCs w:val="22"/>
          <w:lang w:val="pt-BR"/>
        </w:rPr>
        <w:t>Supervisor: Professor Flavio Pinheiro</w:t>
      </w:r>
    </w:p>
    <w:p w14:paraId="67D6DF2E" w14:textId="77777777" w:rsidR="003F03E3" w:rsidRDefault="001C6531">
      <w:pPr>
        <w:spacing w:after="480"/>
        <w:jc w:val="center"/>
      </w:pPr>
      <w:r>
        <w:rPr>
          <w:sz w:val="22"/>
          <w:szCs w:val="22"/>
        </w:rPr>
        <w:t>March 2026</w:t>
      </w:r>
    </w:p>
    <w:p w14:paraId="67D6DF2F" w14:textId="77777777" w:rsidR="003F03E3" w:rsidRDefault="001C6531">
      <w:pPr>
        <w:pStyle w:val="Heading1"/>
      </w:pPr>
      <w:r>
        <w:t>Abstract</w:t>
      </w:r>
    </w:p>
    <w:p w14:paraId="6C80B09F" w14:textId="02C91401" w:rsidR="00985ABA" w:rsidRDefault="00985ABA">
      <w:pPr>
        <w:spacing w:after="160"/>
        <w:jc w:val="both"/>
        <w:rPr>
          <w:kern w:val="2"/>
          <w14:ligatures w14:val="standardContextual"/>
        </w:rPr>
      </w:pPr>
      <w:r>
        <w:t xml:space="preserve">Crude oil is one of the most volatile commodities in global markets. Producers, governments, refiners, and traders transact through spot cargoes, term contracts, and standardised futures. Across </w:t>
      </w:r>
      <w:r w:rsidR="009E55C2">
        <w:t>all</w:t>
      </w:r>
      <w:r>
        <w:t xml:space="preserve"> these instruments, however, prices are ultimately anchored in the physical balance between supply and demand.</w:t>
      </w:r>
    </w:p>
    <w:p w14:paraId="14FCC135" w14:textId="77777777" w:rsidR="00985ABA" w:rsidRDefault="00985ABA">
      <w:pPr>
        <w:spacing w:after="160"/>
        <w:jc w:val="both"/>
        <w:rPr>
          <w:kern w:val="2"/>
          <w14:ligatures w14:val="standardContextual"/>
        </w:rPr>
      </w:pPr>
      <w:r>
        <w:t xml:space="preserve">What makes crude oil different from many other traded commodities is how slowly the physical system can respond. Well output is constrained by geology and reservoir conditions, and large, rapid production swings are technically difficult and costly (Fattouh, 2011; Ribas, Hamacher, and Street, 2010). Refineries face similar inertia: they are designed for specific throughput ranges, and operating outside those ranges reduces efficiency and can degrade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switching crude grade is not a purely commercial choice; it often requires unit reconfiguration and planned downtime, with immediate revenue implications. Transport adds further delays—pipelines, ports, and tankers impose transit times measured in days to months (Stopford, 2009; Kazemi and Szmerekovsky, 2015). As a result, meaningful flow changes usually require lead time, capital, and coordination across the chain (Lima, </w:t>
      </w:r>
      <w:proofErr w:type="spellStart"/>
      <w:r>
        <w:t>Relvas</w:t>
      </w:r>
      <w:proofErr w:type="spellEnd"/>
      <w:r>
        <w:t>, and Barbosa-</w:t>
      </w:r>
      <w:proofErr w:type="spellStart"/>
      <w:r>
        <w:t>Póvoa</w:t>
      </w:r>
      <w:proofErr w:type="spellEnd"/>
      <w:r>
        <w:t>, 2016).</w:t>
      </w:r>
    </w:p>
    <w:p w14:paraId="16DA6E3D" w14:textId="77777777" w:rsidR="00985ABA" w:rsidRDefault="00985ABA">
      <w:pPr>
        <w:spacing w:after="160"/>
        <w:jc w:val="both"/>
        <w:rPr>
          <w:kern w:val="2"/>
          <w14:ligatures w14:val="standardContextual"/>
        </w:rPr>
      </w:pPr>
      <w:r>
        <w:t xml:space="preserve">Because production and refining cannot adjust quickly, inventories absorb most short-term imbalances. Tank farms, storage terminals, and strategic petroleum reserves buffer the mismatch between what is produced and what is consumed at any moment. When stocks are comfortable, the system can absorb shocks with limited price impact. When stocks tighten, concerns about feedstock availability push prices upward; when stocks build beyond normal operating levels, storage costs rise and prices tend to </w:t>
      </w:r>
      <w:r>
        <w:lastRenderedPageBreak/>
        <w:t xml:space="preserve">soften. Storage capacity itself is also a hard constraint—during the COVID-19 demand collapse, the combination of falling consumption and binding storage limits contributed to extreme price dislocations, including briefly negative WTI futures prices. The empirical link between inventory and crude prices is well established and is central to short-term price discovery (Kilian and Murphy, 2014; </w:t>
      </w:r>
      <w:proofErr w:type="spellStart"/>
      <w:r>
        <w:t>Geman</w:t>
      </w:r>
      <w:proofErr w:type="spellEnd"/>
      <w:r>
        <w:t>, 2005).</w:t>
      </w:r>
    </w:p>
    <w:p w14:paraId="7618C7EB" w14:textId="77777777" w:rsidR="00985ABA" w:rsidRDefault="00985ABA">
      <w:pPr>
        <w:spacing w:after="160"/>
        <w:jc w:val="both"/>
        <w:rPr>
          <w:kern w:val="2"/>
          <w14:ligatures w14:val="standardContextual"/>
        </w:rPr>
      </w:pPr>
      <w:r>
        <w:t xml:space="preserve">A further complication is that crude oil is not a single homogeneous product. Grades differ by density (light vs heavy) and sulphur content (sweet vs sour), and those properties translate into different product yields and processing costs. Light sweet crudes such as WTI and Brent typically produce a higher share of gasoline and diesel with less intensive upgrading. Heavy sour grades require more conversion and desulphurisation to produce comparable outputs, increasing operating cost. Refineries are therefore configured to run a particular range of crude qualities, and their economics depend on the spread between feedstock cost and product value—the crack spread (Fattouh, 2011; </w:t>
      </w:r>
      <w:proofErr w:type="spellStart"/>
      <w:r>
        <w:t>Geman</w:t>
      </w:r>
      <w:proofErr w:type="spellEnd"/>
      <w:r>
        <w:t>, 2005). When inventories of a specific grade tighten, relative prices shift, refinery incentives change, and the physical routing of barrels through pipelines, ports, and storage sites can reconfigure. A network-level model that ignores grade and configuration risks missing exactly these re-routing dynamics. Capturing grade-specific inventory behaviour is therefore a central motivation for the graph-based framework developed in this thesis.</w:t>
      </w:r>
    </w:p>
    <w:p w14:paraId="498D18E9" w14:textId="77777777" w:rsidR="009E55C2" w:rsidRDefault="009E55C2">
      <w:pPr>
        <w:spacing w:after="160"/>
        <w:jc w:val="both"/>
        <w:rPr>
          <w:kern w:val="2"/>
          <w14:ligatures w14:val="standardContextual"/>
        </w:rPr>
      </w:pPr>
      <w:r>
        <w:t>In this thesis we treat inventory dynamics as an emergent property of a logistics network. In the crude-oil sector, that network is an interconnected set of assets—production sites, storage facilities, pipeline junctions, ports, and refineries—linked by physical flow pathways. Each node in the network carries multivariate time-series signals (production, consumption, inflows, outflows, inventories) whose behaviour is coupled to the behaviour of neighbouring nodes through transport constraints and transit-time delays. Traditional optimisation models and isolated time-series forecasts often capture parts of this picture, but they struggle to represent nonlinear, time-dependent, and spatially correlated effects at the network scale.</w:t>
      </w:r>
    </w:p>
    <w:p w14:paraId="07F881CE" w14:textId="77777777" w:rsidR="009E55C2" w:rsidRDefault="009E55C2">
      <w:pPr>
        <w:spacing w:after="160"/>
        <w:jc w:val="both"/>
        <w:rPr>
          <w:kern w:val="2"/>
          <w14:ligatures w14:val="standardContextual"/>
        </w:rPr>
      </w:pPr>
      <w:r>
        <w:t>We propose a representation in which a crude-oil logistics system is modelled as a temporal graph and then vectorised so it can be used in downstream machine-learning tasks. Nodes represent assets and edges represent feasible flow pathways; node and edge features evolve through time. A key design choice in our schema is that refinery nodes include not only time-varying flow signals but also static configuration attributes—such as conversion unit types, the Nelson Complexity Index, and crude-quality tolerance—compiled from public sources. The intent is to ground each refinery’s representation in what the asset is physically capable of doing, not only in what it happened to do during the observation window. This matters when forecasting regime changes (for example, a feedstock switch) that may be rare or absent in the training period but are still operationally feasible. The research therefore asks: (</w:t>
      </w:r>
      <w:proofErr w:type="spellStart"/>
      <w:r>
        <w:t>i</w:t>
      </w:r>
      <w:proofErr w:type="spellEnd"/>
      <w:r>
        <w:t>) how should such a configuration-grounded temporal graph be constructed; (ii) how can it be vectorised into embeddings suitable for forecasting; and (iii) can those representations support reliable inventory forecasts under a mean-reversion objective (i.e., steering stock levels back toward typical operating ranges)?</w:t>
      </w:r>
    </w:p>
    <w:p w14:paraId="6FD9E40D" w14:textId="77777777" w:rsidR="009E55C2" w:rsidRDefault="009E55C2">
      <w:pPr>
        <w:spacing w:after="160"/>
        <w:jc w:val="both"/>
        <w:rPr>
          <w:kern w:val="2"/>
          <w14:ligatures w14:val="standardContextual"/>
        </w:rPr>
      </w:pPr>
      <w:r>
        <w:t xml:space="preserve">Methodologically, we evaluate several families of graph representation learning methods: structural embeddings (e.g., node2vec), spatial GNNs (e.g., GCN and </w:t>
      </w:r>
      <w:proofErr w:type="spellStart"/>
      <w:r>
        <w:t>GraphSAGE</w:t>
      </w:r>
      <w:proofErr w:type="spellEnd"/>
      <w:r>
        <w:t xml:space="preserve">), temporal graph neural networks (e.g., TGAT and TGN), and hybrid architectures that combine graph learning with sequence models. We benchmark these approaches against classical time-series baselines (ARIMA and VAR) to make </w:t>
      </w:r>
      <w:r>
        <w:lastRenderedPageBreak/>
        <w:t>the value of the graph structure explicit. The expected contributions are: (1) an integrated framework at the intersection of graph learning, temporal modelling, and energy logistics; (2) a configuration-grounded graph schema that encodes refinery operating envelopes to support counterfactual feedstock-transition forecasting; and (3) a practical forecasting setup for inventory management under a mean-reversion objective.</w:t>
      </w:r>
    </w:p>
    <w:p w14:paraId="67D6DF33" w14:textId="77777777" w:rsidR="003F03E3" w:rsidRDefault="001C6531">
      <w:pPr>
        <w:spacing w:after="160"/>
        <w:jc w:val="both"/>
      </w:pPr>
      <w:r>
        <w:rPr>
          <w:i/>
          <w:iCs/>
        </w:rPr>
        <w:t>Keywords: graph neural networks, temporal graphs, logistics networks, crude-oil supply chain, vectorization, node embeddings, inventory forecasting, mean reversion, time-series forecasting, graph representation learning</w:t>
      </w:r>
    </w:p>
    <w:p w14:paraId="481A2046" w14:textId="77777777" w:rsidR="0002105A" w:rsidRDefault="0002105A">
      <w:pPr>
        <w:rPr>
          <w:b/>
          <w:bCs/>
          <w:color w:val="000000"/>
          <w:sz w:val="32"/>
          <w:szCs w:val="32"/>
        </w:rPr>
      </w:pPr>
      <w:r>
        <w:br w:type="page"/>
      </w:r>
    </w:p>
    <w:p w14:paraId="67D6DF34" w14:textId="128D0C36" w:rsidR="003F03E3" w:rsidRDefault="001C6531">
      <w:pPr>
        <w:pStyle w:val="Heading1"/>
      </w:pPr>
      <w:r>
        <w:lastRenderedPageBreak/>
        <w:t>1. Introduction</w:t>
      </w:r>
    </w:p>
    <w:p w14:paraId="67D6DF35" w14:textId="77777777" w:rsidR="003F03E3" w:rsidRDefault="001C6531">
      <w:pPr>
        <w:pStyle w:val="Heading2"/>
      </w:pPr>
      <w:r>
        <w:t>1.1 Background and Motivation</w:t>
      </w:r>
    </w:p>
    <w:p w14:paraId="6BC205DA" w14:textId="77777777" w:rsidR="009E55C2" w:rsidRDefault="009E55C2">
      <w:pPr>
        <w:spacing w:after="160"/>
        <w:rPr>
          <w:kern w:val="2"/>
          <w14:ligatures w14:val="standardContextual"/>
        </w:rPr>
      </w:pPr>
      <w:r>
        <w:t>The global crude-oil supply chain is a logistics network with unusually high economic stakes. It spans extraction wells, pipeline systems covering thousands of kilometres, tanker routes, refineries, tank farms, and distribution terminals. Decisions made inside this network—how quickly producers ramp output, how refineries schedule runs, how traders reposition barrels—show up quickly in inventories and, shortly after, in prices. The motivation for this thesis is that many operational questions practitioners care about are inherently network questions: where stocks tighten first after a disruption, how rerouting propagates through connected regions, and which assets have the physical flexibility to respond. Figure 1.1 sketches the basic flow structure considered in this work.</w:t>
      </w:r>
    </w:p>
    <w:p w14:paraId="6D662B67" w14:textId="05CD9384" w:rsidR="0002105A" w:rsidRDefault="005010BD" w:rsidP="005010BD">
      <w:pPr>
        <w:keepNext/>
        <w:spacing w:after="160"/>
        <w:jc w:val="center"/>
      </w:pPr>
      <w:r>
        <w:rPr>
          <w:noProof/>
        </w:rPr>
        <w:lastRenderedPageBreak/>
        <w:drawing>
          <wp:inline distT="0" distB="0" distL="0" distR="0" wp14:anchorId="3AA0F323" wp14:editId="69128B0A">
            <wp:extent cx="5066514" cy="6410325"/>
            <wp:effectExtent l="0" t="0" r="0" b="0"/>
            <wp:docPr id="1789821035" name="Picture 1">
              <a:extLst xmlns:a="http://schemas.openxmlformats.org/drawingml/2006/main">
                <a:ext uri="{FF2B5EF4-FFF2-40B4-BE49-F238E27FC236}">
                  <a16:creationId xmlns:a16="http://schemas.microsoft.com/office/drawing/2014/main" id="{D2BE52A8-2DCB-489E-90BD-11816CAA5A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21035" name=""/>
                    <pic:cNvPicPr/>
                  </pic:nvPicPr>
                  <pic:blipFill>
                    <a:blip r:embed="rId5"/>
                    <a:stretch>
                      <a:fillRect/>
                    </a:stretch>
                  </pic:blipFill>
                  <pic:spPr>
                    <a:xfrm>
                      <a:off x="0" y="0"/>
                      <a:ext cx="5076960" cy="6423542"/>
                    </a:xfrm>
                    <a:prstGeom prst="rect">
                      <a:avLst/>
                    </a:prstGeom>
                  </pic:spPr>
                </pic:pic>
              </a:graphicData>
            </a:graphic>
          </wp:inline>
        </w:drawing>
      </w:r>
    </w:p>
    <w:p w14:paraId="039C0389" w14:textId="6C0D57EB" w:rsidR="0002105A" w:rsidRDefault="0002105A" w:rsidP="0002105A">
      <w:pPr>
        <w:pStyle w:val="Caption"/>
      </w:pPr>
      <w:r>
        <w:t xml:space="preserve">Figure </w:t>
      </w:r>
      <w:fldSimple w:instr=" SEQ Figure \* ARABIC ">
        <w:r>
          <w:rPr>
            <w:noProof/>
          </w:rPr>
          <w:t>1</w:t>
        </w:r>
      </w:fldSimple>
      <w:r>
        <w:t>. Crude Oil F</w:t>
      </w:r>
      <w:r w:rsidR="00B42B93">
        <w:t>l</w:t>
      </w:r>
      <w:r>
        <w:t>ows</w:t>
      </w:r>
    </w:p>
    <w:p w14:paraId="67D6DF36" w14:textId="7C9EA67E" w:rsidR="003F03E3" w:rsidRDefault="001C6531" w:rsidP="00367766">
      <w:pPr>
        <w:spacing w:after="160"/>
      </w:pPr>
      <w:r>
        <w:br/>
      </w:r>
    </w:p>
    <w:p w14:paraId="14E936EC" w14:textId="77777777" w:rsidR="00220075" w:rsidRDefault="00220075">
      <w:pPr>
        <w:spacing w:after="160"/>
        <w:jc w:val="both"/>
      </w:pPr>
    </w:p>
    <w:p w14:paraId="1E3758ED" w14:textId="77777777" w:rsidR="00985ABA" w:rsidRDefault="00985ABA">
      <w:pPr>
        <w:spacing w:after="160"/>
        <w:jc w:val="both"/>
        <w:rPr>
          <w:kern w:val="2"/>
          <w14:ligatures w14:val="standardContextual"/>
        </w:rPr>
      </w:pPr>
      <w:r>
        <w:t xml:space="preserve">At the level of individual assets—an offshore platform, a regional storage hub, a port terminal—operators observe multivariate time series that reflect the system’s state: production rates, refinery runs, inflows and outflows, capacities, and inventories. These signals are shaped by internal constraints (equipment limits, maintenance schedules, contractual commitments) and external shocks (geopolitics, demand swings, weather, and price volatility). Crucially, the variables are not independent. A disruption at an upstream node affects downstream inventories with time lags that </w:t>
      </w:r>
      <w:r>
        <w:lastRenderedPageBreak/>
        <w:t>depend on transit times, routing choices, and capacity bottlenecks. In other words, what happens at one node is often best understood in the context of its neighbours and the pathways connecting them.</w:t>
      </w:r>
    </w:p>
    <w:p w14:paraId="541E9AA3" w14:textId="77777777" w:rsidR="009E55C2" w:rsidRDefault="009E55C2">
      <w:pPr>
        <w:spacing w:after="160"/>
        <w:jc w:val="both"/>
        <w:rPr>
          <w:kern w:val="2"/>
          <w14:ligatures w14:val="standardContextual"/>
        </w:rPr>
      </w:pPr>
      <w:r>
        <w:t xml:space="preserve">Historically, two methodological families have been used to support decisions in this setting. Operations research models (linear programming, mixed-integer programming, stochastic optimisation) are strong at enforcing constraints and producing optimal plans under stated assumptions (Fernandes, </w:t>
      </w:r>
      <w:proofErr w:type="spellStart"/>
      <w:r>
        <w:t>Relvas</w:t>
      </w:r>
      <w:proofErr w:type="spellEnd"/>
      <w:r>
        <w:t>, and Barbosa-</w:t>
      </w:r>
      <w:proofErr w:type="spellStart"/>
      <w:r>
        <w:t>Póvoa</w:t>
      </w:r>
      <w:proofErr w:type="spellEnd"/>
      <w:r>
        <w:t xml:space="preserve">, 2013; Kazemi and Szmerekovsky, 2015; </w:t>
      </w:r>
      <w:proofErr w:type="spellStart"/>
      <w:r>
        <w:t>Ghaithan</w:t>
      </w:r>
      <w:proofErr w:type="spellEnd"/>
      <w:r>
        <w:t xml:space="preserve">, Attia, and </w:t>
      </w:r>
      <w:proofErr w:type="spellStart"/>
      <w:r>
        <w:t>Duffuaa</w:t>
      </w:r>
      <w:proofErr w:type="spellEnd"/>
      <w:r>
        <w:t xml:space="preserve">, 2017; Ribas, Hamacher, and Street, 2010). Their weakness is that the assumptions required to keep models tractable—linearity, simplified uncertainty structures, or coarse aggregation—can limit realism (Lima, </w:t>
      </w:r>
      <w:proofErr w:type="spellStart"/>
      <w:r>
        <w:t>Relvas</w:t>
      </w:r>
      <w:proofErr w:type="spellEnd"/>
      <w:r>
        <w:t>, and Barbosa-</w:t>
      </w:r>
      <w:proofErr w:type="spellStart"/>
      <w:r>
        <w:t>Póvoa</w:t>
      </w:r>
      <w:proofErr w:type="spellEnd"/>
      <w:r>
        <w:t>, 2016). Time-series methods such as ARIMA and VAR sit at the other end: they learn patterns from data, but they are typically applied per node (or with limited cross-node coupling) and do not explicitly encode the physical connectivity of the network (Box, Jenkins, Reinsel, and Ljung, 2015; Hamilton, 1994; Wu et al., 2020; Jin et al., 2024). The gap addressed in this thesis is the joint representation of space and time: a model that can learn from multivariate time series while also respecting the graph structure through which shocks propagate. This is where graph representation learning and graph neural networks become attractive, especially when paired with temporal modelling components.</w:t>
      </w:r>
    </w:p>
    <w:p w14:paraId="41B6B6E6" w14:textId="1E0A916C" w:rsidR="00985ABA" w:rsidRDefault="00985ABA">
      <w:pPr>
        <w:spacing w:after="160"/>
        <w:jc w:val="both"/>
        <w:rPr>
          <w:kern w:val="2"/>
          <w14:ligatures w14:val="standardContextual"/>
        </w:rPr>
      </w:pPr>
      <w:r>
        <w:t>Crude-oil logistics is also challenging because the system can shift regimes. One of the clearest examples is a refinery feedstock switch: in response to relative grade prices, availability, or a disruption, a refinery may move from a light sweet slate to a heavier or more sour slate (within its technical limits). When that happens, upstream and downstream flows can reconfigure together—shipping routes, pipeline allocations, and storage draw rates change in a coordinated way. A model trained only to reproduce historical flow patterns risks missing these transitions if they are rare or absent in the training window. This thesis therefore emphasises a distinction that is easy to overlook in purely data-driven settings: observed behaviour is not the same as physical capability. By incorporating refinery configuration attributes into node representations, the modelling framework is designed to better represent feasible, but historically unobserved, operational responses.</w:t>
      </w:r>
    </w:p>
    <w:p w14:paraId="67D6DF3B" w14:textId="77777777" w:rsidR="003F03E3" w:rsidRDefault="001C6531">
      <w:pPr>
        <w:pStyle w:val="Heading2"/>
      </w:pPr>
      <w:r>
        <w:t>1.2 Problem Statement</w:t>
      </w:r>
    </w:p>
    <w:p w14:paraId="74704F85" w14:textId="77777777" w:rsidR="009E55C2" w:rsidRDefault="009E55C2">
      <w:pPr>
        <w:spacing w:after="160"/>
        <w:jc w:val="both"/>
        <w:rPr>
          <w:kern w:val="2"/>
          <w14:ligatures w14:val="standardContextual"/>
        </w:rPr>
      </w:pPr>
      <w:r>
        <w:t xml:space="preserve">Despite growing interest in graph-based methods for supply-chain analytics (Kosasih and </w:t>
      </w:r>
      <w:proofErr w:type="spellStart"/>
      <w:r>
        <w:t>Brintrup</w:t>
      </w:r>
      <w:proofErr w:type="spellEnd"/>
      <w:r>
        <w:t xml:space="preserve">, 2022; Wasi et al., 2024), there is still a practical gap between “modelling a supply chain as a graph” and “using that graph to forecast and steer operational variables.” Much of the literature either models supply chains as static graphs (Kosasih and </w:t>
      </w:r>
      <w:proofErr w:type="spellStart"/>
      <w:r>
        <w:t>Brintrup</w:t>
      </w:r>
      <w:proofErr w:type="spellEnd"/>
      <w:r>
        <w:t>, 2022; Alves and Mateus, 2020; Dong and Samonte, 2024) or forecasts individual variables without explicitly representing network connectivity (Box, Jenkins, Reinsel, and Ljung, 2015; Hamilton, 1994). In the crude-oil setting, the missing piece is an end-to-end workflow that (</w:t>
      </w:r>
      <w:proofErr w:type="spellStart"/>
      <w:r>
        <w:t>i</w:t>
      </w:r>
      <w:proofErr w:type="spellEnd"/>
      <w:r>
        <w:t xml:space="preserve">) represents a time-evolving logistics network as a vectorised (embedded) temporal graph (Rossi et al., 2020; Xu et al., 2020), and (ii) uses those representations to forecast flows and inventories in a way that aligns with an operational objective such as mean reversion (Schwartz, 1997; Vasicek, 1977). A second, domain-specific gap motivates the design choices in this thesis: models that learn only from historical flows struggle to represent feasible transitions—such as a refinery switching feedstock grade—that may not appear in the training data but are </w:t>
      </w:r>
      <w:r>
        <w:lastRenderedPageBreak/>
        <w:t>consistent with engineering constraints. Incorporating configuration attributes is one way to address this behaviour-versus-capability mismatch.</w:t>
      </w:r>
    </w:p>
    <w:p w14:paraId="1589593E" w14:textId="77777777" w:rsidR="00985ABA" w:rsidRDefault="00985ABA">
      <w:pPr>
        <w:spacing w:after="160"/>
        <w:jc w:val="both"/>
        <w:rPr>
          <w:kern w:val="2"/>
          <w14:ligatures w14:val="standardContextual"/>
        </w:rPr>
      </w:pPr>
      <w:r>
        <w:t>The central research question is therefore: How can a crude-oil logistics system be represented as a configuration-grounded temporal graph, and how can its vectorised representations be used to forecast network flows in a way that moves inventories back toward typical (historical) operating levels?</w:t>
      </w:r>
    </w:p>
    <w:p w14:paraId="67D6DF3F" w14:textId="7C7DBCF5" w:rsidR="003F03E3" w:rsidRDefault="001C6531" w:rsidP="00BC11F5">
      <w:pPr>
        <w:pStyle w:val="Heading2"/>
      </w:pPr>
      <w:r>
        <w:t>1.3 Research Objectives</w:t>
      </w:r>
    </w:p>
    <w:p w14:paraId="12A4D5A6" w14:textId="77777777" w:rsidR="009E55C2" w:rsidRDefault="009E55C2">
      <w:pPr>
        <w:spacing w:after="160"/>
        <w:jc w:val="both"/>
        <w:rPr>
          <w:kern w:val="2"/>
          <w14:ligatures w14:val="standardContextual"/>
        </w:rPr>
      </w:pPr>
      <w:r>
        <w:t xml:space="preserve">This thesis has three concrete objectives. First, we define a scalable graph schema for a crude-oil logistics network that captures (a) the structural dependencies among assets—production sites, pipelines, storage facilities, ports, and refineries—and (b) the multivariate time-series dynamics observed at those assets. As part of that schema, we include static refinery configuration attributes (conversion unit types, Nelson Complexity Index, crude-quality tolerance) alongside time-varying operational signals, so that the graph represents not only what each asset has done but also what it can plausibly do. Second, we compare alternative ways to vectorise (embed) the resulting temporal graphs for downstream learning, spanning structural embeddings (node2vec, </w:t>
      </w:r>
      <w:proofErr w:type="spellStart"/>
      <w:r>
        <w:t>DeepWalk</w:t>
      </w:r>
      <w:proofErr w:type="spellEnd"/>
      <w:r>
        <w:t xml:space="preserve">, LINE), spatial GNNs (GCN, GAT, </w:t>
      </w:r>
      <w:proofErr w:type="spellStart"/>
      <w:r>
        <w:t>GraphSAGE</w:t>
      </w:r>
      <w:proofErr w:type="spellEnd"/>
      <w:r>
        <w:t>), temporal graph methods (TGAT, TGN, CAW), and hybrid approaches; we focus on whether these methods exploit configuration features to anticipate regime changes such as feedstock switches. Third, we develop and validate a forecasting setup that uses the learned representations to predict inventory trajectories and flow adjustments under a mean-reversion objective, benchmarking against classical time-series baselines (ARIMA, VAR).</w:t>
      </w:r>
    </w:p>
    <w:p w14:paraId="67D6DF43" w14:textId="77777777" w:rsidR="003F03E3" w:rsidRDefault="001C6531">
      <w:pPr>
        <w:pStyle w:val="Heading2"/>
      </w:pPr>
      <w:r>
        <w:t>1.4 Scope and Delimitations</w:t>
      </w:r>
    </w:p>
    <w:p w14:paraId="2D0D11DB" w14:textId="77777777" w:rsidR="00985ABA" w:rsidRDefault="00985ABA">
      <w:pPr>
        <w:spacing w:after="160"/>
        <w:jc w:val="both"/>
        <w:rPr>
          <w:kern w:val="2"/>
          <w14:ligatures w14:val="standardContextual"/>
        </w:rPr>
      </w:pPr>
      <w:r>
        <w:t>This research is primarily methodological: the focus is on how to design, vectorise, and evaluate temporal logistics graphs, rather than on building a full production-grade decision system. In the empirical implementation, the network is represented at a regional (country/PADD) level and connected by major pipeline routes and shipping lanes, rather than at the level of individual pieces of equipment within a facility. Mean reversion is used as a representative operational target; the framework is intended to be extensible to other objectives (e.g., shortage minimisation, cost minimisation, disruption response). The empirical work uses publicly available U.S. Energy Information Administration (EIA) data, and I discuss transferability to other datasets as a direction for future work.</w:t>
      </w:r>
    </w:p>
    <w:p w14:paraId="67D6DF45" w14:textId="77777777" w:rsidR="003F03E3" w:rsidRDefault="001C6531">
      <w:pPr>
        <w:pStyle w:val="Heading2"/>
      </w:pPr>
      <w:r>
        <w:t>1.5 Thesis Structure</w:t>
      </w:r>
    </w:p>
    <w:p w14:paraId="6DFB5603" w14:textId="77777777" w:rsidR="00985ABA" w:rsidRDefault="00985ABA">
      <w:pPr>
        <w:spacing w:after="160"/>
        <w:jc w:val="both"/>
        <w:rPr>
          <w:kern w:val="2"/>
          <w14:ligatures w14:val="standardContextual"/>
        </w:rPr>
      </w:pPr>
      <w:r>
        <w:t xml:space="preserve">The remainder of this thesis is organised as follows. Chapter 2 reviews the literature through six lenses: (1) how physical logistics networks are represented as graphs, (2) graph representation learning, (3) temporal graph neural networks, (4) supply-chain modelling with GNNs, (5) inventory management and mean reversion, and (6) a synthesis that motivates the research gap addressed here. Chapter 3 then defines the proposed graph schema for crude-oil logistics, including node and edge types and the conservation relationships that connect them. Chapter 4 discusses candidate vectorisation methods and the criteria used to select among them. Chapter 5 presents the forecasting framework and evaluation plan for mean-reversion inventory </w:t>
      </w:r>
      <w:r>
        <w:lastRenderedPageBreak/>
        <w:t>forecasting. Later chapters (to be completed) report experiments, results, and conclusions.</w:t>
      </w:r>
    </w:p>
    <w:p w14:paraId="4B5F30CE" w14:textId="270D107B" w:rsidR="009E568F" w:rsidRDefault="009E568F">
      <w:pPr>
        <w:spacing w:after="160"/>
        <w:jc w:val="both"/>
      </w:pPr>
      <w:r>
        <w:rPr>
          <w:noProof/>
        </w:rPr>
        <w:drawing>
          <wp:inline distT="0" distB="0" distL="0" distR="0" wp14:anchorId="3B3E0365" wp14:editId="40495D71">
            <wp:extent cx="5731510" cy="7590155"/>
            <wp:effectExtent l="0" t="0" r="0" b="0"/>
            <wp:docPr id="785873787" name="Picture 1">
              <a:extLst xmlns:a="http://schemas.openxmlformats.org/drawingml/2006/main">
                <a:ext uri="{FF2B5EF4-FFF2-40B4-BE49-F238E27FC236}">
                  <a16:creationId xmlns:a16="http://schemas.microsoft.com/office/drawing/2014/main" id="{8EC21D68-77C0-4E86-AC7C-0D07E75D5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3787" name=""/>
                    <pic:cNvPicPr/>
                  </pic:nvPicPr>
                  <pic:blipFill>
                    <a:blip r:embed="rId6"/>
                    <a:stretch>
                      <a:fillRect/>
                    </a:stretch>
                  </pic:blipFill>
                  <pic:spPr>
                    <a:xfrm>
                      <a:off x="0" y="0"/>
                      <a:ext cx="5731510" cy="7590155"/>
                    </a:xfrm>
                    <a:prstGeom prst="rect">
                      <a:avLst/>
                    </a:prstGeom>
                  </pic:spPr>
                </pic:pic>
              </a:graphicData>
            </a:graphic>
          </wp:inline>
        </w:drawing>
      </w:r>
    </w:p>
    <w:p w14:paraId="67D6DF47" w14:textId="77777777" w:rsidR="003F03E3" w:rsidRDefault="001C6531">
      <w:pPr>
        <w:pStyle w:val="Heading1"/>
      </w:pPr>
      <w:r>
        <w:t>2. Literature Review</w:t>
      </w:r>
    </w:p>
    <w:p w14:paraId="6049AF86" w14:textId="77777777" w:rsidR="00E16408" w:rsidRDefault="00E16408">
      <w:pPr>
        <w:spacing w:after="160"/>
        <w:jc w:val="both"/>
        <w:rPr>
          <w:kern w:val="2"/>
          <w14:ligatures w14:val="standardContextual"/>
        </w:rPr>
      </w:pPr>
      <w:r>
        <w:lastRenderedPageBreak/>
        <w:t xml:space="preserve">This chapter reviews the literature that informs the modelling choices made in this thesis and clarifies the research gap. We begin with how physical logistics systems are abstracted into graphs, since the choice of nodes and edges determines what </w:t>
      </w:r>
      <w:proofErr w:type="gramStart"/>
      <w:r>
        <w:t>information</w:t>
      </w:r>
      <w:proofErr w:type="gramEnd"/>
      <w:r>
        <w:t xml:space="preserve"> a model can represent. We then summarise graph representation learning—from random-walk embeddings to graph neural networks (GNNs)—and highlight the additional challenges introduced by time-evolving node and edge features. Next, we review temporal graph methods and hybrid </w:t>
      </w:r>
      <w:proofErr w:type="spellStart"/>
      <w:r>
        <w:t>spatio</w:t>
      </w:r>
      <w:proofErr w:type="spellEnd"/>
      <w:r>
        <w:t>-temporal architectures that have proven effective for forecasting in other domains. We then connect these approaches to supply-chain optimisation and inventory management, emphasising mean reversion and mass balance as operational and physical constraints. The chapter concludes by synthesising these strands into the integration gap addressed by the schema in Chapter 3 and the modelling framework in Chapters 4–5.</w:t>
      </w:r>
    </w:p>
    <w:p w14:paraId="67D6DF01" w14:textId="77777777" w:rsidR="003F03E3" w:rsidRDefault="001C6531">
      <w:pPr>
        <w:pStyle w:val="Heading2"/>
      </w:pPr>
      <w:r>
        <w:t>2.1 Graph Representations of Physical Networks</w:t>
      </w:r>
    </w:p>
    <w:p w14:paraId="67D6DF02" w14:textId="77777777" w:rsidR="003F03E3" w:rsidRDefault="001C6531">
      <w:pPr>
        <w:pStyle w:val="Heading3"/>
      </w:pPr>
      <w:r>
        <w:t>2.1.1 Location-Centric vs Asset-Centric Representations</w:t>
      </w:r>
    </w:p>
    <w:p w14:paraId="096DEBA3" w14:textId="77777777" w:rsidR="00E16408" w:rsidRDefault="00E16408">
      <w:pPr>
        <w:spacing w:after="160"/>
        <w:jc w:val="both"/>
        <w:rPr>
          <w:kern w:val="2"/>
          <w14:ligatures w14:val="standardContextual"/>
        </w:rPr>
      </w:pPr>
      <w:r>
        <w:t>A first design decision in any graph-based logistics model is representational: what, exactly, should a node represent, and what should an edge represent? The literature commonly adopts one of two conventions. In practice, both can support learning, but they encode different assumptions about where “state” resides (at locations versus at assets) and therefore differ in how naturally they can represent in-transit material, capacity constraints, and operational switching.</w:t>
      </w:r>
    </w:p>
    <w:p w14:paraId="22EBEFA1" w14:textId="77777777" w:rsidR="00E16408" w:rsidRDefault="00E16408">
      <w:pPr>
        <w:spacing w:after="160"/>
        <w:jc w:val="both"/>
        <w:rPr>
          <w:kern w:val="2"/>
          <w14:ligatures w14:val="standardContextual"/>
        </w:rPr>
      </w:pPr>
      <w:r>
        <w:t xml:space="preserve">In a </w:t>
      </w:r>
      <w:r>
        <w:rPr>
          <w:i/>
          <w:iCs/>
        </w:rPr>
        <w:t>location-centric</w:t>
      </w:r>
      <w:r>
        <w:t xml:space="preserve"> representation, nodes correspond to places (e.g., a refinery site, pipeline junction, or storage hub) and edges represent connections between places (e.g., pipeline segments or shipping lanes). This convention is widely used in traffic forecasting because sensor readings (speed, flow, occupancy) map cleanly to node features and the resulting graphs are compact (Li et al., 2018; Yu et al., 2018). The main limitation for commodity logistics is that material “in transit” is not naturally a first-class state: vessel cargo and pipeline line-fill are typically absorbed into edge attributes, which makes it harder to reason about in-transit inventory as an operational variable.</w:t>
      </w:r>
    </w:p>
    <w:p w14:paraId="50669D45" w14:textId="77777777" w:rsidR="00E16408" w:rsidRDefault="00E16408">
      <w:pPr>
        <w:spacing w:after="160"/>
        <w:jc w:val="both"/>
        <w:rPr>
          <w:kern w:val="2"/>
          <w14:ligatures w14:val="standardContextual"/>
        </w:rPr>
      </w:pPr>
      <w:r>
        <w:t xml:space="preserve">In an </w:t>
      </w:r>
      <w:r>
        <w:rPr>
          <w:i/>
          <w:iCs/>
        </w:rPr>
        <w:t>asset-centric</w:t>
      </w:r>
      <w:r>
        <w:t xml:space="preserve"> representation, each operational asset is a node—production fields, terminals, storage sites, pipeline segments, refineries, and (optionally) vessels—while edges encode feasible transfers between assets. This aligns closely with how constraints arise in practice: capacities, operating envelopes, and inventories belong to identifiable assets, not to abstract coordinates. A practical advantage is that the topology can remain fixed even when activity is intermittent: we define feasible edges once and set their flow features to zero when a route is inactive. This stable-topology design is convenient for many GNN architectures and, crucially for this thesis, it supports explicit modelling of inventories at both fixed storage nodes and mobile (in-transit) nodes.</w:t>
      </w:r>
    </w:p>
    <w:p w14:paraId="67D6DF06" w14:textId="77777777" w:rsidR="003F03E3" w:rsidRDefault="001C6531">
      <w:pPr>
        <w:pStyle w:val="Heading3"/>
      </w:pPr>
      <w:r>
        <w:t>2.1.2 Application to Crude-Oil Logistics Networks</w:t>
      </w:r>
    </w:p>
    <w:p w14:paraId="168A92F8" w14:textId="77777777" w:rsidR="00E16408" w:rsidRDefault="00E16408">
      <w:pPr>
        <w:spacing w:after="160"/>
        <w:jc w:val="both"/>
        <w:rPr>
          <w:kern w:val="2"/>
          <w14:ligatures w14:val="standardContextual"/>
        </w:rPr>
      </w:pPr>
      <w:r>
        <w:t xml:space="preserve">Crude-oil logistics is ultimately governed by asset capabilities (storage capacity, pipeline throughput, refinery complexity) and by how those assets are connected. For that reason, the schema developed in this thesis is designed to be </w:t>
      </w:r>
      <w:proofErr w:type="gramStart"/>
      <w:r>
        <w:t>asset-centric</w:t>
      </w:r>
      <w:proofErr w:type="gramEnd"/>
      <w:r>
        <w:t xml:space="preserve">. In the empirical implementation, however, the granularity we can instantiate is bounded by data availability: much of the public EIA reporting is regional (states and PADD </w:t>
      </w:r>
      <w:r>
        <w:lastRenderedPageBreak/>
        <w:t>districts). We therefore populate the schema at the level of assets that are consistently observable in those sources, while keeping the schema extensible so that finer-grained assets can be added when richer datasets become available.</w:t>
      </w:r>
    </w:p>
    <w:p w14:paraId="6750CCA7" w14:textId="77777777" w:rsidR="00E16408" w:rsidRDefault="00E16408">
      <w:pPr>
        <w:spacing w:after="160"/>
        <w:jc w:val="both"/>
        <w:rPr>
          <w:kern w:val="2"/>
          <w14:ligatures w14:val="standardContextual"/>
        </w:rPr>
      </w:pPr>
      <w:r>
        <w:t>Concretely, we represent reported regions as nodes where appropriate and connect them using major pipeline routes and seaborne corridors. The framework also accommodates more detailed representations—such as vessel nodes with AIS-derived features—but those are treated as extensions rather than as requirements for the results presented here. Chapter 3 formalises the node and edge types and explains how we preserve stable topology while allowing routes to become active or inactive over time.</w:t>
      </w:r>
    </w:p>
    <w:p w14:paraId="59E93B7F" w14:textId="77777777" w:rsidR="00E16408" w:rsidRDefault="00E16408">
      <w:pPr>
        <w:spacing w:after="160"/>
        <w:jc w:val="both"/>
        <w:rPr>
          <w:kern w:val="2"/>
          <w14:ligatures w14:val="standardContextual"/>
        </w:rPr>
      </w:pPr>
      <w:r>
        <w:t>This representational choice also highlights a recurring issue for learning-based models: historical flows describe what happened, but they may under-represent what is feasible. For example, a refinery’s ability to switch crude slate is constrained by configuration (conversion units, desulphurisation capacity), not only by past purchasing patterns. Encoding such capabilities as static node attributes is one way to improve generalisation when the training window contains limited regime variation.</w:t>
      </w:r>
    </w:p>
    <w:p w14:paraId="67D6DF48" w14:textId="77777777" w:rsidR="003F03E3" w:rsidRDefault="001C6531">
      <w:pPr>
        <w:pStyle w:val="Heading2"/>
      </w:pPr>
      <w:r>
        <w:t>2.2 Graph Representation Learning</w:t>
      </w:r>
    </w:p>
    <w:p w14:paraId="67D6DF49" w14:textId="77777777" w:rsidR="003F03E3" w:rsidRDefault="001C6531">
      <w:pPr>
        <w:pStyle w:val="Heading3"/>
      </w:pPr>
      <w:r>
        <w:t>2.2.1 Foundations of Network Embedding</w:t>
      </w:r>
    </w:p>
    <w:p w14:paraId="10F34800" w14:textId="77777777" w:rsidR="00E16408" w:rsidRDefault="00E16408">
      <w:pPr>
        <w:spacing w:after="160"/>
        <w:jc w:val="both"/>
        <w:rPr>
          <w:kern w:val="2"/>
          <w14:ligatures w14:val="standardContextual"/>
        </w:rPr>
      </w:pPr>
      <w:r>
        <w:t xml:space="preserve">Graph representation learning maps nodes (and sometimes edges) into vectors that retain information useful for a downstream task. Early approaches were largely spectral, using eigenvectors of Laplacian operators to produce low-dimensional embeddings. While theoretically grounded, spectral methods scale poorly and are inconvenient when graphs evolve. </w:t>
      </w:r>
      <w:proofErr w:type="gramStart"/>
      <w:r>
        <w:t>This motivated embedding methods</w:t>
      </w:r>
      <w:proofErr w:type="gramEnd"/>
      <w:r>
        <w:t xml:space="preserve"> trained with stochastic optimisation that scale to larger networks and can be updated more easily.</w:t>
      </w:r>
    </w:p>
    <w:p w14:paraId="3A55E72B" w14:textId="77777777" w:rsidR="00E16408" w:rsidRDefault="00E16408">
      <w:pPr>
        <w:spacing w:after="160"/>
        <w:jc w:val="both"/>
        <w:rPr>
          <w:kern w:val="2"/>
          <w14:ligatures w14:val="standardContextual"/>
        </w:rPr>
      </w:pPr>
      <w:proofErr w:type="spellStart"/>
      <w:r>
        <w:t>DeepWalk</w:t>
      </w:r>
      <w:proofErr w:type="spellEnd"/>
      <w:r>
        <w:t xml:space="preserve"> (Perozzi, Al-</w:t>
      </w:r>
      <w:proofErr w:type="spellStart"/>
      <w:r>
        <w:t>Rfou</w:t>
      </w:r>
      <w:proofErr w:type="spellEnd"/>
      <w:r>
        <w:t xml:space="preserve">, and </w:t>
      </w:r>
      <w:proofErr w:type="spellStart"/>
      <w:r>
        <w:t>Skiena</w:t>
      </w:r>
      <w:proofErr w:type="spellEnd"/>
      <w:r>
        <w:t>, 2014) introduced a simple and scalable idea: treat short random walks on a graph as “sentences” and learn node embeddings using the same Skip-gram objective used in word embeddings. Nodes that frequently co-occur in walks—because they are close in the topology—are placed near one another in the embedding space. The method is attractive as a lightweight structural baseline and as a practical way to encode connectivity without explicit matrix factorisation.</w:t>
      </w:r>
    </w:p>
    <w:p w14:paraId="04FBD64E" w14:textId="77777777" w:rsidR="00E16408" w:rsidRDefault="00E16408">
      <w:pPr>
        <w:spacing w:after="160"/>
        <w:jc w:val="both"/>
        <w:rPr>
          <w:kern w:val="2"/>
          <w14:ligatures w14:val="standardContextual"/>
        </w:rPr>
      </w:pPr>
      <w:r>
        <w:t xml:space="preserve">Node2vec (Grover and Leskovec, 2016) generalised </w:t>
      </w:r>
      <w:proofErr w:type="spellStart"/>
      <w:r>
        <w:t>DeepWalk</w:t>
      </w:r>
      <w:proofErr w:type="spellEnd"/>
      <w:r>
        <w:t xml:space="preserve"> by biasing random walks to emphasise either local neighbourhoods or broader community structure, controlled by its return and in–out parameters. LINE (Tang et al., 2015) takes a different route by optimising objectives that preserve first- and second-order proximity directly, which can be efficient on very large graphs. These methods provide useful descriptors of topology, but they are fundamentally static: by construction, they do not model how node states (flows, inventories) evolve through time.</w:t>
      </w:r>
    </w:p>
    <w:p w14:paraId="70C6E4EA" w14:textId="77777777" w:rsidR="00E16408" w:rsidRDefault="00E16408">
      <w:pPr>
        <w:spacing w:after="160"/>
        <w:jc w:val="both"/>
        <w:rPr>
          <w:kern w:val="2"/>
          <w14:ligatures w14:val="standardContextual"/>
        </w:rPr>
      </w:pPr>
      <w:r>
        <w:t xml:space="preserve">In this thesis, the feasible connectivity of the logistics system is treated as largely stable over the study period, so structural embeddings are sensible as topology-only baselines. However, the forecasting objective depends on time-varying quantities—production, flows, and inventories. A topology-only embedding cannot, on its own, represent inventory build and draw patterns or changing utilisation. This motivates models that incorporate node and edge features (spatial GNNs) and, ultimately, </w:t>
      </w:r>
      <w:r>
        <w:lastRenderedPageBreak/>
        <w:t xml:space="preserve">models that incorporate time directly (temporal graph methods and hybrid </w:t>
      </w:r>
      <w:proofErr w:type="spellStart"/>
      <w:r>
        <w:t>spatio</w:t>
      </w:r>
      <w:proofErr w:type="spellEnd"/>
      <w:r>
        <w:t>-temporal architectures).</w:t>
      </w:r>
    </w:p>
    <w:p w14:paraId="6B325C53" w14:textId="77777777" w:rsidR="00E16408" w:rsidRDefault="00E16408">
      <w:pPr>
        <w:spacing w:after="160"/>
        <w:jc w:val="both"/>
        <w:rPr>
          <w:kern w:val="2"/>
          <w14:ligatures w14:val="standardContextual"/>
        </w:rPr>
      </w:pPr>
      <w:r>
        <w:t>A second limitation is important in crude-oil applications: embeddings trained purely on observed interactions tend to encode realised behaviour rather than physical capability. If a refinery rarely switches crude slate during the training window, a flow-driven embedding may implicitly treat alternative supply routes as irrelevant, even if the refinery is technically able to process those grades. This motivates augmenting time-varying operational signals with static configuration attributes so that the representation reflects feasible operating regimes.</w:t>
      </w:r>
    </w:p>
    <w:p w14:paraId="39FE45DF" w14:textId="77777777" w:rsidR="00E16408" w:rsidRDefault="00E16408">
      <w:pPr>
        <w:spacing w:after="160"/>
        <w:jc w:val="both"/>
        <w:rPr>
          <w:kern w:val="2"/>
          <w14:ligatures w14:val="standardContextual"/>
        </w:rPr>
      </w:pPr>
      <w:r>
        <w:t xml:space="preserve">Inductive GNNs (e.g., </w:t>
      </w:r>
      <w:proofErr w:type="spellStart"/>
      <w:r>
        <w:t>GraphSAGE</w:t>
      </w:r>
      <w:proofErr w:type="spellEnd"/>
      <w:r>
        <w:t>) can improve generalisation by learning aggregation rules that transfer across similar neighbourhood structures, but they still benefit from diverse historical regimes. In this thesis, we additionally encode capability directly via static attributes—most importantly refinery configuration features such as conversion unit presence, Nelson Complexity Index, and crude-quality tolerance. These attributes provide a grounded basis for learning similarities between assets even when their observed flow histories differ, and they support modelling of rare but feasible transitions such as feedstock switching. Chapter 3 specifies how these configuration features are incorporated into node representations.</w:t>
      </w:r>
    </w:p>
    <w:p w14:paraId="67D6DF4E" w14:textId="77777777" w:rsidR="003F03E3" w:rsidRDefault="001C6531">
      <w:pPr>
        <w:pStyle w:val="Heading3"/>
      </w:pPr>
      <w:r>
        <w:t>2.2.2 Graph Neural Networks</w:t>
      </w:r>
    </w:p>
    <w:p w14:paraId="12C6E4B6" w14:textId="77777777" w:rsidR="00E16408" w:rsidRDefault="00E16408">
      <w:pPr>
        <w:spacing w:after="160"/>
        <w:jc w:val="both"/>
        <w:rPr>
          <w:kern w:val="2"/>
          <w14:ligatures w14:val="standardContextual"/>
        </w:rPr>
      </w:pPr>
      <w:r>
        <w:t>Graph neural networks (GNNs) learn node representations by combining node features with information from neighbouring nodes via message passing (Gilmer et al., 2017). At each layer, a node updates its representation by aggregating transformed messages from its neighbours (and, in many variants, from itself). Stacking layers allows information to propagate across multiple hops, producing embeddings that reflect both local state and network context.</w:t>
      </w:r>
    </w:p>
    <w:p w14:paraId="6A91D502" w14:textId="77777777" w:rsidR="00E16408" w:rsidRDefault="00E16408">
      <w:pPr>
        <w:spacing w:after="160"/>
        <w:jc w:val="both"/>
        <w:rPr>
          <w:kern w:val="2"/>
          <w14:ligatures w14:val="standardContextual"/>
        </w:rPr>
      </w:pPr>
      <w:r>
        <w:t>The Graph Convolutional Network (GCN) of Kipf and Welling (2017) is a standard baseline that aggregates neighbour information using a normalised adjacency operator. In our setting, applying a GCN to each time snapshot yields a spatially enriched embedding: inventories and flows at a node are combined with upstream and downstream signals, reflecting the network coupling implied by the physical system. GCN is therefore a useful reference point for evaluating whether more expressive aggregation mechanisms are needed.</w:t>
      </w:r>
    </w:p>
    <w:p w14:paraId="289915D7" w14:textId="77777777" w:rsidR="00E16408" w:rsidRDefault="00E16408">
      <w:pPr>
        <w:spacing w:after="160"/>
        <w:jc w:val="both"/>
        <w:rPr>
          <w:kern w:val="2"/>
          <w14:ligatures w14:val="standardContextual"/>
        </w:rPr>
      </w:pPr>
      <w:r>
        <w:t>Graph Attention Networks (GAT) (</w:t>
      </w:r>
      <w:proofErr w:type="spellStart"/>
      <w:r>
        <w:t>Veličković</w:t>
      </w:r>
      <w:proofErr w:type="spellEnd"/>
      <w:r>
        <w:t xml:space="preserve"> et al., 2018) replace uniform aggregation with learned attention weights, allowing a node to prioritise the neighbours that are most informative for the task. This is appealing for logistics graphs because connections differ materially (e.g., high-capacity pipelines versus minor routes) and because relevance can change with regime (e.g., a backup supply route becoming important during a disruption).</w:t>
      </w:r>
    </w:p>
    <w:p w14:paraId="13340383" w14:textId="77777777" w:rsidR="00E16408" w:rsidRDefault="00E16408">
      <w:pPr>
        <w:spacing w:after="160"/>
        <w:jc w:val="both"/>
        <w:rPr>
          <w:kern w:val="2"/>
          <w14:ligatures w14:val="standardContextual"/>
        </w:rPr>
      </w:pPr>
      <w:proofErr w:type="spellStart"/>
      <w:r>
        <w:t>GraphSAGE</w:t>
      </w:r>
      <w:proofErr w:type="spellEnd"/>
      <w:r>
        <w:t xml:space="preserve"> (Hamilton, Ying, and Leskovec, 2017) learns neighbourhood aggregation functions that can be applied inductively, enabling embeddings for nodes not seen during training. This matters when the network is updated (assets are added or reclassified) and we wish to embed new nodes without retraining the entire model. Neighbour sampling also improves scalability by limiting the number of messages processed per node.</w:t>
      </w:r>
    </w:p>
    <w:p w14:paraId="77105910" w14:textId="77777777" w:rsidR="00E16408" w:rsidRDefault="00E16408">
      <w:pPr>
        <w:spacing w:after="160"/>
        <w:jc w:val="both"/>
        <w:rPr>
          <w:kern w:val="2"/>
          <w14:ligatures w14:val="standardContextual"/>
        </w:rPr>
      </w:pPr>
      <w:r>
        <w:lastRenderedPageBreak/>
        <w:t>We use survey taxonomies to organise model choices and evaluation. Wu et al. (2020) provide a broad overview of spectral and spatial GNN families, while Jin et al. (2024) focus on how GNNs are adapted for time-series problems such as forecasting and imputation. These references inform the method families compared in Chapter 4 and the forecasting architectures evaluated in Chapter 5.</w:t>
      </w:r>
    </w:p>
    <w:p w14:paraId="67D6DF54" w14:textId="77777777" w:rsidR="003F03E3" w:rsidRDefault="001C6531">
      <w:pPr>
        <w:pStyle w:val="Heading2"/>
      </w:pPr>
      <w:r>
        <w:t>2.3 Temporal Graph Neural Networks</w:t>
      </w:r>
    </w:p>
    <w:p w14:paraId="67D6DF55" w14:textId="77777777" w:rsidR="003F03E3" w:rsidRDefault="001C6531">
      <w:pPr>
        <w:pStyle w:val="Heading3"/>
      </w:pPr>
      <w:r>
        <w:t>2.3.1 Discrete-Time Dynamic Graph Methods</w:t>
      </w:r>
    </w:p>
    <w:p w14:paraId="542E0296" w14:textId="77777777" w:rsidR="00E16408" w:rsidRDefault="00E16408">
      <w:pPr>
        <w:spacing w:after="160"/>
        <w:jc w:val="both"/>
        <w:rPr>
          <w:kern w:val="2"/>
          <w14:ligatures w14:val="standardContextual"/>
        </w:rPr>
      </w:pPr>
      <w:r>
        <w:t xml:space="preserve">Temporal dependence can be introduced by treating the graph as a sequence of discrete snapshots and applying a (static) GNN at each time step. Snapshot modelling matches many operational datasets that are reported weekly or monthly. </w:t>
      </w:r>
      <w:proofErr w:type="spellStart"/>
      <w:r>
        <w:t>EvolveGCN</w:t>
      </w:r>
      <w:proofErr w:type="spellEnd"/>
      <w:r>
        <w:t xml:space="preserve"> (Pareja et al., 2020) extends this idea by allowing the GCN parameters themselves to evolve through time, which can help when relationships change. For the crude-oil setting considered here, we typically assume stable feasible connectivity and represent change through time-varying node and edge features, making snapshot-based </w:t>
      </w:r>
      <w:proofErr w:type="spellStart"/>
      <w:r>
        <w:t>spatio</w:t>
      </w:r>
      <w:proofErr w:type="spellEnd"/>
      <w:r>
        <w:t>-temporal models a natural baseline.</w:t>
      </w:r>
    </w:p>
    <w:p w14:paraId="67D6DF57" w14:textId="77777777" w:rsidR="003F03E3" w:rsidRDefault="001C6531">
      <w:pPr>
        <w:pStyle w:val="Heading3"/>
      </w:pPr>
      <w:r>
        <w:t>2.3.2 Continuous-Time Dynamic Graph Methods</w:t>
      </w:r>
    </w:p>
    <w:p w14:paraId="03DC0301" w14:textId="77777777" w:rsidR="00E16408" w:rsidRDefault="00E16408">
      <w:pPr>
        <w:spacing w:after="160"/>
        <w:jc w:val="both"/>
        <w:rPr>
          <w:kern w:val="2"/>
          <w14:ligatures w14:val="standardContextual"/>
        </w:rPr>
      </w:pPr>
      <w:r>
        <w:t>Continuous-time approaches instead model a stream of timestamped interactions. TGAT (Xu et al., 2020) adapts attention to temporal graphs by adding time encodings so that messages can be weighted by both content and recency. This is useful when the influence of an event decays over time—for example, a recent inflow is typically more informative for near-term inventory than an inflow many weeks ago.</w:t>
      </w:r>
    </w:p>
    <w:p w14:paraId="61C58813" w14:textId="77777777" w:rsidR="00E16408" w:rsidRDefault="00E16408">
      <w:pPr>
        <w:spacing w:after="160"/>
        <w:jc w:val="both"/>
        <w:rPr>
          <w:kern w:val="2"/>
          <w14:ligatures w14:val="standardContextual"/>
        </w:rPr>
      </w:pPr>
      <w:r>
        <w:t>Temporal Graph Networks (TGN) (Rossi et al., 2020) generalise event-based learning by maintaining a memory state for each node that is updated whenever an interaction occurs. The memory acts as a learnable summary of recent history, which is conceptually aligned with inventory dynamics: current stock levels depend on accumulated inflows and outflows, not only on the most recent observation.</w:t>
      </w:r>
    </w:p>
    <w:p w14:paraId="2B957428" w14:textId="77777777" w:rsidR="00E16408" w:rsidRDefault="00E16408">
      <w:pPr>
        <w:spacing w:after="160"/>
        <w:jc w:val="both"/>
        <w:rPr>
          <w:kern w:val="2"/>
          <w14:ligatures w14:val="standardContextual"/>
        </w:rPr>
      </w:pPr>
      <w:r>
        <w:t>CAW (Wang et al., 2021) represents temporal structure using causally ordered anonymous walks. By focusing on interaction patterns (motifs) rather than node identities, CAW can learn reusable temporal signatures—such as build-then-draw cycles—that may transfer across different parts of a logistics network.</w:t>
      </w:r>
    </w:p>
    <w:p w14:paraId="67D6DF5B" w14:textId="77777777" w:rsidR="003F03E3" w:rsidRDefault="001C6531">
      <w:pPr>
        <w:pStyle w:val="Heading3"/>
      </w:pPr>
      <w:r>
        <w:t>2.3.3 Hybrid Temporal-Graph Approaches</w:t>
      </w:r>
    </w:p>
    <w:p w14:paraId="5DB96CAA" w14:textId="77777777" w:rsidR="00E16408" w:rsidRDefault="00E16408">
      <w:pPr>
        <w:spacing w:after="160"/>
        <w:jc w:val="both"/>
        <w:rPr>
          <w:kern w:val="2"/>
          <w14:ligatures w14:val="standardContextual"/>
        </w:rPr>
      </w:pPr>
      <w:r>
        <w:t xml:space="preserve">Hybrid </w:t>
      </w:r>
      <w:proofErr w:type="spellStart"/>
      <w:r>
        <w:t>spatio</w:t>
      </w:r>
      <w:proofErr w:type="spellEnd"/>
      <w:r>
        <w:t xml:space="preserve">-temporal models combine a graph component for spatial dependence with a sequence component for temporal dependence. DCRNN (Li et al., 2018) </w:t>
      </w:r>
      <w:proofErr w:type="gramStart"/>
      <w:r>
        <w:t>models</w:t>
      </w:r>
      <w:proofErr w:type="gramEnd"/>
      <w:r>
        <w:t xml:space="preserve"> propagation on a directed graph as diffusion and uses an encoder–decoder recurrent structure for multi-step forecasting. STGCN (Yu et al., 2018) alternates graph convolutions with temporal convolutions, reducing the cost of recurrent processing while retaining strong forecasting performance. These architectures provide practical templates for logistics forecasting, where both connectivity and temporal evolution matter.</w:t>
      </w:r>
    </w:p>
    <w:p w14:paraId="50E41A48" w14:textId="77777777" w:rsidR="00E16408" w:rsidRDefault="00E16408">
      <w:pPr>
        <w:spacing w:after="160"/>
        <w:jc w:val="both"/>
        <w:rPr>
          <w:kern w:val="2"/>
          <w14:ligatures w14:val="standardContextual"/>
        </w:rPr>
      </w:pPr>
      <w:r>
        <w:t xml:space="preserve">Most empirical work on these models has focused on domains such as traffic and energy demand. Applications to commodity logistics are less common, particularly when the objective is not only to forecast inventories but to do so under operational targets and physical constraints. In this thesis, the landscape summarised in Figure </w:t>
      </w:r>
      <w:r>
        <w:lastRenderedPageBreak/>
        <w:t>2.1 motivates the candidate vectorisation and forecasting architectures evaluated in Chapters 4 and 5.</w:t>
      </w:r>
    </w:p>
    <w:p w14:paraId="67D6DF5E" w14:textId="5D2843DD" w:rsidR="003F03E3" w:rsidRDefault="001C6531">
      <w:pPr>
        <w:pStyle w:val="Heading2"/>
      </w:pPr>
      <w:r>
        <w:t xml:space="preserve">2.4 Supply-Chain </w:t>
      </w:r>
      <w:proofErr w:type="spellStart"/>
      <w:r>
        <w:t>Modeling</w:t>
      </w:r>
      <w:proofErr w:type="spellEnd"/>
      <w:r>
        <w:t xml:space="preserve"> as Graph Problem</w:t>
      </w:r>
    </w:p>
    <w:p w14:paraId="67D6DF5F" w14:textId="77777777" w:rsidR="003F03E3" w:rsidRDefault="001C6531">
      <w:pPr>
        <w:pStyle w:val="Heading3"/>
      </w:pPr>
      <w:r>
        <w:t>2.4.1 Traditional Supply-Chain Optimization</w:t>
      </w:r>
    </w:p>
    <w:p w14:paraId="759AAF3F" w14:textId="77777777" w:rsidR="00393919" w:rsidRDefault="00393919">
      <w:pPr>
        <w:spacing w:after="160"/>
        <w:jc w:val="both"/>
        <w:rPr>
          <w:kern w:val="2"/>
          <w14:ligatures w14:val="standardContextual"/>
        </w:rPr>
      </w:pPr>
      <w:r>
        <w:t>Supply-chain modelling has long used network abstractions in operations research. Facilities are represented as nodes and transportation links as edges with costs, capacities, and lead times. Mixed-integer linear programming (MILP) and related formulations support decisions such as facility location, capacity expansion, production planning, and inventory positioning across multiple echelons.</w:t>
      </w:r>
    </w:p>
    <w:p w14:paraId="5640550D" w14:textId="77777777" w:rsidR="00393919" w:rsidRDefault="00393919">
      <w:pPr>
        <w:spacing w:after="160"/>
        <w:jc w:val="both"/>
        <w:rPr>
          <w:kern w:val="2"/>
          <w14:ligatures w14:val="standardContextual"/>
        </w:rPr>
      </w:pPr>
      <w:r>
        <w:t xml:space="preserve">Within petroleum supply chains, optimisation models have addressed refinery planning, pipeline scheduling, and multimodal distribution. Fernandes, </w:t>
      </w:r>
      <w:proofErr w:type="spellStart"/>
      <w:r>
        <w:t>Relvas</w:t>
      </w:r>
      <w:proofErr w:type="spellEnd"/>
      <w:r>
        <w:t>, and Barbosa-</w:t>
      </w:r>
      <w:proofErr w:type="spellStart"/>
      <w:r>
        <w:t>Póvoa</w:t>
      </w:r>
      <w:proofErr w:type="spellEnd"/>
      <w:r>
        <w:t xml:space="preserve"> (2013) formulate a deterministic MILP for strategic design of downstream petroleum networks. Kazemi and </w:t>
      </w:r>
      <w:proofErr w:type="spellStart"/>
      <w:r>
        <w:t>Szmerekovsky</w:t>
      </w:r>
      <w:proofErr w:type="spellEnd"/>
      <w:r>
        <w:t xml:space="preserve"> (2015) develop a multi-echelon, multimodal MILP for the U.S. downstream system, highlighting the value of representing multiple transport modes. </w:t>
      </w:r>
      <w:proofErr w:type="spellStart"/>
      <w:r>
        <w:t>Ghaithan</w:t>
      </w:r>
      <w:proofErr w:type="spellEnd"/>
      <w:r>
        <w:t xml:space="preserve">, Attia, and </w:t>
      </w:r>
      <w:proofErr w:type="spellStart"/>
      <w:r>
        <w:t>Duffuaa</w:t>
      </w:r>
      <w:proofErr w:type="spellEnd"/>
      <w:r>
        <w:t xml:space="preserve"> (2017) propose a multi-objective model for tactical planning of integrated oil and gas chains. Ribas, Hamacher, and Street (2010) model uncertainty using stochastic and robust programming, and Lima, </w:t>
      </w:r>
      <w:proofErr w:type="spellStart"/>
      <w:r>
        <w:t>Relvas</w:t>
      </w:r>
      <w:proofErr w:type="spellEnd"/>
      <w:r>
        <w:t>, and Barbosa-</w:t>
      </w:r>
      <w:proofErr w:type="spellStart"/>
      <w:r>
        <w:t>Póvoa</w:t>
      </w:r>
      <w:proofErr w:type="spellEnd"/>
      <w:r>
        <w:t xml:space="preserve"> (2016) review downstream oil supply-chain management and common modelling choices. These approaches provide strong constraint handling and interpretability, but their predictive performance depends on the quality of exogenous inputs (demand, availability, disruptions). This motivates complementary data-driven models that can learn patterns directly from historical observations.</w:t>
      </w:r>
    </w:p>
    <w:p w14:paraId="67D6DF62" w14:textId="77777777" w:rsidR="003F03E3" w:rsidRDefault="001C6531">
      <w:pPr>
        <w:pStyle w:val="Heading3"/>
      </w:pPr>
      <w:r>
        <w:t>2.4.2 Graph Neural Networks for Supply Chains</w:t>
      </w:r>
    </w:p>
    <w:p w14:paraId="241F7C40" w14:textId="0CC77AC1" w:rsidR="00C52159" w:rsidRDefault="001C6531">
      <w:pPr>
        <w:spacing w:after="160"/>
        <w:jc w:val="both"/>
      </w:pPr>
      <w:r>
        <w:t xml:space="preserve">GNN applications to supply-chain problems are recent but growing fast. Kosasih and </w:t>
      </w:r>
      <w:proofErr w:type="spellStart"/>
      <w:r>
        <w:t>Brintrup</w:t>
      </w:r>
      <w:proofErr w:type="spellEnd"/>
      <w:r>
        <w:t xml:space="preserve"> (2022) showed that GNNs could predict hidden links in supply-chain networks, uncovering latent dependencies that traditional methods miss. The </w:t>
      </w:r>
      <w:proofErr w:type="spellStart"/>
      <w:r>
        <w:t>SupplyGraph</w:t>
      </w:r>
      <w:proofErr w:type="spellEnd"/>
      <w:r>
        <w:t xml:space="preserve"> dataset, introduced by Wasi et al. (2024), provided the first benchmark specifically designed for evaluating GNN-based supply-chain analytics, covering demand forecasting, production planning, and product classification. Evaluations on this benchmark have consistently shown that GNN-based models — particularly those incorporating temporal features — outperform traditional baselines including multilayer </w:t>
      </w:r>
      <w:proofErr w:type="spellStart"/>
      <w:r>
        <w:t>perceptrons</w:t>
      </w:r>
      <w:proofErr w:type="spellEnd"/>
      <w:r>
        <w:t xml:space="preserve"> and isolated LSTM models.</w:t>
      </w:r>
    </w:p>
    <w:p w14:paraId="67D6DF64" w14:textId="77777777" w:rsidR="003F03E3" w:rsidRDefault="001C6531">
      <w:pPr>
        <w:spacing w:after="160"/>
        <w:jc w:val="both"/>
      </w:pPr>
      <w:r>
        <w:t xml:space="preserve">Several recent studies illustrate the potential of GNNs for supply-chain inventory optimisation. Alves and Mateus (2020) showed that modelling a multi-echelon supply chain as a graph and training a GNN on historical demand and lead-time data enables prediction of optimal inventory levels for each node, identification of bottleneck locations where stockouts are likely, and recommendations for corrective actions such as redistributing stock. Ahn, Song, Olivar, et al. (2024) developed a GNN-based probabilistic model for supply and inventory prediction using historical data from a global consumer goods company, showing that an attention-based graph architecture significantly improved prediction accuracy by capturing cascading effects across nodes. Dong and Samonte (2024) further confirmed the benefits of GNN-based optimisation for production supply chain networks. This network-wide perspective represents a fundamental advantage over traditional inventory models — economic </w:t>
      </w:r>
      <w:r>
        <w:lastRenderedPageBreak/>
        <w:t>order quantity or just-in-time approaches — that optimise individual nodes without considering their interdependencies (Alves and Mateus, 2020; Ahn et al., 2024).</w:t>
      </w:r>
    </w:p>
    <w:p w14:paraId="67D6DF65" w14:textId="77777777" w:rsidR="003F03E3" w:rsidRDefault="001C6531">
      <w:pPr>
        <w:pStyle w:val="Heading2"/>
      </w:pPr>
      <w:r>
        <w:t>2.5 Inventory Management and Mean Reversion</w:t>
      </w:r>
    </w:p>
    <w:p w14:paraId="67D6DF66" w14:textId="77777777" w:rsidR="003F03E3" w:rsidRDefault="001C6531">
      <w:pPr>
        <w:pStyle w:val="Heading3"/>
      </w:pPr>
      <w:r>
        <w:t>2.5.1 Mean Reversion in Commodity Markets</w:t>
      </w:r>
    </w:p>
    <w:p w14:paraId="67D6DF67" w14:textId="77777777" w:rsidR="003F03E3" w:rsidRDefault="001C6531">
      <w:pPr>
        <w:spacing w:after="160"/>
        <w:jc w:val="both"/>
      </w:pPr>
      <w:r>
        <w:t>Mean reversion — the tendency of a variable to drift back toward its long-run average — is well established in commodity markets and has been applied to crude-oil prices, production levels, and inventory management. In the inventory context, mean reversion functions as both a descriptive model of observed behaviour (stocks fluctuate around operational targets) and a prescriptive objective (keeping stocks near historical averages minimises both carrying costs and stockout risks).</w:t>
      </w:r>
    </w:p>
    <w:p w14:paraId="67D6DF68" w14:textId="77777777" w:rsidR="003F03E3" w:rsidRDefault="001C6531">
      <w:pPr>
        <w:spacing w:after="160"/>
        <w:jc w:val="both"/>
      </w:pPr>
      <w:r>
        <w:t>The Ornstein-</w:t>
      </w:r>
      <w:proofErr w:type="spellStart"/>
      <w:r>
        <w:t>Uhlenbeck</w:t>
      </w:r>
      <w:proofErr w:type="spellEnd"/>
      <w:r>
        <w:t xml:space="preserve"> process (</w:t>
      </w:r>
      <w:proofErr w:type="spellStart"/>
      <w:r>
        <w:t>Uhlenbeck</w:t>
      </w:r>
      <w:proofErr w:type="spellEnd"/>
      <w:r>
        <w:t xml:space="preserve"> and Ornstein, 1930) provides a classical continuous-time formulation of mean reversion, modelling the inventory level at each node as a stochastic process pulled toward a long-run mean at a rate proportional to its current deviation. Developed originally in physics, this process entered finance through the Vasicek (1977) interest rate model and was subsequently applied to commodity prices by Schwartz (1997) and Dixit and Pindyck (1994), who demonstrated its suitability for modelling crude-oil prices driven by supply-demand equilibrium forces. In discrete time, the Ornstein-</w:t>
      </w:r>
      <w:proofErr w:type="spellStart"/>
      <w:r>
        <w:t>Uhlenbeck</w:t>
      </w:r>
      <w:proofErr w:type="spellEnd"/>
      <w:r>
        <w:t xml:space="preserve"> process corresponds to an </w:t>
      </w:r>
      <w:proofErr w:type="gramStart"/>
      <w:r>
        <w:t>AR(</w:t>
      </w:r>
      <w:proofErr w:type="gramEnd"/>
      <w:r>
        <w:t>1) process with a coefficient less than one (Hamilton, 1994). These models capture the essence of mean-reverting behaviour, but they operate on individual time series and cannot account for the network structure that governs how flows between nodes affect each node's inventory — precisely the limitation that graph-based approaches are positioned to address.</w:t>
      </w:r>
    </w:p>
    <w:p w14:paraId="67D6DF69" w14:textId="77777777" w:rsidR="003F03E3" w:rsidRDefault="001C6531">
      <w:pPr>
        <w:pStyle w:val="Heading3"/>
      </w:pPr>
      <w:r>
        <w:t>2.5.2 Network-Level Inventory Conservation</w:t>
      </w:r>
    </w:p>
    <w:p w14:paraId="67D6DF6A" w14:textId="77777777" w:rsidR="003F03E3" w:rsidRDefault="001C6531">
      <w:pPr>
        <w:spacing w:after="160"/>
        <w:jc w:val="both"/>
      </w:pPr>
      <w:r>
        <w:t xml:space="preserve">At the network level, inventory conservation imposes a universal physical constraint on every node regardless of type — fixed assets such as terminals and refineries, and mobile assets such as vessels. For each node and each product, the change in inventory over any period must equal the difference between total inflows (production plus incoming shipments) and total outflows (consumption plus outgoing shipments). For a vessel node, this means the change in cargo level equals what was loaded at origin minus what was discharged at destination. Formally, for node </w:t>
      </w:r>
      <w:proofErr w:type="spellStart"/>
      <w:r>
        <w:t>i</w:t>
      </w:r>
      <w:proofErr w:type="spellEnd"/>
      <w:r>
        <w:t xml:space="preserve"> at time t:</w:t>
      </w:r>
    </w:p>
    <w:p w14:paraId="67D6DF6B" w14:textId="77777777" w:rsidR="003F03E3" w:rsidRDefault="001C6531">
      <w:pPr>
        <w:spacing w:after="160"/>
        <w:jc w:val="center"/>
      </w:pPr>
      <w:proofErr w:type="gramStart"/>
      <w:r>
        <w:rPr>
          <w:rFonts w:ascii="Courier New" w:eastAsia="Courier New" w:hAnsi="Courier New" w:cs="Courier New"/>
          <w:sz w:val="22"/>
          <w:szCs w:val="22"/>
        </w:rPr>
        <w:t>I(</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t) = </w:t>
      </w:r>
      <w:proofErr w:type="gramStart"/>
      <w:r>
        <w:rPr>
          <w:rFonts w:ascii="Courier New" w:eastAsia="Courier New" w:hAnsi="Courier New" w:cs="Courier New"/>
          <w:sz w:val="22"/>
          <w:szCs w:val="22"/>
        </w:rPr>
        <w:t>I(</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t−1) + </w:t>
      </w:r>
      <w:proofErr w:type="gramStart"/>
      <w:r>
        <w:rPr>
          <w:rFonts w:ascii="Courier New" w:eastAsia="Courier New" w:hAnsi="Courier New" w:cs="Courier New"/>
          <w:sz w:val="22"/>
          <w:szCs w:val="22"/>
        </w:rPr>
        <w:t>P(</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t) + </w:t>
      </w:r>
      <w:proofErr w:type="gramStart"/>
      <w:r>
        <w:rPr>
          <w:rFonts w:ascii="Courier New" w:eastAsia="Courier New" w:hAnsi="Courier New" w:cs="Courier New"/>
          <w:sz w:val="22"/>
          <w:szCs w:val="22"/>
        </w:rPr>
        <w:t>Fᵢₙ(</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t) – </w:t>
      </w:r>
      <w:proofErr w:type="gramStart"/>
      <w:r>
        <w:rPr>
          <w:rFonts w:ascii="Courier New" w:eastAsia="Courier New" w:hAnsi="Courier New" w:cs="Courier New"/>
          <w:sz w:val="22"/>
          <w:szCs w:val="22"/>
        </w:rPr>
        <w:t>C(</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t) – </w:t>
      </w:r>
      <w:proofErr w:type="gramStart"/>
      <w:r>
        <w:rPr>
          <w:rFonts w:ascii="Courier New" w:eastAsia="Courier New" w:hAnsi="Courier New" w:cs="Courier New"/>
          <w:sz w:val="22"/>
          <w:szCs w:val="22"/>
        </w:rPr>
        <w:t>Fₒᵤₜ(</w:t>
      </w:r>
      <w:proofErr w:type="spellStart"/>
      <w:proofErr w:type="gramEnd"/>
      <w:r>
        <w:rPr>
          <w:rFonts w:ascii="Courier New" w:eastAsia="Courier New" w:hAnsi="Courier New" w:cs="Courier New"/>
          <w:sz w:val="22"/>
          <w:szCs w:val="22"/>
        </w:rPr>
        <w:t>i</w:t>
      </w:r>
      <w:proofErr w:type="spellEnd"/>
      <w:r>
        <w:rPr>
          <w:rFonts w:ascii="Courier New" w:eastAsia="Courier New" w:hAnsi="Courier New" w:cs="Courier New"/>
          <w:sz w:val="22"/>
          <w:szCs w:val="22"/>
        </w:rPr>
        <w:t>, t)</w:t>
      </w:r>
    </w:p>
    <w:p w14:paraId="67D6DF6C" w14:textId="77777777" w:rsidR="003F03E3" w:rsidRDefault="001C6531">
      <w:pPr>
        <w:spacing w:after="160"/>
        <w:jc w:val="both"/>
      </w:pPr>
      <w:r>
        <w:t xml:space="preserve">where I </w:t>
      </w:r>
      <w:proofErr w:type="gramStart"/>
      <w:r>
        <w:t>denotes</w:t>
      </w:r>
      <w:proofErr w:type="gramEnd"/>
      <w:r>
        <w:t xml:space="preserve"> inventory, P denotes production, C denotes consumption, and Fᵢₙ and Fₒᵤₜ denote aggregate inflows and outflows respectively. Applied across all nodes and edges of the graph, this conservation equation creates a system of coupled constraints linking the temporal dynamics of individual nodes through the network structure. Any forecasting model targeting inventory levels must respect this physical constraint — either explicitly through architectural design or implicitly through training on data that already obeys it.</w:t>
      </w:r>
    </w:p>
    <w:p w14:paraId="67D6DF6D" w14:textId="77777777" w:rsidR="003F03E3" w:rsidRDefault="001C6531">
      <w:pPr>
        <w:spacing w:after="160"/>
        <w:jc w:val="both"/>
      </w:pPr>
      <w:r>
        <w:t xml:space="preserve">The mean-reversion objective follows directly: for each node </w:t>
      </w:r>
      <w:proofErr w:type="spellStart"/>
      <w:r>
        <w:t>i</w:t>
      </w:r>
      <w:proofErr w:type="spellEnd"/>
      <w:r>
        <w:t>, the target inventory level I*(</w:t>
      </w:r>
      <w:proofErr w:type="spellStart"/>
      <w:r>
        <w:t>i</w:t>
      </w:r>
      <w:proofErr w:type="spellEnd"/>
      <w:r>
        <w:t>) equals the historical average inventory Ā(I(</w:t>
      </w:r>
      <w:proofErr w:type="spellStart"/>
      <w:r>
        <w:t>i</w:t>
      </w:r>
      <w:proofErr w:type="spellEnd"/>
      <w:r>
        <w:t xml:space="preserve">)), and the model should forecast the flow adjustments — changes in Fᵢₙ and Fₒᵤₜ for each edge — that would drive the system toward this target. The graph structure determines which flows can be </w:t>
      </w:r>
      <w:r>
        <w:lastRenderedPageBreak/>
        <w:t>adjusted; the temporal dynamics determine how fast adjustments propagate; the optimisation objective defines where the system should end up.</w:t>
      </w:r>
    </w:p>
    <w:p w14:paraId="67D6DF6E" w14:textId="77777777" w:rsidR="003F03E3" w:rsidRDefault="001C6531">
      <w:pPr>
        <w:pStyle w:val="Heading2"/>
      </w:pPr>
      <w:r>
        <w:t>2.6 Synthesis and Research Gap</w:t>
      </w:r>
    </w:p>
    <w:p w14:paraId="67D6DF6F" w14:textId="77777777" w:rsidR="003F03E3" w:rsidRDefault="001C6531">
      <w:pPr>
        <w:spacing w:after="160"/>
        <w:jc w:val="both"/>
      </w:pPr>
      <w:r>
        <w:t>The literature reviewed above points toward a gap that is less about missing methods than about missing integration. The representational question — what should constitute a node and an edge in a logistics graph — has a clearer answer than the supply-chain GNN literature acknowledges. The asset-centric convention, where every named physical asset is a node, all potential edges are permanent, and inactive flows are zero, is both more principled and more extensible than the location-centric alternative inherited from traffic forecasting. That choice cascades into everything else.</w:t>
      </w:r>
    </w:p>
    <w:p w14:paraId="67D6DF70" w14:textId="77777777" w:rsidR="003F03E3" w:rsidRDefault="001C6531">
      <w:pPr>
        <w:spacing w:after="160"/>
        <w:jc w:val="both"/>
      </w:pPr>
      <w:r>
        <w:t xml:space="preserve">On representation learning, the methods reviewed in Section 2.2 — from structural embeddings such as node2vec and </w:t>
      </w:r>
      <w:proofErr w:type="spellStart"/>
      <w:r>
        <w:t>DeepWalk</w:t>
      </w:r>
      <w:proofErr w:type="spellEnd"/>
      <w:r>
        <w:t xml:space="preserve"> to spatial GNNs including GCN, GAT, and </w:t>
      </w:r>
      <w:proofErr w:type="spellStart"/>
      <w:r>
        <w:t>GraphSAGE</w:t>
      </w:r>
      <w:proofErr w:type="spellEnd"/>
      <w:r>
        <w:t xml:space="preserve"> — provide the tools for encoding the relational structure of the asset network into machine-learnable vectors. In an asset-centric network with a stable adjacency matrix and zero-valued inactive edges, these methods apply without architectural modification. GAT's attention mechanism is particularly relevant, allowing the model to learn which neighbouring assets are most informative for each node — a vessel's cargo level may be more predictive for a destination terminal than for an unrelated refinery. </w:t>
      </w:r>
      <w:proofErr w:type="spellStart"/>
      <w:r>
        <w:t>GraphSAGE's</w:t>
      </w:r>
      <w:proofErr w:type="spellEnd"/>
      <w:r>
        <w:t xml:space="preserve"> inductive capability matters for the same reason: new assets can be accommodated without retraining.</w:t>
      </w:r>
    </w:p>
    <w:p w14:paraId="01D6DF70" w14:textId="77777777" w:rsidR="003F03E3" w:rsidRDefault="001C6531">
      <w:pPr>
        <w:spacing w:after="160"/>
        <w:jc w:val="both"/>
      </w:pPr>
      <w:r>
        <w:t>Temporally, discrete-time snapshot methods apply directly to the stable-topology asset-centric graph, while continuous-time methods such as TGN offer richer node memory that can track each asset's cumulative flow history. The hybrid approaches — DCRNN and STGCN in particular — provide validated architectures for combining spatial graph convolution with temporal sequence modelling and are the primary candidates for this thesis. None of them, however, has been applied to a network where vessel nodes carry cargo inventory as a first-class tracked variable, leaving their behaviour in this setting as an open empirical question.</w:t>
      </w:r>
    </w:p>
    <w:p w14:paraId="01D6DF71" w14:textId="77777777" w:rsidR="003F03E3" w:rsidRDefault="001C6531">
      <w:pPr>
        <w:spacing w:after="160"/>
        <w:jc w:val="both"/>
      </w:pPr>
      <w:r>
        <w:t>The operational objective is grounded in an established empirical observation: crude-oil stock levels exhibit mean-reverting behaviour, driven by the physical rigidity of supply and the imperative to avoid both feedstock shortfalls and excess storage costs. The Ornstein-</w:t>
      </w:r>
      <w:proofErr w:type="spellStart"/>
      <w:r>
        <w:t>Uhlenbeck</w:t>
      </w:r>
      <w:proofErr w:type="spellEnd"/>
      <w:r>
        <w:t xml:space="preserve"> and Vasicek frameworks provide the theoretical grounding, while the network-level inventory conservation constraint means the mass balance must hold across all nodes simultaneously — including vessel nodes in transit. Prior mean-reversion models treat each node's inventory in isolation; this network-wide constraint is absent from all of them.</w:t>
      </w:r>
    </w:p>
    <w:p w14:paraId="01D6DF72" w14:textId="77777777" w:rsidR="003F03E3" w:rsidRDefault="001C6531">
      <w:pPr>
        <w:spacing w:after="160"/>
        <w:jc w:val="both"/>
      </w:pPr>
      <w:r>
        <w:t>The specific research gap is this: no existing work combines an asset-centric graph representation of a crude-oil logistics network — where both fixed infrastructure and maritime vessels are first-class nodes with trackable inventories — with temporal GNN methods for forecasting inventory levels under a network-wide mean-reversion objective. The supply-chain GNN literature has stayed with location-centric representations. Temporal GNN methods have not been tested on commodity flow networks with physical conservation constraints. Mean-reversion models have treated each node's inventory independently, without graph structure. The present research brings these together, with the asset-centric graph schema defined in Chapter 3 as the foundation.</w:t>
      </w:r>
    </w:p>
    <w:p w14:paraId="67D6DF71" w14:textId="77777777" w:rsidR="003F03E3" w:rsidRDefault="001C6531">
      <w:pPr>
        <w:pStyle w:val="Heading1"/>
      </w:pPr>
      <w:r>
        <w:lastRenderedPageBreak/>
        <w:t>3. Graph Schema Design for Crude-Oil Logistics Networks</w:t>
      </w:r>
    </w:p>
    <w:p w14:paraId="67D6DF72" w14:textId="77777777" w:rsidR="003F03E3" w:rsidRDefault="001C6531">
      <w:pPr>
        <w:pStyle w:val="Heading2"/>
      </w:pPr>
      <w:r>
        <w:t>3.1 Overview of the Graph Representation</w:t>
      </w:r>
    </w:p>
    <w:p w14:paraId="19D17ECA" w14:textId="77777777" w:rsidR="009E55C2" w:rsidRDefault="009E55C2">
      <w:pPr>
        <w:spacing w:after="160"/>
        <w:jc w:val="both"/>
        <w:rPr>
          <w:kern w:val="2"/>
          <w14:ligatures w14:val="standardContextual"/>
        </w:rPr>
      </w:pPr>
      <w:r>
        <w:t>Applying graph-based methods to a logistics network requires an explicit schema: which asset types appear as nodes, which pathways appear as edges, and which attributes are carried by each. The schema must be rich enough to preserve the operational logic of the crude-oil system (flows, capacities, delays, inventories) while remaining simple enough to support scalable learning and forecasting. In this chapter we define a directed, weighted graph representation at the regional level, aligned with the granularity of the available data, and we make the design decisions needed to keep the topology stable through time.</w:t>
      </w:r>
    </w:p>
    <w:p w14:paraId="67D6DF74" w14:textId="77777777" w:rsidR="003F03E3" w:rsidRDefault="001C6531">
      <w:pPr>
        <w:pStyle w:val="Heading3"/>
      </w:pPr>
      <w:r>
        <w:t>3.1.1 Physical Flow Structure of Crude-Oil Networks</w:t>
      </w:r>
    </w:p>
    <w:p w14:paraId="08237E06" w14:textId="77777777" w:rsidR="00467226" w:rsidRPr="00467226" w:rsidRDefault="00467226" w:rsidP="00467226">
      <w:pPr>
        <w:spacing w:after="160"/>
        <w:jc w:val="both"/>
      </w:pPr>
      <w:r>
        <w:t>Before formalising the schema, it helps to trace the physical journey of crude oil through the supply chain, since the graph structure is ultimately a faithful abstraction of these material flows.</w:t>
      </w:r>
    </w:p>
    <w:p w14:paraId="54A657C9" w14:textId="77777777" w:rsidR="00467226" w:rsidRPr="00467226" w:rsidRDefault="00467226" w:rsidP="00467226">
      <w:pPr>
        <w:spacing w:after="160"/>
        <w:jc w:val="both"/>
      </w:pPr>
      <w:r>
        <w:t>Crude oil originates at three principal categories of production asset: onshore wells, offshore platforms (fixed rigs and FPSOs), and unconventional shale or tight-oil formations exploited through hydraulic fracturing. These assets differ in production profile and logistical constraints but share the same role in the graph — source nodes that generate flow with no upstream crude inflow.</w:t>
      </w:r>
    </w:p>
    <w:p w14:paraId="0C82AF49" w14:textId="77777777" w:rsidR="00467226" w:rsidRPr="00467226" w:rsidRDefault="00467226" w:rsidP="00467226">
      <w:pPr>
        <w:spacing w:after="160"/>
        <w:jc w:val="both"/>
      </w:pPr>
      <w:r>
        <w:t xml:space="preserve">From the gathering hub, crude moves via one of three transport modes. Pipelines dominate in most mature producing regions, carrying crude continuously through trunk and feeder lines at low marginal cost over long distances. Where pipeline infrastructure does not reach — or where cross-ocean movements are required — maritime tankers take over, ranging from VLCCs on long-haul routes to Aframax and </w:t>
      </w:r>
      <w:proofErr w:type="spellStart"/>
      <w:r>
        <w:t>Suezmax</w:t>
      </w:r>
      <w:proofErr w:type="spellEnd"/>
      <w:r>
        <w:t xml:space="preserve"> vessels on regional trades. Rail and truck transport plays a supplementary role, primarily for short-haul movements and in regions where pipeline access is limited, such as the Permian Basin during periods of rapid capacity growth.</w:t>
      </w:r>
    </w:p>
    <w:p w14:paraId="0C8B4144" w14:textId="77777777" w:rsidR="00467226" w:rsidRPr="00467226" w:rsidRDefault="00467226" w:rsidP="00467226">
      <w:pPr>
        <w:spacing w:after="160"/>
        <w:jc w:val="both"/>
      </w:pPr>
      <w:r>
        <w:t>A fundamental routing decision occurs at this midstream stage — one central to the inventory dynamics this thesis models. Crude can flow directly to a refinery, bypassing intermediate storage, or it can be injected into a storage terminal or strategic petroleum reserve (SPR) first. The direct route is preferred when refinery demand is strong and transportation is tightly coordinated, minimising holding costs. The storage route is preferred when supply exceeds immediate refinery demand, when prices favour contango strategies, or when operators are building buffer stocks against anticipated disruptions. This switching behaviour — and its effect on inventory levels at storage nodes — is precisely what drives the mean-reversion dynamics the model is designed to forecast.</w:t>
      </w:r>
    </w:p>
    <w:p w14:paraId="55537497" w14:textId="77777777" w:rsidR="00467226" w:rsidRPr="00467226" w:rsidRDefault="00467226" w:rsidP="00467226">
      <w:pPr>
        <w:spacing w:after="160"/>
        <w:jc w:val="both"/>
      </w:pPr>
      <w:r>
        <w:t>Crude is released from storage to refineries as operational requirements dictate. The refinery is the transformation node of the network: it converts raw crude into a slate of refined products through distillation, fluid catalytic cracking (FCC), reforming, and other processes. Gasoline, diesel and jet fuel, LPG, naphtha and petrochemical feedstocks, and heavy fuel oil then flow onward to their respective end-use markets.</w:t>
      </w:r>
    </w:p>
    <w:p w14:paraId="34900F83" w14:textId="77777777" w:rsidR="00467226" w:rsidRPr="00467226" w:rsidRDefault="00467226" w:rsidP="00467226">
      <w:pPr>
        <w:spacing w:after="160"/>
        <w:jc w:val="both"/>
      </w:pPr>
      <w:r>
        <w:t xml:space="preserve">The topology shown in Figure 3.1 is not a simple linear chain — several structural features have direct consequences for the graph model. The gathering hub is a </w:t>
      </w:r>
      <w:r>
        <w:lastRenderedPageBreak/>
        <w:t>convergence point whose state depends on the combined output of multiple upstream nodes. The three transport modes create parallel paths between the same origin-destination pairs, with different transit times, capacities, and costs; disrupting one mode redistributes flow onto the others. The optional storage layer introduces time-buffering: crude entering a terminal at time t may not reach a refinery until time t + τ, where τ depends on operational priorities and price signals. The refinery itself drives demand backwards through the network — a turnaround or capacity change propagates upstream as reduced offtake, affecting storage levels and ultimately upstream production scheduling.</w:t>
      </w:r>
    </w:p>
    <w:p w14:paraId="15AFD123" w14:textId="77777777" w:rsidR="00467226" w:rsidRPr="00467226" w:rsidRDefault="00467226" w:rsidP="00467226">
      <w:pPr>
        <w:spacing w:after="160"/>
        <w:jc w:val="both"/>
      </w:pPr>
      <w:r>
        <w:t>A graph naturally encodes convergence through node fan-in, parallelism through multiple edges between node pairs, time-buffering through edge transit-time attributes, and bidirectional influence through the GNN message-passing mechanism.</w:t>
      </w:r>
    </w:p>
    <w:p w14:paraId="14F6D634" w14:textId="77777777" w:rsidR="00467226" w:rsidRPr="00467226" w:rsidRDefault="00467226" w:rsidP="00467226">
      <w:pPr>
        <w:spacing w:after="160"/>
        <w:jc w:val="both"/>
        <w:rPr>
          <w:b/>
          <w:bCs/>
        </w:rPr>
      </w:pPr>
      <w:r>
        <w:rPr>
          <w:b/>
          <w:bCs/>
        </w:rPr>
        <w:t>3.1.2 From Physical Network to Graph Schema</w:t>
      </w:r>
    </w:p>
    <w:p w14:paraId="57FE5477" w14:textId="77777777" w:rsidR="00467226" w:rsidRPr="00467226" w:rsidRDefault="00467226" w:rsidP="00467226">
      <w:pPr>
        <w:spacing w:after="160"/>
        <w:jc w:val="both"/>
      </w:pPr>
      <w:r>
        <w:t xml:space="preserve">The logistics network is modelled as a directed, weighted graph </w:t>
      </w:r>
      <w:r>
        <w:rPr>
          <w:i/>
          <w:iCs/>
        </w:rPr>
        <w:t>G</w:t>
      </w:r>
      <w:r>
        <w:t xml:space="preserve"> = (</w:t>
      </w:r>
      <w:r>
        <w:rPr>
          <w:i/>
          <w:iCs/>
        </w:rPr>
        <w:t>V</w:t>
      </w:r>
      <w:r>
        <w:t xml:space="preserve">, </w:t>
      </w:r>
      <w:r>
        <w:rPr>
          <w:i/>
          <w:iCs/>
        </w:rPr>
        <w:t>E</w:t>
      </w:r>
      <w:r>
        <w:t xml:space="preserve">), where nodes correspond to operational assets and edges encode the physical or contractual connections among them. The node set </w:t>
      </w:r>
      <w:r>
        <w:rPr>
          <w:i/>
          <w:iCs/>
        </w:rPr>
        <w:t>V</w:t>
      </w:r>
      <w:r>
        <w:t xml:space="preserve"> is partitioned into five functional types—production, storage, transit, refinery, and consumption—each characterised by a common set of time-varying variables. Edges carry flow rates, transit times, and capacity utilisation. The full schema is detailed in the sections that follow.</w:t>
      </w:r>
    </w:p>
    <w:p w14:paraId="01A2B301" w14:textId="77777777" w:rsidR="003F03E3" w:rsidRDefault="003F03E3">
      <w:pPr>
        <w:pStyle w:val="Heading3"/>
      </w:pPr>
      <w:r>
        <w:t>3.1.2 Refinery Processes and the Transformation Node</w:t>
      </w:r>
    </w:p>
    <w:p w14:paraId="01A2B302" w14:textId="77777777" w:rsidR="003F03E3" w:rsidRDefault="003F03E3">
      <w:r>
        <w:t>The refinery occupies a unique role in the logistics network as the sole transformation node — consuming crude oil as input and producing an entirely different set of commodity streams as output. Understanding refinery economics and process architecture is essential for interpreting the inventory dynamics modelled here, since the composition and intensity of refinery demand is a primary driver of crude drawdowns from storage.</w:t>
      </w:r>
    </w:p>
    <w:p w14:paraId="01A2B303" w14:textId="77777777" w:rsidR="003F03E3" w:rsidRDefault="003F03E3">
      <w:r>
        <w:t>Refinery processing proceeds in three successive layers. Atmospheric distillation comes first: crude feedstock is heated to approximately 350°C and fed into a fractionation column that separates it into discrete fractions by boiling point — refinery gas and LPG at the top (below 40°C, C1-C4); naphtha (40-180°C, C5-C10); kerosene and jet fuel (150-250°C, C10-C16); diesel and atmospheric gas oil (200-350°C, C14-C20); heavy gas oil (300-400°C, C20-C40); and atmospheric residue (above 400°C, C40+). Distillation alone yields commercially usable products from roughly 40-50 per cent of a typical crude barrel, leaving a substantial fraction of heavy material that requires further processing.</w:t>
      </w:r>
    </w:p>
    <w:p w14:paraId="01A2B304" w14:textId="77777777" w:rsidR="003F03E3" w:rsidRDefault="003F03E3">
      <w:r>
        <w:t xml:space="preserve">The second layer consists of conversion units that crack large hydrocarbon molecules from the heavy fractions into smaller, higher-value products. Three principal conversion processes are used in modern complex refineries. Fluid Catalytic Cracking (FCC) vaporises heavy gas oil and contacts it with a hot powdered zeolite catalyst at approximately 500°C, breaking long carbon chains into gasoline-range molecules within seconds; the catalyst is continuously regenerated by burning off deposited coke. FCC is the primary reason a complex refinery can achieve gasoline yields exceeding 50 per cent of crude input. Hydrocracking operates under high hydrogen pressure to convert vacuum gas oil into ultra-low-sulphur diesel and jet fuel — at higher capital and hydrogen cost, but with superior product quality and flexibility. Delayed coking thermally cracks the vacuum residue into distillates and solid petroleum coke, recovering value from material that would </w:t>
      </w:r>
      <w:r>
        <w:lastRenderedPageBreak/>
        <w:t>otherwise have no product outlet. The choice of conversion configuration (FCC-dominant, hydrocracker-dominant, or coker-equipped) determines a refinery's yield slate and, consequently, its appetite for specific crude grades: FCC-equipped refineries favour lighter, lower-sulphur feedstocks, while hydrocracker-equipped refineries can efficiently process heavier sour crudes.</w:t>
      </w:r>
    </w:p>
    <w:p w14:paraId="01A2B305" w14:textId="77777777" w:rsidR="003F03E3" w:rsidRDefault="003F03E3">
      <w:r>
        <w:t xml:space="preserve">The third layer is treating and blending. Hydrotreating units use hydrogen to remove sulphur from distillate streams, producing hydrogen sulphide that is subsequently converted to elemental sulphur in a Claus unit. The catalytic reformer restructures straight-run naphtha to increase its octane number, producing both high-octane gasoline </w:t>
      </w:r>
      <w:proofErr w:type="spellStart"/>
      <w:r>
        <w:t>blendstock</w:t>
      </w:r>
      <w:proofErr w:type="spellEnd"/>
      <w:r>
        <w:t xml:space="preserve"> and the hydrogen consumed by hydrotreating and hydrocracking units elsewhere in the refinery. Final blending combines intermediate streams to meet the precise specifications — octane rating, cetane index, flash point, viscosity, cloud point — required by product markets and regulatory standards.</w:t>
      </w:r>
    </w:p>
    <w:p w14:paraId="01A2B306" w14:textId="77777777" w:rsidR="003F03E3" w:rsidRDefault="003F03E3">
      <w:r>
        <w:t xml:space="preserve">For the graph model, the practical implication is that the refinery node is characterised not only by its throughput rate but also by its configuration. EIA refinery yield data — barrels of gasoline, distillate, jet fuel, and residual fuel produced per barrel of crude input — directly reflects which conversion units a refinery operates and at what intensity. A refinery with a large FCC but no hydrocracker produces a gasoline-heavy yield slate; one with a </w:t>
      </w:r>
      <w:proofErr w:type="gramStart"/>
      <w:r>
        <w:t>hydrocracker skews</w:t>
      </w:r>
      <w:proofErr w:type="gramEnd"/>
      <w:r>
        <w:t xml:space="preserve"> toward diesel and jet fuel. These configuration differences are observable in the PADD-level production and input data used in this thesis and constitute one source of node heterogeneity in the graph representation.</w:t>
      </w:r>
    </w:p>
    <w:p w14:paraId="01A2B307" w14:textId="77777777" w:rsidR="003F03E3" w:rsidRDefault="003F03E3">
      <w:pPr>
        <w:pStyle w:val="Heading3"/>
      </w:pPr>
      <w:r>
        <w:t>3.1.3 Maritime Transport: Tanker Classes, Voyage Operations, and Global Trade Routes</w:t>
      </w:r>
    </w:p>
    <w:p w14:paraId="01A2B308" w14:textId="77777777" w:rsidR="003F03E3" w:rsidRDefault="003F03E3">
      <w:r>
        <w:t>Maritime tanker shipping is the principal mechanism for intercontinental crude oil trade. Unlike pipelines — fixed infrastructure with defined origin-destination pairs — tankers are mobile capital assets whose routing decisions are made dynamically in response to price signals, freight rates, and port availability. This mobility introduces a layer of operational flexibility, and corresponding complexity, that is consequential for the inventory dynamics the graph model captures.</w:t>
      </w:r>
    </w:p>
    <w:p w14:paraId="5DF47DDB" w14:textId="77777777" w:rsidR="009E55C2" w:rsidRDefault="009E55C2">
      <w:pPr>
        <w:spacing w:after="160"/>
        <w:jc w:val="both"/>
        <w:rPr>
          <w:kern w:val="2"/>
          <w14:ligatures w14:val="standardContextual"/>
        </w:rPr>
      </w:pPr>
      <w:r>
        <w:t xml:space="preserve">Crude tankers are classified by deadweight tonnage (DWT), and size class matters operationally because it determines which ports, canals, and offshore terminals a vessel can physically access. Ultra Large Crude Carriers (ULCCs, above 320,000 DWT) and Very Large Crude Carriers (VLCCs, 200,000–320,000 DWT, roughly 2 million barrels capacity) operate on long intercontinental routes and often discharge via offshore moorings or lightering because loaded draught can exceed 20 metres. </w:t>
      </w:r>
      <w:proofErr w:type="spellStart"/>
      <w:r>
        <w:t>Suezmax</w:t>
      </w:r>
      <w:proofErr w:type="spellEnd"/>
      <w:r>
        <w:t xml:space="preserve"> vessels (120,000–200,000 DWT, roughly 1 million barrels) are sized to transit the Suez Canal at its draught limits and dominate many Atlantic Basin trades. Aframax tankers (80,000–120,000 DWT) typically serve regional trades (Caribbean, North Sea, Baltic, and the U.S. Gulf Coast). Smaller Panamax/LR1 vessels (55,000–80,000 DWT) are constrained by canal dimensions, while Medium Range and </w:t>
      </w:r>
      <w:proofErr w:type="spellStart"/>
      <w:r>
        <w:t>Handysize</w:t>
      </w:r>
      <w:proofErr w:type="spellEnd"/>
      <w:r>
        <w:t xml:space="preserve"> vessels (below 55,000 DWT) handle coastal movements and refined-product distribution.</w:t>
      </w:r>
    </w:p>
    <w:p w14:paraId="7D44C7EA" w14:textId="77777777" w:rsidR="009E55C2" w:rsidRDefault="009E55C2">
      <w:pPr>
        <w:spacing w:after="160"/>
        <w:jc w:val="both"/>
        <w:rPr>
          <w:kern w:val="2"/>
          <w14:ligatures w14:val="standardContextual"/>
        </w:rPr>
      </w:pPr>
      <w:r>
        <w:t xml:space="preserve">A crude tanker voyage can be described in four phases: (1) ballast voyage to the load port, (2) loading, (3) laden transit, and (4) discharge. Loading and discharge typically last 24–48 hours, while intercontinental passages can last several weeks. Ship-to-ship (STS) transfer and lightering are particularly important for large crude carriers because many ports cannot accommodate their loaded draught; in these operations, cargo is </w:t>
      </w:r>
      <w:r>
        <w:lastRenderedPageBreak/>
        <w:t>transferred offshore to smaller vessels that can berth at conventional terminals. In a future extension using AIS-derived signals, STS activity can be proxied by co-location and low-speed behaviour of vessel pairs over extended periods, potentially combined with draught changes.</w:t>
      </w:r>
    </w:p>
    <w:p w14:paraId="2F918554" w14:textId="77777777" w:rsidR="009E55C2" w:rsidRDefault="009E55C2">
      <w:pPr>
        <w:spacing w:after="160"/>
        <w:jc w:val="both"/>
        <w:rPr>
          <w:kern w:val="2"/>
          <w14:ligatures w14:val="standardContextual"/>
        </w:rPr>
      </w:pPr>
      <w:r>
        <w:t xml:space="preserve">Global crude trade is organised around a small number of dominant corridors, and several geographic chokepoints create shared risk across many routes. The Arabian Gulf–Asia corridor passes through the Strait of Hormuz and often through the Strait of Malacca; disruptions or heightened risk premia at either chokepoint can reshape voyage times and routing. The Arabian Gulf–Europe route introduces a trade-off between canal fees and sailing distance: </w:t>
      </w:r>
      <w:proofErr w:type="spellStart"/>
      <w:r>
        <w:t>Suezmax</w:t>
      </w:r>
      <w:proofErr w:type="spellEnd"/>
      <w:r>
        <w:t xml:space="preserve"> vessels may transit the Suez Canal directly, while VLCCs often route around the Cape of Good Hope depending on economics and operational conditions. West African crude frequently moves on </w:t>
      </w:r>
      <w:proofErr w:type="spellStart"/>
      <w:r>
        <w:t>Suezmax</w:t>
      </w:r>
      <w:proofErr w:type="spellEnd"/>
      <w:r>
        <w:t xml:space="preserve"> vessels to European and U.S. destinations. Since the removal of the U.S. crude export ban (December 2015), the U.S. Gulf Coast has simultaneously acted as a major import destination for heavier grades and a growing export origin for light sweet crude, reflecting grade-based arbitrage rather than logistical inefficiency. These corridor effects matter for our graph representation because they imply correlated delays and disruptions across multiple edges rather than isolated, independent shocks.</w:t>
      </w:r>
    </w:p>
    <w:p w14:paraId="01A2B312" w14:textId="77777777" w:rsidR="003F03E3" w:rsidRDefault="003F03E3">
      <w:r>
        <w:t>In graph terms, maritime shipping lanes are directed edges with transit-time attributes reflecting voyage durations, capacity attributes reflecting vessel class constraints, and flow attributes drawn from AIS-derived cargo estimates and EIA import records. The chokepoints — Hormuz, Suez, Malacca, the Cape — represent latent risk factors that can simultaneously affect multiple edges in the graph, producing correlated disruptions across otherwise distant node pairs. Capturing these correlations is one of the structural advantages that graph-based representations hold over univariate time-series approaches.</w:t>
      </w:r>
    </w:p>
    <w:p w14:paraId="67D6DF7F" w14:textId="77777777" w:rsidR="003F03E3" w:rsidRDefault="001C6531">
      <w:pPr>
        <w:pStyle w:val="Heading2"/>
      </w:pPr>
      <w:r>
        <w:t>3.2 Node Types and Attributes</w:t>
      </w:r>
    </w:p>
    <w:p w14:paraId="67D6DF80" w14:textId="77777777" w:rsidR="003F03E3" w:rsidRDefault="001C6531">
      <w:pPr>
        <w:spacing w:after="160"/>
        <w:jc w:val="both"/>
      </w:pPr>
      <w:r>
        <w:t>The logistics network is modelled as a directed, weighted graph G = (V, E), where every physical asset is represented as a node. The node set V is partitioned into the following types based on their operational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3F03E3" w14:paraId="67D6DF8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81" w14:textId="77777777" w:rsidR="003F03E3" w:rsidRDefault="001C6531">
            <w:r>
              <w:rPr>
                <w:b/>
                <w:bCs/>
                <w:sz w:val="20"/>
                <w:szCs w:val="20"/>
              </w:rPr>
              <w:t>Node Type</w:t>
            </w:r>
          </w:p>
        </w:tc>
        <w:tc>
          <w:tcPr>
            <w:tcW w:w="2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82" w14:textId="77777777" w:rsidR="003F03E3" w:rsidRDefault="001C6531">
            <w:r>
              <w:rPr>
                <w:b/>
                <w:bCs/>
                <w:sz w:val="20"/>
                <w:szCs w:val="20"/>
              </w:rPr>
              <w:t>Examples</w:t>
            </w:r>
          </w:p>
        </w:tc>
        <w:tc>
          <w:tcPr>
            <w:tcW w:w="5026"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83" w14:textId="77777777" w:rsidR="003F03E3" w:rsidRDefault="001C6531">
            <w:r>
              <w:rPr>
                <w:b/>
                <w:bCs/>
                <w:sz w:val="20"/>
                <w:szCs w:val="20"/>
              </w:rPr>
              <w:t>Description</w:t>
            </w:r>
          </w:p>
        </w:tc>
      </w:tr>
      <w:tr w:rsidR="003F03E3" w14:paraId="67D6DF8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5" w14:textId="77777777" w:rsidR="003F03E3" w:rsidRDefault="001C6531">
            <w:r>
              <w:rPr>
                <w:sz w:val="20"/>
                <w:szCs w:val="20"/>
              </w:rPr>
              <w:t>Production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6" w14:textId="77777777" w:rsidR="003F03E3" w:rsidRDefault="001C6531">
            <w:r>
              <w:rPr>
                <w:sz w:val="20"/>
                <w:szCs w:val="20"/>
              </w:rPr>
              <w:t>Oil fields, extraction platforms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7" w14:textId="77777777" w:rsidR="003F03E3" w:rsidRDefault="001C6531">
            <w:r>
              <w:rPr>
                <w:sz w:val="20"/>
                <w:szCs w:val="20"/>
              </w:rPr>
              <w:t>Assets that generate crude oil. Key attributes: production rate, capacity, utilization rate.</w:t>
            </w:r>
          </w:p>
        </w:tc>
      </w:tr>
      <w:tr w:rsidR="003F03E3" w14:paraId="67D6DF8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9" w14:textId="77777777" w:rsidR="003F03E3" w:rsidRDefault="001C6531">
            <w:r>
              <w:rPr>
                <w:sz w:val="20"/>
                <w:szCs w:val="20"/>
              </w:rPr>
              <w:t>Storage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A" w14:textId="77777777" w:rsidR="003F03E3" w:rsidRDefault="001C6531">
            <w:r>
              <w:rPr>
                <w:sz w:val="20"/>
                <w:szCs w:val="20"/>
              </w:rPr>
              <w:t>Tank farms, strategic reserves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B" w14:textId="77777777" w:rsidR="003F03E3" w:rsidRDefault="001C6531">
            <w:r>
              <w:rPr>
                <w:sz w:val="20"/>
                <w:szCs w:val="20"/>
              </w:rPr>
              <w:t>Assets that hold inventory. Key attributes: current inventory level, storage capacity, target stock level (historical average).</w:t>
            </w:r>
          </w:p>
        </w:tc>
      </w:tr>
      <w:tr w:rsidR="003F03E3" w14:paraId="67D6DF9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D" w14:textId="77777777" w:rsidR="003F03E3" w:rsidRDefault="001C6531">
            <w:r>
              <w:rPr>
                <w:sz w:val="20"/>
                <w:szCs w:val="20"/>
              </w:rPr>
              <w:t>Transit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E" w14:textId="77777777" w:rsidR="003F03E3" w:rsidRDefault="001C6531">
            <w:r>
              <w:rPr>
                <w:sz w:val="20"/>
                <w:szCs w:val="20"/>
              </w:rPr>
              <w:t>Pipeline junctions, port terminals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8F" w14:textId="77777777" w:rsidR="003F03E3" w:rsidRDefault="001C6531">
            <w:r>
              <w:rPr>
                <w:sz w:val="20"/>
                <w:szCs w:val="20"/>
              </w:rPr>
              <w:t>Assets that facilitate the transfer of flows between routes. Key attributes: throughput capacity, current throughput, transit time.</w:t>
            </w:r>
          </w:p>
        </w:tc>
      </w:tr>
      <w:tr w:rsidR="003F03E3" w14:paraId="01D6DF0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DF0B" w14:textId="77777777" w:rsidR="003F03E3" w:rsidRDefault="001C6531">
            <w:r>
              <w:rPr>
                <w:sz w:val="20"/>
                <w:szCs w:val="20"/>
              </w:rPr>
              <w:t>Vessel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DF0C" w14:textId="77777777" w:rsidR="003F03E3" w:rsidRDefault="001C6531">
            <w:r>
              <w:rPr>
                <w:sz w:val="20"/>
                <w:szCs w:val="20"/>
              </w:rPr>
              <w:t xml:space="preserve">VLCC, Aframax, </w:t>
            </w:r>
            <w:proofErr w:type="spellStart"/>
            <w:r>
              <w:rPr>
                <w:sz w:val="20"/>
                <w:szCs w:val="20"/>
              </w:rPr>
              <w:t>Suezmax</w:t>
            </w:r>
            <w:proofErr w:type="spellEnd"/>
            <w:r>
              <w:rPr>
                <w:sz w:val="20"/>
                <w:szCs w:val="20"/>
              </w:rPr>
              <w:t xml:space="preserve"> tankers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DF0D" w14:textId="77777777" w:rsidR="003F03E3" w:rsidRDefault="001C6531">
            <w:r>
              <w:rPr>
                <w:sz w:val="20"/>
                <w:szCs w:val="20"/>
              </w:rPr>
              <w:t>Maritime transport assets carrying cargo inventory during transit. Key attributes: cargo capacity, current cargo level, voyage status. Flow edges to all potential origin and destination terminals are permanent; flows are zero when the vessel is inactive or repositioning.</w:t>
            </w:r>
          </w:p>
        </w:tc>
      </w:tr>
      <w:tr w:rsidR="003F03E3" w14:paraId="67D6DF9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1" w14:textId="77777777" w:rsidR="003F03E3" w:rsidRDefault="001C6531">
            <w:r>
              <w:rPr>
                <w:sz w:val="20"/>
                <w:szCs w:val="20"/>
              </w:rPr>
              <w:lastRenderedPageBreak/>
              <w:t>Refinery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2" w14:textId="77777777" w:rsidR="003F03E3" w:rsidRDefault="001C6531">
            <w:r>
              <w:rPr>
                <w:sz w:val="20"/>
                <w:szCs w:val="20"/>
              </w:rPr>
              <w:t>Refineries, processing plants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3" w14:textId="77777777" w:rsidR="003F03E3" w:rsidRDefault="001C6531">
            <w:r>
              <w:rPr>
                <w:sz w:val="20"/>
                <w:szCs w:val="20"/>
              </w:rPr>
              <w:t>Assets that transform crude into products. Key attributes: processing capacity, yield rates, current throughput.</w:t>
            </w:r>
          </w:p>
        </w:tc>
      </w:tr>
      <w:tr w:rsidR="003F03E3" w14:paraId="67D6DF9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5" w14:textId="77777777" w:rsidR="003F03E3" w:rsidRDefault="001C6531">
            <w:r>
              <w:rPr>
                <w:sz w:val="20"/>
                <w:szCs w:val="20"/>
              </w:rPr>
              <w:t>Consumption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6" w14:textId="77777777" w:rsidR="003F03E3" w:rsidRDefault="001C6531">
            <w:r>
              <w:rPr>
                <w:sz w:val="20"/>
                <w:szCs w:val="20"/>
              </w:rPr>
              <w:t>Distribution terminals, end markets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97" w14:textId="77777777" w:rsidR="003F03E3" w:rsidRDefault="001C6531">
            <w:r>
              <w:rPr>
                <w:sz w:val="20"/>
                <w:szCs w:val="20"/>
              </w:rPr>
              <w:t>Assets that consume crude oil or products. Key attributes: demand rate, demand variability.</w:t>
            </w:r>
          </w:p>
        </w:tc>
      </w:tr>
    </w:tbl>
    <w:p w14:paraId="67D6DF99" w14:textId="77777777" w:rsidR="003F03E3" w:rsidRDefault="003F03E3"/>
    <w:p w14:paraId="67D6DF9A" w14:textId="77777777" w:rsidR="003F03E3" w:rsidRDefault="001C6531">
      <w:pPr>
        <w:spacing w:after="160"/>
        <w:jc w:val="both"/>
      </w:pPr>
      <w:r>
        <w:t xml:space="preserve">An important design decision concerns the feature representation of nodes. One option is to define type-specific feature vectors where each node type carries only the variables relevant to its operational role — production rate only for production nodes, consumption rate only for consumption nodes. We adopt instead a uniform feature vector design in which every node, regardless of type, is characterised by the same set of time-varying variables. Specifically, each node </w:t>
      </w:r>
      <w:proofErr w:type="spellStart"/>
      <w:r>
        <w:t>i</w:t>
      </w:r>
      <w:proofErr w:type="spellEnd"/>
      <w:r>
        <w:t xml:space="preserve"> at time step t is described by: production rate </w:t>
      </w:r>
      <w:proofErr w:type="gramStart"/>
      <w:r>
        <w:t>P(</w:t>
      </w:r>
      <w:proofErr w:type="spellStart"/>
      <w:proofErr w:type="gramEnd"/>
      <w:r>
        <w:t>i</w:t>
      </w:r>
      <w:proofErr w:type="spellEnd"/>
      <w:r>
        <w:t xml:space="preserve">, t), consumption rate </w:t>
      </w:r>
      <w:proofErr w:type="gramStart"/>
      <w:r>
        <w:t>C(</w:t>
      </w:r>
      <w:proofErr w:type="spellStart"/>
      <w:proofErr w:type="gramEnd"/>
      <w:r>
        <w:t>i</w:t>
      </w:r>
      <w:proofErr w:type="spellEnd"/>
      <w:r>
        <w:t xml:space="preserve">, t), inventory level </w:t>
      </w:r>
      <w:proofErr w:type="gramStart"/>
      <w:r>
        <w:t>I(</w:t>
      </w:r>
      <w:proofErr w:type="spellStart"/>
      <w:proofErr w:type="gramEnd"/>
      <w:r>
        <w:t>i</w:t>
      </w:r>
      <w:proofErr w:type="spellEnd"/>
      <w:r>
        <w:t xml:space="preserve">, t), total inflow </w:t>
      </w:r>
      <w:proofErr w:type="gramStart"/>
      <w:r>
        <w:t>Fᵢₙ(</w:t>
      </w:r>
      <w:proofErr w:type="spellStart"/>
      <w:proofErr w:type="gramEnd"/>
      <w:r>
        <w:t>i</w:t>
      </w:r>
      <w:proofErr w:type="spellEnd"/>
      <w:r>
        <w:t xml:space="preserve">, t), total outflow </w:t>
      </w:r>
      <w:proofErr w:type="gramStart"/>
      <w:r>
        <w:t>Fₒᵤₜ(</w:t>
      </w:r>
      <w:proofErr w:type="spellStart"/>
      <w:proofErr w:type="gramEnd"/>
      <w:r>
        <w:t>i</w:t>
      </w:r>
      <w:proofErr w:type="spellEnd"/>
      <w:r>
        <w:t>, t), and capacity utilisation as a fraction of maximum capacity. For variables that do not apply to a given node type, the value is simply zero — a storage node has P(</w:t>
      </w:r>
      <w:proofErr w:type="spellStart"/>
      <w:r>
        <w:t>i</w:t>
      </w:r>
      <w:proofErr w:type="spellEnd"/>
      <w:r>
        <w:t>, t) = 0 and C(</w:t>
      </w:r>
      <w:proofErr w:type="spellStart"/>
      <w:r>
        <w:t>i</w:t>
      </w:r>
      <w:proofErr w:type="spellEnd"/>
      <w:r>
        <w:t>, t) = 0; a vessel node has P(</w:t>
      </w:r>
      <w:proofErr w:type="spellStart"/>
      <w:r>
        <w:t>i</w:t>
      </w:r>
      <w:proofErr w:type="spellEnd"/>
      <w:r>
        <w:t>, t) = 0 and C(</w:t>
      </w:r>
      <w:proofErr w:type="spellStart"/>
      <w:r>
        <w:t>i</w:t>
      </w:r>
      <w:proofErr w:type="spellEnd"/>
      <w:r>
        <w:t>, t) = 0 with I(</w:t>
      </w:r>
      <w:proofErr w:type="spellStart"/>
      <w:r>
        <w:t>i</w:t>
      </w:r>
      <w:proofErr w:type="spellEnd"/>
      <w:r>
        <w:t>, t) representing its current cargo level. Likewise, flow edges between asset pairs that are currently inactive carry zero-valued flow time series rather than being absent from the graph, preserving a stable topology across all time steps.</w:t>
      </w:r>
    </w:p>
    <w:p w14:paraId="67D6DF9B" w14:textId="77777777" w:rsidR="003F03E3" w:rsidRDefault="001C6531">
      <w:pPr>
        <w:spacing w:after="160"/>
        <w:jc w:val="both"/>
      </w:pPr>
      <w:r>
        <w:t xml:space="preserve">There are four reasons for this uniform representation. First, standard GNN architectures (GCN, GAT, </w:t>
      </w:r>
      <w:proofErr w:type="spellStart"/>
      <w:r>
        <w:t>GraphSAGE</w:t>
      </w:r>
      <w:proofErr w:type="spellEnd"/>
      <w:r>
        <w:t>) require a fixed-dimensional input for every node; type-specific vectors of different lengths would require padding, masking, or separate processing pipelines. Second, the pattern of zero and nonzero values implicitly encodes each node's functional role, allowing the GNN to learn node type distinctions from data rather than requiring explicit categorical encoding. Third, the uniform representation naturally accommodates hybrid nodes — assets that combine functions, such as a port terminal with both transit and storage capabilities — which would be awkward to classify under a rigid type-specific schema. Fourth, it ensures that the inventory conservation equation applies universally across all nodes with no special-case logic.</w:t>
      </w:r>
    </w:p>
    <w:p w14:paraId="67D6DF9C" w14:textId="77777777" w:rsidR="003F03E3" w:rsidRDefault="001C6531">
      <w:pPr>
        <w:spacing w:after="160"/>
        <w:jc w:val="both"/>
      </w:pPr>
      <w:r>
        <w:t xml:space="preserve">This design follows established practice in the </w:t>
      </w:r>
      <w:proofErr w:type="spellStart"/>
      <w:r>
        <w:t>spatio</w:t>
      </w:r>
      <w:proofErr w:type="spellEnd"/>
      <w:r>
        <w:t xml:space="preserve">-temporal GNN literature. In traffic forecasting, DCRNN (Li et al., 2018) and STGCN (Yu et al., 2018) represent all sensor nodes with the same set of variables (speed, flow, occupancy), regardless of whether a sensor sits at a highway junction, an arterial road, or a residential street — functional differences show up in the values, not in the structure of the feature vector. In the supply-chain domain, Wasi et al. (2024) benchmarked both homogeneous and heterogeneous graph formulations on the </w:t>
      </w:r>
      <w:proofErr w:type="spellStart"/>
      <w:r>
        <w:t>SupplyGraph</w:t>
      </w:r>
      <w:proofErr w:type="spellEnd"/>
      <w:r>
        <w:t xml:space="preserve"> dataset and found that homogeneous GNN models performed competitively with heterogeneous ones while being substantially simpler to implement and train. The uniform approach offers a favourable balance of generality, scalability, and compatibility with the full range of vectorisation methods under consideration.</w:t>
      </w:r>
    </w:p>
    <w:p w14:paraId="1AB20001" w14:textId="77777777" w:rsidR="005D18A0" w:rsidRDefault="00892F69">
      <w:pPr>
        <w:spacing w:after="160"/>
        <w:jc w:val="both"/>
      </w:pPr>
      <w:r>
        <w:t xml:space="preserve">The uniform feature vector is extended for refinery nodes to address the limitation identified in Section 2.2.1. Beyond the time-varying operational variables, each refinery node carries a set of static configuration attributes drawn from publicly available sources — principally the EIA annual refinery capacity report and the Oil and Gas Journal refinery survey. These cover crude distillation capacity, which conversion units are present (FCC, hydrocracker, delayed coker, </w:t>
      </w:r>
      <w:proofErr w:type="spellStart"/>
      <w:r>
        <w:t>visbreaker</w:t>
      </w:r>
      <w:proofErr w:type="spellEnd"/>
      <w:r>
        <w:t xml:space="preserve">), the Nelson Complexity Index, and the crude quality envelope the refinery can handle expressed </w:t>
      </w:r>
      <w:r>
        <w:lastRenderedPageBreak/>
        <w:t>as an API gravity range and maximum sulphur tolerance. A refinery without a hydrocracker cannot economically process Venezuelan extra-heavy crude regardless of price signals; one with a large FCC but no desulphurisation unit is constrained to low-sulphur feedstocks. Encoding these constraints as fixed node features allows the GNN to generalise across refineries with similar configurations even when their flow histories differ, and — critically — allows the model to represent potential feedstock transitions that have not yet occurred in the training window but are physically plausible given the refinery’s equipment.</w:t>
      </w:r>
    </w:p>
    <w:p w14:paraId="2DD20002" w14:textId="77777777" w:rsidR="004321B4" w:rsidRDefault="00892F69">
      <w:pPr>
        <w:spacing w:after="160"/>
        <w:jc w:val="both"/>
      </w:pPr>
      <w:r>
        <w:t>The same principle applies to vessel nodes. A VLCC node carries its own set of static physical attributes — loaded draught, beam, and DWT class — that define which ports it can enter, which canals it can transit, and what cargo volumes it can carry. A vessel with a 22-metre loaded draught cannot enter most conventional port berths without lightering; one with a beam exceeding 32.3 metres cannot transit the original Panama Canal locks. These constraints are not inferred from voyage history — they are fixed properties of the asset, available from Lloyd’s Register or the IHS Markit fleet database. Encoding them as static node features means that a vessel with permanent edges to West African, North Sea, and US Gulf Coast terminals carries, in its feature vector, the information the GNN needs to learn which of those routes are physically accessible given current freight economics — even if only one corridor has been observed active in the training data. The configuration-grounding principle is therefore not a special case for refineries: it is a general property of the asset-centric framework, applicable wherever a node’s physical characteristics define a feasible operating envelope that its flow history may underrepresent.</w:t>
      </w:r>
    </w:p>
    <w:p w14:paraId="67D6DF9D" w14:textId="77777777" w:rsidR="003F03E3" w:rsidRDefault="001C6531">
      <w:pPr>
        <w:pStyle w:val="Heading2"/>
      </w:pPr>
      <w:r>
        <w:t>3.3 Edge Types and Attributes</w:t>
      </w:r>
    </w:p>
    <w:p w14:paraId="67D6DF9E" w14:textId="77777777" w:rsidR="003F03E3" w:rsidRDefault="001C6531">
      <w:pPr>
        <w:spacing w:after="160"/>
        <w:jc w:val="both"/>
      </w:pPr>
      <w:r>
        <w:t>Edges in the graph represent physical or contractual connections through which crude oil or products flow. The edge set E includes: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3F03E3" w14:paraId="67D6DFA2"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9F" w14:textId="77777777" w:rsidR="003F03E3" w:rsidRDefault="001C6531">
            <w:r>
              <w:rPr>
                <w:b/>
                <w:bCs/>
                <w:sz w:val="20"/>
                <w:szCs w:val="20"/>
              </w:rPr>
              <w:t>Edge Type</w:t>
            </w:r>
          </w:p>
        </w:tc>
        <w:tc>
          <w:tcPr>
            <w:tcW w:w="28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A0" w14:textId="77777777" w:rsidR="003F03E3" w:rsidRDefault="001C6531">
            <w:r>
              <w:rPr>
                <w:b/>
                <w:bCs/>
                <w:sz w:val="20"/>
                <w:szCs w:val="20"/>
              </w:rPr>
              <w:t>Connectivity</w:t>
            </w:r>
          </w:p>
        </w:tc>
        <w:tc>
          <w:tcPr>
            <w:tcW w:w="4426"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A1" w14:textId="77777777" w:rsidR="003F03E3" w:rsidRDefault="001C6531">
            <w:r>
              <w:rPr>
                <w:b/>
                <w:bCs/>
                <w:sz w:val="20"/>
                <w:szCs w:val="20"/>
              </w:rPr>
              <w:t>Key Attributes</w:t>
            </w:r>
          </w:p>
        </w:tc>
      </w:tr>
      <w:tr w:rsidR="003F03E3" w14:paraId="67D6DFA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3" w14:textId="77777777" w:rsidR="003F03E3" w:rsidRDefault="001C6531">
            <w:r>
              <w:rPr>
                <w:sz w:val="20"/>
                <w:szCs w:val="20"/>
              </w:rPr>
              <w:t>Pipeline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4" w14:textId="77777777" w:rsidR="003F03E3" w:rsidRDefault="001C6531">
            <w:r>
              <w:rPr>
                <w:sz w:val="20"/>
                <w:szCs w:val="20"/>
              </w:rPr>
              <w:t>Production → Storage, Storage → Refinery, etc.</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5" w14:textId="77777777" w:rsidR="003F03E3" w:rsidRDefault="001C6531">
            <w:r>
              <w:rPr>
                <w:sz w:val="20"/>
                <w:szCs w:val="20"/>
              </w:rPr>
              <w:t>Flow capacity, current flow rate, transit time, distance, operational status.</w:t>
            </w:r>
          </w:p>
        </w:tc>
      </w:tr>
      <w:tr w:rsidR="003F03E3" w14:paraId="67D6DF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7" w14:textId="77777777" w:rsidR="003F03E3" w:rsidRDefault="001C6531">
            <w:r>
              <w:rPr>
                <w:sz w:val="20"/>
                <w:szCs w:val="20"/>
              </w:rPr>
              <w:t>Shipping Route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8" w14:textId="77777777" w:rsidR="003F03E3" w:rsidRDefault="001C6531">
            <w:r>
              <w:rPr>
                <w:sz w:val="20"/>
                <w:szCs w:val="20"/>
              </w:rPr>
              <w:t>Port → Port</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9" w14:textId="77777777" w:rsidR="003F03E3" w:rsidRDefault="001C6531">
            <w:r>
              <w:rPr>
                <w:sz w:val="20"/>
                <w:szCs w:val="20"/>
              </w:rPr>
              <w:t>Vessel capacity, transit time, frequency, current utilization.</w:t>
            </w:r>
          </w:p>
        </w:tc>
      </w:tr>
      <w:tr w:rsidR="003F03E3" w14:paraId="67D6DFA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B" w14:textId="77777777" w:rsidR="003F03E3" w:rsidRDefault="001C6531">
            <w:r>
              <w:rPr>
                <w:sz w:val="20"/>
                <w:szCs w:val="20"/>
              </w:rPr>
              <w:t>Road/Rail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C" w14:textId="77777777" w:rsidR="003F03E3" w:rsidRDefault="001C6531">
            <w:r>
              <w:rPr>
                <w:sz w:val="20"/>
                <w:szCs w:val="20"/>
              </w:rPr>
              <w:t>Storage → Consumption, Refinery → Consumption</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AD" w14:textId="77777777" w:rsidR="003F03E3" w:rsidRDefault="001C6531">
            <w:r>
              <w:rPr>
                <w:sz w:val="20"/>
                <w:szCs w:val="20"/>
              </w:rPr>
              <w:t>Transport capacity, cost per unit, transit time.</w:t>
            </w:r>
          </w:p>
        </w:tc>
      </w:tr>
    </w:tbl>
    <w:p w14:paraId="67D6DFAF" w14:textId="77777777" w:rsidR="003F03E3" w:rsidRDefault="003F03E3"/>
    <w:p w14:paraId="67D6DFB0" w14:textId="77777777" w:rsidR="003F03E3" w:rsidRDefault="001C6531">
      <w:pPr>
        <w:spacing w:after="160"/>
        <w:jc w:val="both"/>
      </w:pPr>
      <w:r>
        <w:t>Each edge (</w:t>
      </w:r>
      <w:proofErr w:type="spellStart"/>
      <w:r>
        <w:t>i</w:t>
      </w:r>
      <w:proofErr w:type="spellEnd"/>
      <w:r>
        <w:t xml:space="preserve">, j) carries a time-varying feature vector </w:t>
      </w:r>
      <w:proofErr w:type="gramStart"/>
      <w:r>
        <w:t>e(</w:t>
      </w:r>
      <w:proofErr w:type="spellStart"/>
      <w:proofErr w:type="gramEnd"/>
      <w:r>
        <w:t>i</w:t>
      </w:r>
      <w:proofErr w:type="spellEnd"/>
      <w:r>
        <w:t xml:space="preserve">, j, t) recording the flow rate </w:t>
      </w:r>
      <w:proofErr w:type="gramStart"/>
      <w:r>
        <w:t>f(</w:t>
      </w:r>
      <w:proofErr w:type="spellStart"/>
      <w:proofErr w:type="gramEnd"/>
      <w:r>
        <w:t>i</w:t>
      </w:r>
      <w:proofErr w:type="spellEnd"/>
      <w:r>
        <w:t xml:space="preserve">, j, t), the transit time </w:t>
      </w:r>
      <w:proofErr w:type="gramStart"/>
      <w:r>
        <w:t>τ(</w:t>
      </w:r>
      <w:proofErr w:type="spellStart"/>
      <w:proofErr w:type="gramEnd"/>
      <w:r>
        <w:t>i</w:t>
      </w:r>
      <w:proofErr w:type="spellEnd"/>
      <w:r>
        <w:t>, j), and capacity utilisation. Edges are directed, reflecting the physical direction of flow, though some connections may be bidirectional — modelled as two directed edges.</w:t>
      </w:r>
    </w:p>
    <w:p w14:paraId="67D6DFB1" w14:textId="77777777" w:rsidR="003F03E3" w:rsidRDefault="001C6531">
      <w:pPr>
        <w:pStyle w:val="Heading2"/>
      </w:pPr>
      <w:r>
        <w:t>3.4 Temporal Graph Formulation</w:t>
      </w:r>
    </w:p>
    <w:p w14:paraId="67D6DFB2" w14:textId="77777777" w:rsidR="003F03E3" w:rsidRDefault="001C6531">
      <w:pPr>
        <w:spacing w:after="160"/>
        <w:jc w:val="both"/>
      </w:pPr>
      <w:r>
        <w:t>The complete logistics network at time t is represented as a temporal graph G(t) = (V, E, X(t), W(t)), where X(t) is the matrix of node features and W(t) is the matrix of edge features at time t. Over the time horizon T = {1, 2, ..., T}, the system is described by the sequence of graphs {</w:t>
      </w:r>
      <w:proofErr w:type="gramStart"/>
      <w:r>
        <w:t>G(</w:t>
      </w:r>
      <w:proofErr w:type="gramEnd"/>
      <w:r>
        <w:t xml:space="preserve">1), </w:t>
      </w:r>
      <w:proofErr w:type="gramStart"/>
      <w:r>
        <w:t>G(</w:t>
      </w:r>
      <w:proofErr w:type="gramEnd"/>
      <w:r>
        <w:t xml:space="preserve">2), ..., G(T)}. In the general case, both the graph topology (V, E) and the feature matrices (X, W) may change over time; for the crude-oil logistics network at the regional level, however, the topology is relatively stable — </w:t>
      </w:r>
      <w:r>
        <w:lastRenderedPageBreak/>
        <w:t>pipelines and shipping routes do not change daily — so the primary source of temporal variation lies in the node and edge features.</w:t>
      </w:r>
    </w:p>
    <w:p w14:paraId="67D6DFB3" w14:textId="77777777" w:rsidR="003F03E3" w:rsidRDefault="001C6531">
      <w:pPr>
        <w:spacing w:after="160"/>
        <w:jc w:val="both"/>
      </w:pPr>
      <w:r>
        <w:t>The choice between the discrete-time approach — treating each G(t) as a separate graph snapshot — and the continuous-time approach — processing individual flow events as they occur — is one of the methodological questions addressed in Chapter 4.</w:t>
      </w:r>
    </w:p>
    <w:p w14:paraId="67D6DFB4" w14:textId="77777777" w:rsidR="003F03E3" w:rsidRDefault="001C6531">
      <w:pPr>
        <w:pStyle w:val="Heading2"/>
      </w:pPr>
      <w:r>
        <w:t>3.5 Inventory Conservation as a Graph Constraint</w:t>
      </w:r>
    </w:p>
    <w:p w14:paraId="67D6DFB5" w14:textId="77777777" w:rsidR="003F03E3" w:rsidRDefault="001C6531">
      <w:pPr>
        <w:spacing w:after="160"/>
        <w:jc w:val="both"/>
      </w:pPr>
      <w:r>
        <w:t xml:space="preserve">The inventory conservation equation introduced in Chapter 2 takes a precise form within the graph schema. For each node </w:t>
      </w:r>
      <w:proofErr w:type="spellStart"/>
      <w:r>
        <w:t>i</w:t>
      </w:r>
      <w:proofErr w:type="spellEnd"/>
      <w:r>
        <w:t xml:space="preserve"> with storage capability, at each time step t:</w:t>
      </w:r>
    </w:p>
    <w:p w14:paraId="67D6DFB6" w14:textId="77777777" w:rsidR="003F03E3" w:rsidRPr="009C3863" w:rsidRDefault="001C6531">
      <w:pPr>
        <w:spacing w:after="160"/>
        <w:jc w:val="center"/>
        <w:rPr>
          <w:lang w:val="it-IT"/>
        </w:rPr>
      </w:pPr>
      <w:r>
        <w:rPr>
          <w:rFonts w:ascii="Courier New" w:eastAsia="Courier New" w:hAnsi="Courier New" w:cs="Courier New"/>
          <w:sz w:val="22"/>
          <w:szCs w:val="22"/>
          <w:lang w:val="it-IT"/>
        </w:rPr>
        <w:t xml:space="preserve">I(i, t) = I(i, t−1) + P(i, t) + </w:t>
      </w:r>
      <w:r>
        <w:rPr>
          <w:rFonts w:ascii="Courier New" w:eastAsia="Courier New" w:hAnsi="Courier New" w:cs="Courier New"/>
          <w:sz w:val="22"/>
          <w:szCs w:val="22"/>
        </w:rPr>
        <w:t>Σⱼ</w:t>
      </w:r>
      <w:r>
        <w:rPr>
          <w:rFonts w:ascii="Courier New" w:eastAsia="Courier New" w:hAnsi="Courier New" w:cs="Courier New"/>
          <w:sz w:val="22"/>
          <w:szCs w:val="22"/>
          <w:lang w:val="it-IT"/>
        </w:rPr>
        <w:t>∈N</w:t>
      </w:r>
      <w:r>
        <w:rPr>
          <w:rFonts w:ascii="Courier New" w:eastAsia="Courier New" w:hAnsi="Courier New" w:cs="Courier New"/>
          <w:sz w:val="22"/>
          <w:szCs w:val="22"/>
        </w:rPr>
        <w:t>ᵢ</w:t>
      </w:r>
      <w:r>
        <w:rPr>
          <w:rFonts w:ascii="Courier New" w:eastAsia="Courier New" w:hAnsi="Courier New" w:cs="Courier New"/>
          <w:sz w:val="22"/>
          <w:szCs w:val="22"/>
          <w:lang w:val="it-IT"/>
        </w:rPr>
        <w:t>ₙ(i) f(j, i, t–</w:t>
      </w:r>
      <w:r>
        <w:rPr>
          <w:rFonts w:ascii="Courier New" w:eastAsia="Courier New" w:hAnsi="Courier New" w:cs="Courier New"/>
          <w:sz w:val="22"/>
          <w:szCs w:val="22"/>
        </w:rPr>
        <w:t>τ</w:t>
      </w:r>
      <w:r>
        <w:rPr>
          <w:rFonts w:ascii="Courier New" w:eastAsia="Courier New" w:hAnsi="Courier New" w:cs="Courier New"/>
          <w:sz w:val="22"/>
          <w:szCs w:val="22"/>
          <w:lang w:val="it-IT"/>
        </w:rPr>
        <w:t xml:space="preserve">(j,i)) – C(i, t) – </w:t>
      </w:r>
      <w:r>
        <w:rPr>
          <w:rFonts w:ascii="Courier New" w:eastAsia="Courier New" w:hAnsi="Courier New" w:cs="Courier New"/>
          <w:sz w:val="22"/>
          <w:szCs w:val="22"/>
        </w:rPr>
        <w:t>Σ</w:t>
      </w:r>
      <w:r>
        <w:rPr>
          <w:rFonts w:ascii="Courier New" w:eastAsia="Courier New" w:hAnsi="Courier New" w:cs="Courier New"/>
          <w:sz w:val="22"/>
          <w:szCs w:val="22"/>
          <w:lang w:val="it-IT"/>
        </w:rPr>
        <w:t>ₖ∈Nₒ</w:t>
      </w:r>
      <w:r>
        <w:rPr>
          <w:rFonts w:ascii="Courier New" w:eastAsia="Courier New" w:hAnsi="Courier New" w:cs="Courier New"/>
          <w:sz w:val="22"/>
          <w:szCs w:val="22"/>
        </w:rPr>
        <w:t>ᵤ</w:t>
      </w:r>
      <w:r>
        <w:rPr>
          <w:rFonts w:ascii="Courier New" w:eastAsia="Courier New" w:hAnsi="Courier New" w:cs="Courier New"/>
          <w:sz w:val="22"/>
          <w:szCs w:val="22"/>
          <w:lang w:val="it-IT"/>
        </w:rPr>
        <w:t>ₜ(i) f(i, k, t)</w:t>
      </w:r>
    </w:p>
    <w:p w14:paraId="67D6DFB7" w14:textId="77777777" w:rsidR="003F03E3" w:rsidRDefault="001C6531">
      <w:pPr>
        <w:spacing w:after="160"/>
        <w:jc w:val="both"/>
      </w:pPr>
      <w:r>
        <w:t>where Nᵢₙ(</w:t>
      </w:r>
      <w:proofErr w:type="spellStart"/>
      <w:r>
        <w:t>i</w:t>
      </w:r>
      <w:proofErr w:type="spellEnd"/>
      <w:r>
        <w:t>) and Nₒᵤₜ(</w:t>
      </w:r>
      <w:proofErr w:type="spellStart"/>
      <w:r>
        <w:t>i</w:t>
      </w:r>
      <w:proofErr w:type="spellEnd"/>
      <w:r>
        <w:t xml:space="preserve">) denote the sets of predecessor and successor nodes of </w:t>
      </w:r>
      <w:proofErr w:type="spellStart"/>
      <w:r>
        <w:t>i</w:t>
      </w:r>
      <w:proofErr w:type="spellEnd"/>
      <w:r>
        <w:t xml:space="preserve"> in the graph, and </w:t>
      </w:r>
      <w:proofErr w:type="gramStart"/>
      <w:r>
        <w:t>τ(</w:t>
      </w:r>
      <w:proofErr w:type="gramEnd"/>
      <w:r>
        <w:t xml:space="preserve">j, </w:t>
      </w:r>
      <w:proofErr w:type="spellStart"/>
      <w:r>
        <w:t>i</w:t>
      </w:r>
      <w:proofErr w:type="spellEnd"/>
      <w:r>
        <w:t xml:space="preserve">) is the transit time on edge (j, </w:t>
      </w:r>
      <w:proofErr w:type="spellStart"/>
      <w:r>
        <w:t>i</w:t>
      </w:r>
      <w:proofErr w:type="spellEnd"/>
      <w:r>
        <w:t xml:space="preserve">). This equation couples the dynamics of node </w:t>
      </w:r>
      <w:proofErr w:type="spellStart"/>
      <w:r>
        <w:t>i</w:t>
      </w:r>
      <w:proofErr w:type="spellEnd"/>
      <w:r>
        <w:t xml:space="preserve"> to the dynamics of all its neighbours, with the coupling mediated by edge flow rates and transit times. The graph structure G determines which nodes are coupled and through which edges, while the temporal dynamics determine how these couplings evolve.</w:t>
      </w:r>
    </w:p>
    <w:p w14:paraId="67D6DFB8" w14:textId="77777777" w:rsidR="003F03E3" w:rsidRDefault="001C6531">
      <w:pPr>
        <w:spacing w:after="160"/>
        <w:jc w:val="both"/>
      </w:pPr>
      <w:r>
        <w:t xml:space="preserve">Under the mean-reversion objective, the target state for each storage node </w:t>
      </w:r>
      <w:proofErr w:type="spellStart"/>
      <w:r>
        <w:t>i</w:t>
      </w:r>
      <w:proofErr w:type="spellEnd"/>
      <w:r>
        <w:t xml:space="preserve"> is I*(</w:t>
      </w:r>
      <w:proofErr w:type="spellStart"/>
      <w:r>
        <w:t>i</w:t>
      </w:r>
      <w:proofErr w:type="spellEnd"/>
      <w:r>
        <w:t>) = Ā(I(</w:t>
      </w:r>
      <w:proofErr w:type="spellStart"/>
      <w:r>
        <w:t>i</w:t>
      </w:r>
      <w:proofErr w:type="spellEnd"/>
      <w:r>
        <w:t xml:space="preserve">)), the historical average inventory. The forecasting task consists of predicting the flow adjustments </w:t>
      </w:r>
      <w:proofErr w:type="spellStart"/>
      <w:r>
        <w:t>Δ</w:t>
      </w:r>
      <w:proofErr w:type="gramStart"/>
      <w:r>
        <w:t>f</w:t>
      </w:r>
      <w:proofErr w:type="spellEnd"/>
      <w:r>
        <w:t>(</w:t>
      </w:r>
      <w:proofErr w:type="spellStart"/>
      <w:proofErr w:type="gramEnd"/>
      <w:r>
        <w:t>i</w:t>
      </w:r>
      <w:proofErr w:type="spellEnd"/>
      <w:r>
        <w:t>, j, t) that would drive the system from its current state toward this target, subject to the conservation equation and capacity constraints on all nodes and edges.</w:t>
      </w:r>
    </w:p>
    <w:p w14:paraId="67D6DFB9" w14:textId="77777777" w:rsidR="003F03E3" w:rsidRDefault="001C6531">
      <w:pPr>
        <w:pStyle w:val="Heading2"/>
      </w:pPr>
      <w:r>
        <w:t>3.6 Mathematical Framework for Node and Edge Definitions</w:t>
      </w:r>
    </w:p>
    <w:p w14:paraId="67D6DFBA" w14:textId="77777777" w:rsidR="003F03E3" w:rsidRDefault="001C6531">
      <w:pPr>
        <w:spacing w:after="160"/>
        <w:jc w:val="both"/>
      </w:pPr>
      <w:r>
        <w:t>The graph schema defined in the preceding sections rests on a formal mathematical framework governing how nodes and edges are defined, how variables are assigned, and how the network's internal consistency is verified. Topology, semantics, and validity are kept separate: the graph is built from variable relationships first, and consistency is checked second as a post-build validation pass.</w:t>
      </w:r>
    </w:p>
    <w:p w14:paraId="67D6DFBB" w14:textId="77777777" w:rsidR="003F03E3" w:rsidRDefault="001C6531">
      <w:pPr>
        <w:spacing w:after="160"/>
        <w:jc w:val="both"/>
      </w:pPr>
      <w:r>
        <w:t>There are only two primitives: nodes, which own variables, and formulas, which create edges. The graph builder needs no knowledge of geography, administrative hierarchies, or reporting conventions — all that complexity is absorbed into the formulas and deferred to the validation pass. Adding new data sources, node types, commodity grades, or derived relationships requires only writing new formulas; the underlying graph machinery does not change.</w:t>
      </w:r>
    </w:p>
    <w:p w14:paraId="67D6DFBC" w14:textId="77777777" w:rsidR="003F03E3" w:rsidRDefault="001C6531">
      <w:pPr>
        <w:spacing w:after="160"/>
        <w:jc w:val="both"/>
      </w:pPr>
      <w:r>
        <w:t xml:space="preserve">Three concrete examples illustrate why </w:t>
      </w:r>
      <w:proofErr w:type="gramStart"/>
      <w:r>
        <w:t>this matters</w:t>
      </w:r>
      <w:proofErr w:type="gramEnd"/>
      <w:r>
        <w:t xml:space="preserve">. Suppose a data source reports US crude oil production at the state level, but refinery runs (consumption) are only available at the PADD level — a coarser regional aggregation used by the EIA. A traditional schema with explicit granularity tiers would require a special aggregation layer and double-counting guards. Under the present framework, one simply writes: </w:t>
      </w:r>
      <w:proofErr w:type="spellStart"/>
      <w:r>
        <w:t>PADD_consumption</w:t>
      </w:r>
      <w:proofErr w:type="spellEnd"/>
      <w:r>
        <w:t>(</w:t>
      </w:r>
      <w:proofErr w:type="spellStart"/>
      <w:proofErr w:type="gramStart"/>
      <w:r>
        <w:t>p,t</w:t>
      </w:r>
      <w:proofErr w:type="spellEnd"/>
      <w:proofErr w:type="gramEnd"/>
      <w:r>
        <w:t>) = sum of C(</w:t>
      </w:r>
      <w:proofErr w:type="spellStart"/>
      <w:proofErr w:type="gramStart"/>
      <w:r>
        <w:t>i,t</w:t>
      </w:r>
      <w:proofErr w:type="spellEnd"/>
      <w:proofErr w:type="gramEnd"/>
      <w:r>
        <w:t xml:space="preserve">) for all states </w:t>
      </w:r>
      <w:proofErr w:type="spellStart"/>
      <w:r>
        <w:t>i</w:t>
      </w:r>
      <w:proofErr w:type="spellEnd"/>
      <w:r>
        <w:t xml:space="preserve"> within PADD p. The formula creates the edges automatically, and the mass balance check confirms whether the aggregation is internally consistent. No schema change is required.</w:t>
      </w:r>
    </w:p>
    <w:p w14:paraId="67D6DFBD" w14:textId="77777777" w:rsidR="003F03E3" w:rsidRDefault="001C6531">
      <w:pPr>
        <w:spacing w:after="160"/>
        <w:jc w:val="both"/>
      </w:pPr>
      <w:r>
        <w:lastRenderedPageBreak/>
        <w:t>Consider next an export terminal located within a state. The terminal is a pass-through node with no production and no consumption of its own; its sole function is routing outflows from the state to foreign destinations. Under the present framework, this is expressed as two formulas: the terminal's inflow equals the portion of the state's outflow routed via the terminal, and the terminal's outflow equals the sum of flows to all destination nodes. The terminal node appears in the graph with the correct connectivity, and the state-level mass balance automatically accounts for the volume that leaves via the terminal. No special sub-node logic or containment hierarchy is needed.</w:t>
      </w:r>
    </w:p>
    <w:p w14:paraId="67D6DFBE" w14:textId="77777777" w:rsidR="003F03E3" w:rsidRDefault="001C6531">
      <w:pPr>
        <w:spacing w:after="160"/>
        <w:jc w:val="both"/>
      </w:pPr>
      <w:r>
        <w:t xml:space="preserve">Third: if a future extension requires modelling refined products alongside crude, adding gasoil as a new commodity grade requires only introducing grade-indexed variable instances on the relevant nodes and writing a yield formula (e.g., </w:t>
      </w:r>
      <w:proofErr w:type="spellStart"/>
      <w:r>
        <w:t>gasoil_production</w:t>
      </w:r>
      <w:proofErr w:type="spellEnd"/>
      <w:r>
        <w:t xml:space="preserve"> = 0.5 × </w:t>
      </w:r>
      <w:proofErr w:type="spellStart"/>
      <w:r>
        <w:t>crude_consumption</w:t>
      </w:r>
      <w:proofErr w:type="spellEnd"/>
      <w:r>
        <w:t xml:space="preserve"> at a refinery node). Every other aspect of the framework — the mass balance constraint, the balancing item calculation, the GNN feature vectors, the validation logic — applies to the new grade without modification.</w:t>
      </w:r>
    </w:p>
    <w:p w14:paraId="67D6DFBF" w14:textId="77777777" w:rsidR="003F03E3" w:rsidRDefault="001C6531">
      <w:pPr>
        <w:pStyle w:val="Heading3"/>
      </w:pPr>
      <w:r>
        <w:t>3.6.1 Node Definition</w:t>
      </w:r>
    </w:p>
    <w:p w14:paraId="67D6DFC0" w14:textId="77777777" w:rsidR="003F03E3" w:rsidRDefault="001C6531">
      <w:pPr>
        <w:spacing w:after="160"/>
        <w:jc w:val="both"/>
      </w:pPr>
      <w:r>
        <w:t xml:space="preserve">A node is defined minimally as a tuple </w:t>
      </w:r>
      <w:proofErr w:type="spellStart"/>
      <w:r>
        <w:t>i</w:t>
      </w:r>
      <w:proofErr w:type="spellEnd"/>
      <w:r>
        <w:t xml:space="preserve"> = (id, type), where type encodes the operational role of the asset (production site, storage facility, terminal, refinery, consumption point, etc.). Location, administrative granularity, and other metadata are deliberately excluded from the node definition itself; they are retained as external attributes used only during the post-build validation phase.</w:t>
      </w:r>
    </w:p>
    <w:p w14:paraId="67D6DFC1" w14:textId="77777777" w:rsidR="003F03E3" w:rsidRDefault="001C6531">
      <w:pPr>
        <w:spacing w:after="160"/>
        <w:jc w:val="both"/>
      </w:pPr>
      <w:r>
        <w:t xml:space="preserve">Each node </w:t>
      </w:r>
      <w:proofErr w:type="spellStart"/>
      <w:r>
        <w:t>i</w:t>
      </w:r>
      <w:proofErr w:type="spellEnd"/>
      <w:r>
        <w:t xml:space="preserve"> carries a set of variables per commodity grade g and time step t. Following the uniform feature vector design from Section 3.2, these are: production P(</w:t>
      </w:r>
      <w:proofErr w:type="spellStart"/>
      <w:proofErr w:type="gramStart"/>
      <w:r>
        <w:t>i,g</w:t>
      </w:r>
      <w:proofErr w:type="gramEnd"/>
      <w:r>
        <w:t>,t</w:t>
      </w:r>
      <w:proofErr w:type="spellEnd"/>
      <w:r>
        <w:t>), total inflow Fᵢₙ(</w:t>
      </w:r>
      <w:proofErr w:type="spellStart"/>
      <w:proofErr w:type="gramStart"/>
      <w:r>
        <w:t>i,g</w:t>
      </w:r>
      <w:proofErr w:type="gramEnd"/>
      <w:r>
        <w:t>,t</w:t>
      </w:r>
      <w:proofErr w:type="spellEnd"/>
      <w:r>
        <w:t>), consumption C(</w:t>
      </w:r>
      <w:proofErr w:type="spellStart"/>
      <w:proofErr w:type="gramStart"/>
      <w:r>
        <w:t>i,g</w:t>
      </w:r>
      <w:proofErr w:type="gramEnd"/>
      <w:r>
        <w:t>,t</w:t>
      </w:r>
      <w:proofErr w:type="spellEnd"/>
      <w:r>
        <w:t>), total outflow Fₒᵤₜ(</w:t>
      </w:r>
      <w:proofErr w:type="spellStart"/>
      <w:proofErr w:type="gramStart"/>
      <w:r>
        <w:t>i,g</w:t>
      </w:r>
      <w:proofErr w:type="gramEnd"/>
      <w:r>
        <w:t>,t</w:t>
      </w:r>
      <w:proofErr w:type="spellEnd"/>
      <w:r>
        <w:t>), and stock level S(</w:t>
      </w:r>
      <w:proofErr w:type="spellStart"/>
      <w:proofErr w:type="gramStart"/>
      <w:r>
        <w:t>i,g</w:t>
      </w:r>
      <w:proofErr w:type="gramEnd"/>
      <w:r>
        <w:t>,t</w:t>
      </w:r>
      <w:proofErr w:type="spellEnd"/>
      <w:r>
        <w:t>). Each variable is assigned one of two forms: a time series of observed data, or a formula expressed as a function of variables belonging to the same node or to other nodes. This distinction is fundamental to how the graph is constructed — it is the formulas that create the edges, not any explicit declaration of connectivity.</w:t>
      </w:r>
    </w:p>
    <w:p w14:paraId="67D6DFC2" w14:textId="77777777" w:rsidR="003F03E3" w:rsidRDefault="001C6531">
      <w:pPr>
        <w:spacing w:after="160"/>
        <w:jc w:val="both"/>
      </w:pPr>
      <w:r>
        <w:t xml:space="preserve">Each product or commodity grade is treated as a separate variable instance on the node, which supports derived-product relationships. At a refinery node, gasoil output can be defined as </w:t>
      </w:r>
      <w:proofErr w:type="spellStart"/>
      <w:r>
        <w:t>gasoil_production</w:t>
      </w:r>
      <w:proofErr w:type="spellEnd"/>
      <w:r>
        <w:t>(</w:t>
      </w:r>
      <w:proofErr w:type="spellStart"/>
      <w:proofErr w:type="gramStart"/>
      <w:r>
        <w:t>i,t</w:t>
      </w:r>
      <w:proofErr w:type="spellEnd"/>
      <w:proofErr w:type="gramEnd"/>
      <w:r>
        <w:t xml:space="preserve">) = 0.5 * </w:t>
      </w:r>
      <w:proofErr w:type="gramStart"/>
      <w:r>
        <w:t>C(</w:t>
      </w:r>
      <w:proofErr w:type="spellStart"/>
      <w:proofErr w:type="gramEnd"/>
      <w:r>
        <w:t>i</w:t>
      </w:r>
      <w:proofErr w:type="spellEnd"/>
      <w:r>
        <w:t>, crude, t), where crude consumption drives refined product production. The formula creates an implicit dependency edge between the crude consumption variable and the gasoil production variable within the same node, and between connected nodes where cross-node references appear.</w:t>
      </w:r>
    </w:p>
    <w:p w14:paraId="67D6DFC3" w14:textId="77777777" w:rsidR="003F03E3" w:rsidRDefault="001C6531">
      <w:pPr>
        <w:pStyle w:val="Heading3"/>
      </w:pPr>
      <w:r>
        <w:t>3.6.2 Edge Definition</w:t>
      </w:r>
    </w:p>
    <w:p w14:paraId="67D6DFC4" w14:textId="77777777" w:rsidR="003F03E3" w:rsidRDefault="001C6531">
      <w:pPr>
        <w:spacing w:after="160"/>
        <w:jc w:val="both"/>
      </w:pPr>
      <w:r>
        <w:t xml:space="preserve">An edge exists if and only if a variable on node </w:t>
      </w:r>
      <w:proofErr w:type="spellStart"/>
      <w:r>
        <w:t>i</w:t>
      </w:r>
      <w:proofErr w:type="spellEnd"/>
      <w:r>
        <w:t xml:space="preserve"> references a variable on node j through a formula. Formally, e = (</w:t>
      </w:r>
      <w:proofErr w:type="spellStart"/>
      <w:r>
        <w:t>i</w:t>
      </w:r>
      <w:proofErr w:type="spellEnd"/>
      <w:r>
        <w:t>, j, g) exists if and only if there exists a variable v(</w:t>
      </w:r>
      <w:proofErr w:type="spellStart"/>
      <w:proofErr w:type="gramStart"/>
      <w:r>
        <w:t>i,g</w:t>
      </w:r>
      <w:proofErr w:type="spellEnd"/>
      <w:proofErr w:type="gramEnd"/>
      <w:r>
        <w:t xml:space="preserve">) = </w:t>
      </w:r>
      <w:proofErr w:type="gramStart"/>
      <w:r>
        <w:t>f(</w:t>
      </w:r>
      <w:proofErr w:type="gramEnd"/>
      <w:r>
        <w:t>..., v(</w:t>
      </w:r>
      <w:proofErr w:type="spellStart"/>
      <w:proofErr w:type="gramStart"/>
      <w:r>
        <w:t>j,g</w:t>
      </w:r>
      <w:proofErr w:type="spellEnd"/>
      <w:proofErr w:type="gramEnd"/>
      <w:r>
        <w:t>), ...). The graph topology is therefore fully determined by the variable formulas: edges are never declared separately, and a declared edge without a corresponding formula relationship cannot exist. This ensures the graph is always grounded in actual data dependencies, eliminating the possibility of structural inconsistency between the declared topology and the computational model.</w:t>
      </w:r>
    </w:p>
    <w:p w14:paraId="67D6DFC5" w14:textId="77777777" w:rsidR="003F03E3" w:rsidRDefault="001C6531">
      <w:pPr>
        <w:spacing w:after="160"/>
        <w:jc w:val="both"/>
      </w:pPr>
      <w:r>
        <w:t>Each edge e = (</w:t>
      </w:r>
      <w:proofErr w:type="spellStart"/>
      <w:r>
        <w:t>i</w:t>
      </w:r>
      <w:proofErr w:type="spellEnd"/>
      <w:r>
        <w:t>, j, g) carries the flow volume ϕ(</w:t>
      </w:r>
      <w:proofErr w:type="spellStart"/>
      <w:proofErr w:type="gramStart"/>
      <w:r>
        <w:t>i,j</w:t>
      </w:r>
      <w:proofErr w:type="gramEnd"/>
      <w:r>
        <w:t>,</w:t>
      </w:r>
      <w:proofErr w:type="gramStart"/>
      <w:r>
        <w:t>g,t</w:t>
      </w:r>
      <w:proofErr w:type="spellEnd"/>
      <w:proofErr w:type="gramEnd"/>
      <w:r>
        <w:t xml:space="preserve">), contributing symmetrically to both endpoints. The total outflow of node </w:t>
      </w:r>
      <w:proofErr w:type="spellStart"/>
      <w:r>
        <w:t>i</w:t>
      </w:r>
      <w:proofErr w:type="spellEnd"/>
      <w:r>
        <w:t xml:space="preserve"> equals the sum of flows on all edges departing </w:t>
      </w:r>
      <w:proofErr w:type="spellStart"/>
      <w:r>
        <w:t>i</w:t>
      </w:r>
      <w:proofErr w:type="spellEnd"/>
      <w:r>
        <w:t xml:space="preserve">, and the total inflow of node j equals the sum of flows on all edges arriving </w:t>
      </w:r>
      <w:r>
        <w:lastRenderedPageBreak/>
        <w:t>at j: Fₒᵤₜ(</w:t>
      </w:r>
      <w:proofErr w:type="spellStart"/>
      <w:r>
        <w:t>i,g,t</w:t>
      </w:r>
      <w:proofErr w:type="spellEnd"/>
      <w:r>
        <w:t>) = Σⱼ ϕ(</w:t>
      </w:r>
      <w:proofErr w:type="spellStart"/>
      <w:r>
        <w:t>i,j,g,t</w:t>
      </w:r>
      <w:proofErr w:type="spellEnd"/>
      <w:r>
        <w:t>) and Fᵢₙ(</w:t>
      </w:r>
      <w:proofErr w:type="spellStart"/>
      <w:r>
        <w:t>j,g,t</w:t>
      </w:r>
      <w:proofErr w:type="spellEnd"/>
      <w:r>
        <w:t>) = Σₖ ϕ(</w:t>
      </w:r>
      <w:proofErr w:type="spellStart"/>
      <w:r>
        <w:t>k,j,g,t</w:t>
      </w:r>
      <w:proofErr w:type="spellEnd"/>
      <w:r>
        <w:t>). Additional edge attributes include transit time τ(</w:t>
      </w:r>
      <w:proofErr w:type="spellStart"/>
      <w:proofErr w:type="gramStart"/>
      <w:r>
        <w:t>i,j</w:t>
      </w:r>
      <w:proofErr w:type="spellEnd"/>
      <w:proofErr w:type="gramEnd"/>
      <w:r>
        <w:t>) (relevant for tanker routes and long pipelines) and line loss ℓ(</w:t>
      </w:r>
      <w:proofErr w:type="spellStart"/>
      <w:proofErr w:type="gramStart"/>
      <w:r>
        <w:t>i,j</w:t>
      </w:r>
      <w:proofErr w:type="gramEnd"/>
      <w:r>
        <w:t>,g</w:t>
      </w:r>
      <w:proofErr w:type="spellEnd"/>
      <w:r>
        <w:t xml:space="preserve">) (relevant for pipeline leakage and evaporation), which introduce a physical lag between when a flow departs node </w:t>
      </w:r>
      <w:proofErr w:type="spellStart"/>
      <w:r>
        <w:t>i</w:t>
      </w:r>
      <w:proofErr w:type="spellEnd"/>
      <w:r>
        <w:t xml:space="preserve"> and when it arrives at node j.</w:t>
      </w:r>
    </w:p>
    <w:p w14:paraId="67D6DFC6" w14:textId="77777777" w:rsidR="003F03E3" w:rsidRDefault="001C6531">
      <w:pPr>
        <w:pStyle w:val="Heading3"/>
      </w:pPr>
      <w:r>
        <w:t>3.6.3 The Universal Mass Balance Constraint</w:t>
      </w:r>
    </w:p>
    <w:p w14:paraId="67D6DFC7" w14:textId="77777777" w:rsidR="003F03E3" w:rsidRDefault="001C6531">
      <w:pPr>
        <w:spacing w:after="160"/>
        <w:jc w:val="both"/>
      </w:pPr>
      <w:r>
        <w:t xml:space="preserve">Every node, regardless of type, must satisfy the mass balance equation. For node </w:t>
      </w:r>
      <w:proofErr w:type="spellStart"/>
      <w:r>
        <w:t>i</w:t>
      </w:r>
      <w:proofErr w:type="spellEnd"/>
      <w:r>
        <w:t>, grade g, and time t:</w:t>
      </w:r>
    </w:p>
    <w:p w14:paraId="67D6DFC8" w14:textId="77777777" w:rsidR="003F03E3" w:rsidRDefault="001C6531">
      <w:pPr>
        <w:spacing w:after="160"/>
        <w:jc w:val="center"/>
      </w:pPr>
      <w:r>
        <w:rPr>
          <w:rFonts w:ascii="Courier New" w:eastAsia="Courier New" w:hAnsi="Courier New" w:cs="Courier New"/>
          <w:sz w:val="22"/>
          <w:szCs w:val="22"/>
        </w:rPr>
        <w:t>ΔS(</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P(</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Fᵢₙ(</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C(</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Fₒᵤₜ(</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w:t>
      </w:r>
    </w:p>
    <w:p w14:paraId="67D6DFC9" w14:textId="77777777" w:rsidR="003F03E3" w:rsidRDefault="001C6531">
      <w:pPr>
        <w:spacing w:after="160"/>
        <w:jc w:val="both"/>
      </w:pPr>
      <w:r>
        <w:t>where ΔS(</w:t>
      </w:r>
      <w:proofErr w:type="spellStart"/>
      <w:proofErr w:type="gramStart"/>
      <w:r>
        <w:t>i,g</w:t>
      </w:r>
      <w:proofErr w:type="gramEnd"/>
      <w:r>
        <w:t>,t</w:t>
      </w:r>
      <w:proofErr w:type="spellEnd"/>
      <w:r>
        <w:t>) = S(</w:t>
      </w:r>
      <w:proofErr w:type="spellStart"/>
      <w:proofErr w:type="gramStart"/>
      <w:r>
        <w:t>i,g</w:t>
      </w:r>
      <w:proofErr w:type="gramEnd"/>
      <w:r>
        <w:t>,t</w:t>
      </w:r>
      <w:proofErr w:type="spellEnd"/>
      <w:r>
        <w:t>) − S(</w:t>
      </w:r>
      <w:proofErr w:type="gramStart"/>
      <w:r>
        <w:t>i,g</w:t>
      </w:r>
      <w:proofErr w:type="gramEnd"/>
      <w:r>
        <w:t>,t−1) is the observed change in stock. This equation holds regardless of whether the variables were assigned from time series or from formulas — it is the primary consistency check applied after the graph is built, not a constraint enforced during construction.</w:t>
      </w:r>
    </w:p>
    <w:p w14:paraId="67D6DFCA" w14:textId="77777777" w:rsidR="003F03E3" w:rsidRDefault="001C6531">
      <w:pPr>
        <w:pStyle w:val="Heading3"/>
      </w:pPr>
      <w:r>
        <w:t>3.6.4 Stock, Balancing Item, and Temporal Resolution</w:t>
      </w:r>
    </w:p>
    <w:p w14:paraId="67D6DFCB" w14:textId="77777777" w:rsidR="003F03E3" w:rsidRDefault="001C6531">
      <w:pPr>
        <w:spacing w:after="160"/>
        <w:jc w:val="both"/>
      </w:pPr>
      <w:r>
        <w:t>For nodes that hold physical inventory — storage facilities, strategic reserves, pipeline segments with line-fill — the stock level S(</w:t>
      </w:r>
      <w:proofErr w:type="spellStart"/>
      <w:proofErr w:type="gramStart"/>
      <w:r>
        <w:t>i,g</w:t>
      </w:r>
      <w:proofErr w:type="gramEnd"/>
      <w:r>
        <w:t>,t</w:t>
      </w:r>
      <w:proofErr w:type="spellEnd"/>
      <w:r>
        <w:t>) is treated as a first-class time series variable populated from observed data. The change in stock ΔS(</w:t>
      </w:r>
      <w:proofErr w:type="spellStart"/>
      <w:proofErr w:type="gramStart"/>
      <w:r>
        <w:t>i,g</w:t>
      </w:r>
      <w:proofErr w:type="gramEnd"/>
      <w:r>
        <w:t>,t</w:t>
      </w:r>
      <w:proofErr w:type="spellEnd"/>
      <w:r>
        <w:t>) implied by this series may not exactly equal the sum of the four flow variables P, Fᵢₙ, C, and Fₒᵤₜ, due to measurement error, unreported flows, rounding across data sources, and other data quality issues endemic to commodity reporting. The residual is captured by a dedicated variable termed the balancing item:</w:t>
      </w:r>
    </w:p>
    <w:p w14:paraId="67D6DFCC" w14:textId="77777777" w:rsidR="003F03E3" w:rsidRDefault="001C6531">
      <w:pPr>
        <w:spacing w:after="160"/>
        <w:jc w:val="center"/>
      </w:pPr>
      <w:r>
        <w:rPr>
          <w:rFonts w:ascii="Courier New" w:eastAsia="Courier New" w:hAnsi="Courier New" w:cs="Courier New"/>
          <w:sz w:val="22"/>
          <w:szCs w:val="22"/>
        </w:rPr>
        <w:t>B(</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ΔS(</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 P(</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Fᵢₙ(</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C(</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r>
        <w:rPr>
          <w:rFonts w:ascii="Courier New" w:eastAsia="Courier New" w:hAnsi="Courier New" w:cs="Courier New"/>
          <w:sz w:val="22"/>
          <w:szCs w:val="22"/>
        </w:rPr>
        <w:t>) − Fₒᵤₜ(</w:t>
      </w:r>
      <w:proofErr w:type="spellStart"/>
      <w:proofErr w:type="gramStart"/>
      <w:r>
        <w:rPr>
          <w:rFonts w:ascii="Courier New" w:eastAsia="Courier New" w:hAnsi="Courier New" w:cs="Courier New"/>
          <w:sz w:val="22"/>
          <w:szCs w:val="22"/>
        </w:rPr>
        <w:t>i,g</w:t>
      </w:r>
      <w:proofErr w:type="gramEnd"/>
      <w:r>
        <w:rPr>
          <w:rFonts w:ascii="Courier New" w:eastAsia="Courier New" w:hAnsi="Courier New" w:cs="Courier New"/>
          <w:sz w:val="22"/>
          <w:szCs w:val="22"/>
        </w:rPr>
        <w:t>,t</w:t>
      </w:r>
      <w:proofErr w:type="spellEnd"/>
      <w:proofErr w:type="gramStart"/>
      <w:r>
        <w:rPr>
          <w:rFonts w:ascii="Courier New" w:eastAsia="Courier New" w:hAnsi="Courier New" w:cs="Courier New"/>
          <w:sz w:val="22"/>
          <w:szCs w:val="22"/>
        </w:rPr>
        <w:t>) ]</w:t>
      </w:r>
      <w:proofErr w:type="gramEnd"/>
    </w:p>
    <w:p w14:paraId="67D6DFCD" w14:textId="77777777" w:rsidR="003F03E3" w:rsidRDefault="001C6531">
      <w:pPr>
        <w:spacing w:after="160"/>
        <w:jc w:val="both"/>
      </w:pPr>
      <w:r>
        <w:t>The term follows established practice in international energy statistics — the International Energy Agency uses it to absorb unaccounted differences in national energy supply-and-demand tables. The balancing item can be positive or negative, reflecting an apparent surplus or deficit in reported flows relative to observed stock change. Rather than treating it as noise to be discarded, this framework retains the balancing item as a node variable: it carries information about systematic data gaps that may themselves be predictable or structurally informative for the GNN. Whether the balancing item serves as a forecasting target, a regularisation signal, or a diagnostic flag is a modelling decision deferred to Chapter 5.</w:t>
      </w:r>
    </w:p>
    <w:p w14:paraId="67D6DFCE" w14:textId="77777777" w:rsidR="003F03E3" w:rsidRDefault="001C6531">
      <w:pPr>
        <w:spacing w:after="160"/>
        <w:jc w:val="both"/>
      </w:pPr>
      <w:proofErr w:type="spellStart"/>
      <w:r>
        <w:t>All time</w:t>
      </w:r>
      <w:proofErr w:type="spellEnd"/>
      <w:r>
        <w:t xml:space="preserve"> series variables are pre-processed to a common unit of barrels per day (b/d) before ingestion into the graph. Where source data report cumulative volumes over a period (monthly totals, weekly aggregates), these are converted to average daily rates by dividing by the number of days in the period. The resulting time series are treated as step functions: the reported rate for a given observation date persists unchanged until the next observation date, at which point it steps to the new value. This convention is consistent with standard practice in energy market reporting, where data providers publish period-average rates rather than instantaneous measurements, and it ensures that any two observations — regardless of their temporal spacing — can be compared and combined on a uniform basis without interpolation or frequency alignment in the graph layer.</w:t>
      </w:r>
    </w:p>
    <w:p w14:paraId="67D6DFCF" w14:textId="77777777" w:rsidR="003F03E3" w:rsidRDefault="001C6531">
      <w:pPr>
        <w:pStyle w:val="Heading3"/>
      </w:pPr>
      <w:r>
        <w:t>3.6.5 Post-Build Consistency Validation</w:t>
      </w:r>
    </w:p>
    <w:p w14:paraId="67D6DFD0" w14:textId="77777777" w:rsidR="003F03E3" w:rsidRDefault="001C6531">
      <w:pPr>
        <w:spacing w:after="160"/>
        <w:jc w:val="both"/>
      </w:pPr>
      <w:r>
        <w:lastRenderedPageBreak/>
        <w:t xml:space="preserve">Once the graph has been constructed from its variable definitions, a set of consistency checks is applied using node type metadata and geographic location information. These checks verify physical plausibility rather than mathematical </w:t>
      </w:r>
      <w:proofErr w:type="gramStart"/>
      <w:r>
        <w:t>correctness, and</w:t>
      </w:r>
      <w:proofErr w:type="gramEnd"/>
      <w:r>
        <w:t xml:space="preserve"> are performed as a post-build validation pass rather than as construction constraints. Pass-through nodes (export terminals, pipeline segments) must have P = 0 and C = 0; production-only nodes (wellheads, extraction platforms) must have Fᵢₙ = 0 and C = 0; edges between geographically disconnected nodes may flag a missing intermediate node or a data error; and formula-defined aggregation variables are cross-checked against the mass balance to verify that the aggregation is complete.</w:t>
      </w:r>
    </w:p>
    <w:p w14:paraId="67D6DFD1" w14:textId="77777777" w:rsidR="003F03E3" w:rsidRDefault="001C6531">
      <w:pPr>
        <w:spacing w:after="160"/>
        <w:jc w:val="both"/>
      </w:pPr>
      <w:r>
        <w:t>The separation of construction from validation is intentional. Mixed-granularity data — where some variables are reported at state level and others at sub-state or terminal level — requires no special handling in the construction phase. The formula layer handles granularity transitions naturally: if state-level exports are defined as the sum of all terminal outflows, that formula creates the correct edges automatically, and the consistency check confirms whether the aggregation closes. No explicit granularity hierarchy or double-counting prevention logic is required in the schema.</w:t>
      </w:r>
    </w:p>
    <w:p w14:paraId="67D6DFD2" w14:textId="77777777" w:rsidR="003F03E3" w:rsidRDefault="001C6531">
      <w:pPr>
        <w:spacing w:after="160"/>
        <w:jc w:val="both"/>
      </w:pPr>
      <w:r>
        <w:t>The initial implementation uses crude oil without grade differentiation, simplifying the variable space while preserving the full structural and temporal complexity of the network. The schema is designed for extension: adding grades or refined products requires only introducing additional grade-indexed variable instances on each node, with no changes to the underlying graph construction or validation logic. Blending nodes — where multiple grades combine to produce a composite output — will be incorporated in future extensions by defining a blending contribution formula as a function of consumption, which integrates naturally into the existing formula-implies-edge framework.</w:t>
      </w:r>
    </w:p>
    <w:p w14:paraId="67D6DFD3" w14:textId="77777777" w:rsidR="003F03E3" w:rsidRDefault="001C6531">
      <w:pPr>
        <w:pStyle w:val="Heading1"/>
      </w:pPr>
      <w:r>
        <w:t>4. Vectorization Methods for Temporal Logistics Graphs</w:t>
      </w:r>
    </w:p>
    <w:p w14:paraId="67D6DFD4" w14:textId="77777777" w:rsidR="003F03E3" w:rsidRDefault="001C6531">
      <w:pPr>
        <w:pStyle w:val="Heading2"/>
      </w:pPr>
      <w:r>
        <w:t>4.1 The Vectorization Problem</w:t>
      </w:r>
    </w:p>
    <w:p w14:paraId="67D6DFD5" w14:textId="77777777" w:rsidR="003F03E3" w:rsidRDefault="001C6531">
      <w:pPr>
        <w:spacing w:after="160"/>
        <w:jc w:val="both"/>
      </w:pPr>
      <w:r>
        <w:t>The central technical challenge of this research is transforming the temporal graph representation G(t) = (V, E, X(t), W(t)) into fixed-dimensional vector representations — embeddings — that can serve as inputs to machine learning forecasting models. Each embedding must simultaneously encode where a node sits in the network topology, what its feature time series looks like, and how it has interacted with its neighbours over time.</w:t>
      </w:r>
    </w:p>
    <w:p w14:paraId="67D6DFD6" w14:textId="77777777" w:rsidR="003F03E3" w:rsidRDefault="001C6531">
      <w:pPr>
        <w:spacing w:after="160"/>
        <w:jc w:val="both"/>
      </w:pPr>
      <w:r>
        <w:t>The quality of the vectorisation directly determines the quality of downstream forecasts. An embedding that faithfully encodes network structure but ignores temporal patterns will miss the time-dependent dynamics of inventory evolution. One that captures temporal patterns but ignores network structure will miss the spatial dependencies through which disruptions propagate. The ideal vectorisation method captures both dimensions in a unified representation.</w:t>
      </w:r>
    </w:p>
    <w:p w14:paraId="67D6DFD7" w14:textId="77777777" w:rsidR="003F03E3" w:rsidRDefault="003F03E3">
      <w:pPr>
        <w:spacing w:after="160"/>
        <w:jc w:val="both"/>
      </w:pPr>
    </w:p>
    <w:p w14:paraId="67D6DFD8" w14:textId="77777777" w:rsidR="003F03E3" w:rsidRDefault="001C6531">
      <w:pPr>
        <w:pStyle w:val="Heading2"/>
      </w:pPr>
      <w:r>
        <w:t>4.2 Structural Embedding Methods</w:t>
      </w:r>
    </w:p>
    <w:p w14:paraId="67D6DFD9" w14:textId="77777777" w:rsidR="003F03E3" w:rsidRDefault="001C6531">
      <w:pPr>
        <w:pStyle w:val="Heading3"/>
      </w:pPr>
      <w:r>
        <w:t>4.2.1 node2vec</w:t>
      </w:r>
    </w:p>
    <w:p w14:paraId="67D6DFDA" w14:textId="77777777" w:rsidR="003F03E3" w:rsidRDefault="001C6531">
      <w:pPr>
        <w:spacing w:after="160"/>
        <w:jc w:val="both"/>
      </w:pPr>
      <w:r>
        <w:lastRenderedPageBreak/>
        <w:t>The node2vec algorithm (Grover and Leskovec, 2016) generates node embeddings through biased random walks on the graph, processed by a Skip-gram model. The two hyperparameters p (return parameter) and q (in-out parameter) control whether the walk favours revisiting recent nodes (breadth-first behaviour, capturing local structural equivalence) or exploring outward (depth-first behaviour, capturing community structure and homophily). In the logistics graph, a low p value keeps the walk within a local cluster of tightly connected assets (e.g., a production field and its nearby storage), while a low q value encourages exploration of the broader network.</w:t>
      </w:r>
    </w:p>
    <w:p w14:paraId="67D6DFDB" w14:textId="77777777" w:rsidR="003F03E3" w:rsidRDefault="001C6531">
      <w:pPr>
        <w:spacing w:after="160"/>
        <w:jc w:val="both"/>
      </w:pPr>
      <w:r>
        <w:t>Node2vec offers computational scalability, flexibility in balancing local and global structure, and interpretable embeddings. Its primary limitation is that it operates on a static graph and does not natively encode temporal information. Temporal variation would need to be incorporated by either recomputing embeddings at each time step — losing temporal coherence — or by concatenating the structural embedding with a separately computed temporal feature vector.</w:t>
      </w:r>
    </w:p>
    <w:p w14:paraId="67D6DFDC" w14:textId="77777777" w:rsidR="003F03E3" w:rsidRDefault="001C6531">
      <w:pPr>
        <w:pStyle w:val="Heading3"/>
      </w:pPr>
      <w:r>
        <w:t xml:space="preserve">4.2.2 </w:t>
      </w:r>
      <w:proofErr w:type="spellStart"/>
      <w:r>
        <w:t>DeepWalk</w:t>
      </w:r>
      <w:proofErr w:type="spellEnd"/>
      <w:r>
        <w:t xml:space="preserve"> and LINE</w:t>
      </w:r>
    </w:p>
    <w:p w14:paraId="67D6DFDD" w14:textId="77777777" w:rsidR="003F03E3" w:rsidRDefault="001C6531">
      <w:pPr>
        <w:spacing w:after="160"/>
        <w:jc w:val="both"/>
      </w:pPr>
      <w:proofErr w:type="spellStart"/>
      <w:r>
        <w:t>DeepWalk</w:t>
      </w:r>
      <w:proofErr w:type="spellEnd"/>
      <w:r>
        <w:t xml:space="preserve"> (Perozzi et al., 2014) is a special case of node2vec with p = q = 1, producing uniform random walks. LINE (Tang et al., 2015) takes a different approach, directly optimizing objectives based on </w:t>
      </w:r>
      <w:proofErr w:type="gramStart"/>
      <w:r>
        <w:t>first-order</w:t>
      </w:r>
      <w:proofErr w:type="gramEnd"/>
      <w:r>
        <w:t xml:space="preserve"> and second-order proximity. Both methods share node2vec's limitation of static graph operation but offer advantages in specific settings: </w:t>
      </w:r>
      <w:proofErr w:type="spellStart"/>
      <w:r>
        <w:t>DeepWalk</w:t>
      </w:r>
      <w:proofErr w:type="spellEnd"/>
      <w:r>
        <w:t xml:space="preserve"> for its simplicity and reproducibility, LINE for its efficiency on very large networks and its explicit modelling of both direct and indirect structural relationships.</w:t>
      </w:r>
    </w:p>
    <w:p w14:paraId="67D6DFDE" w14:textId="77777777" w:rsidR="003F03E3" w:rsidRDefault="001C6531">
      <w:pPr>
        <w:pStyle w:val="Heading2"/>
      </w:pPr>
      <w:r>
        <w:t>4.3 Spatial GNN-Based Embedding Methods</w:t>
      </w:r>
    </w:p>
    <w:p w14:paraId="67D6DFDF" w14:textId="77777777" w:rsidR="003F03E3" w:rsidRDefault="001C6531">
      <w:pPr>
        <w:pStyle w:val="Heading3"/>
      </w:pPr>
      <w:r>
        <w:t>4.3.1 Graph Convolutional Networks (GCN)</w:t>
      </w:r>
    </w:p>
    <w:p w14:paraId="67D6DFE0" w14:textId="77777777" w:rsidR="003F03E3" w:rsidRDefault="001C6531">
      <w:pPr>
        <w:spacing w:after="160"/>
        <w:jc w:val="both"/>
      </w:pPr>
      <w:r>
        <w:t>GCN (Kipf and Welling, 2017) generates embeddings through iterative neighbourhood aggregation using spectral convolutions approximated on the graph. Each GCN layer allows a node to incorporate information from nodes one hop away; stacking L layers enables information propagation across L-hop neighbourhoods. The node features X(t) at a given time step serve as input, and the GCN produces embeddings encoding both the node's own features and its network neighbourhood.</w:t>
      </w:r>
    </w:p>
    <w:p w14:paraId="67D6DFE1" w14:textId="77777777" w:rsidR="003F03E3" w:rsidRDefault="001C6531">
      <w:pPr>
        <w:spacing w:after="160"/>
        <w:jc w:val="both"/>
      </w:pPr>
      <w:r>
        <w:t>For the logistics network, GCN embeddings capture, for example, that a storage node's state depends not only on its own inventory level but also on the production rates of upstream sources and consumption rates of downstream sinks. The limitation is that GCN uses the same aggregation weights for all neighbours, which may not be appropriate when edges carry different significance — a high-capacity pipeline versus a minor road connection.</w:t>
      </w:r>
    </w:p>
    <w:p w14:paraId="67D6DFE2" w14:textId="77777777" w:rsidR="003F03E3" w:rsidRDefault="001C6531">
      <w:pPr>
        <w:spacing w:after="160"/>
        <w:jc w:val="both"/>
      </w:pPr>
      <w:r>
        <w:t xml:space="preserve">The use of GCN here is not semi-supervised classification, as in the original paper, but spatial feature enrichment for forecasting. All nodes in the logistics network are fully characterised — their types, geographic locations, connections, and operational attributes are known. The task is not to infer missing labels but to learn representations capturing how each node's state is influenced by its neighbours', so that a downstream model can predict future inventory trajectories. This usage parallels the traffic forecasting literature, where GCN-based models such as DCRNN (Li et al., 2018) and STGCN (Yu et al., 2018) operate on fully observed sensor networks and use the GCN to capture spatial dependencies — how congestion at one intersection affects traffic </w:t>
      </w:r>
      <w:r>
        <w:lastRenderedPageBreak/>
        <w:t>at nearby intersections. The crude-oil logistics network presents an analogous structure: all assets are identified, all connections are mapped, and the goal is to use spatial relationships among nodes to produce better forecasts of how flows and inventory levels will evolve.</w:t>
      </w:r>
    </w:p>
    <w:p w14:paraId="67D6DFE3" w14:textId="77777777" w:rsidR="003F03E3" w:rsidRDefault="001C6531">
      <w:pPr>
        <w:pStyle w:val="Heading3"/>
      </w:pPr>
      <w:r>
        <w:t>4.3.2 Graph Attention Networks (GAT)</w:t>
      </w:r>
    </w:p>
    <w:p w14:paraId="67D6DFE4" w14:textId="77777777" w:rsidR="003F03E3" w:rsidRDefault="001C6531">
      <w:pPr>
        <w:spacing w:after="160"/>
        <w:jc w:val="both"/>
      </w:pPr>
      <w:r>
        <w:t>GAT (</w:t>
      </w:r>
      <w:proofErr w:type="spellStart"/>
      <w:r>
        <w:t>Veličković</w:t>
      </w:r>
      <w:proofErr w:type="spellEnd"/>
      <w:r>
        <w:t xml:space="preserve"> et al., 2018) addresses this limitation by learning attention coefficients that weight each neighbour's contribution to the aggregation. In the logistics context, GAT can learn to attend more strongly to high-capacity pipeline connections than to minor transport links, or to prioritise information from nodes whose states are most predictive of the target node's inventory trajectory. The multi-head attention mechanism further enriches the representation by learning multiple independent attention patterns in parallel.</w:t>
      </w:r>
    </w:p>
    <w:p w14:paraId="2CC30001" w14:textId="77777777" w:rsidR="005D18A0" w:rsidRDefault="00892F69">
      <w:pPr>
        <w:spacing w:after="160"/>
        <w:jc w:val="both"/>
      </w:pPr>
      <w:r>
        <w:t xml:space="preserve">Feedstock switching and the corresponding shift in product slate are among the most consequential events the model must be capable of representing. When a refinery changes its crude diet — moving from light sweet to medium sour, for instance, in response to a widening Brent-Dubai differential or a disruption in its usual supply source — the downstream effects ripple through the network: crude flows on affected pipeline and tanker routes change direction or intensity, storage draws at certain terminals accelerate while others slow, and the product output slate shifts in ways that alter demand signals back upstream. A model that cannot anticipate this possibility will systematically </w:t>
      </w:r>
      <w:proofErr w:type="spellStart"/>
      <w:r>
        <w:t>misforecast</w:t>
      </w:r>
      <w:proofErr w:type="spellEnd"/>
      <w:r>
        <w:t xml:space="preserve"> inventory trajectories at every node connected to the affected refinery. GAT’s attention mechanism is directly relevant here because the attention coefficient between a refinery node and each of its upstream neighbours is computed from both nodes’ feature vectors. When the refinery’s static configuration attributes (Section 3.2) encode that it can accept heavier grades — because it has a hydrocracker and sufficient desulphurisation capacity — GAT can learn to assign non-trivial attention weight to supply nodes that carry heavy sour crude, even if flows on those edges have historically been zero, allowing the model to anticipate a feedstock switch before it fully materialises in the flow data.</w:t>
      </w:r>
    </w:p>
    <w:p w14:paraId="67D6DFE5" w14:textId="77777777" w:rsidR="003F03E3" w:rsidRDefault="001C6531">
      <w:pPr>
        <w:pStyle w:val="Heading3"/>
      </w:pPr>
      <w:r>
        <w:t xml:space="preserve">4.3.3 </w:t>
      </w:r>
      <w:proofErr w:type="spellStart"/>
      <w:r>
        <w:t>GraphSAGE</w:t>
      </w:r>
      <w:proofErr w:type="spellEnd"/>
    </w:p>
    <w:p w14:paraId="67D6DFE6" w14:textId="77777777" w:rsidR="003F03E3" w:rsidRDefault="001C6531">
      <w:pPr>
        <w:spacing w:after="160"/>
        <w:jc w:val="both"/>
      </w:pPr>
      <w:proofErr w:type="spellStart"/>
      <w:r>
        <w:t>GraphSAGE</w:t>
      </w:r>
      <w:proofErr w:type="spellEnd"/>
      <w:r>
        <w:t xml:space="preserve"> (Hamilton et al., 2017) learns aggregation functions that generalise to unseen nodes, making it well suited for logistics networks that expand over time with new storage facilities or pipeline routes. Its sampling strategy also provides computational benefits for large networks by limiting the number of neighbours considered at each layer.</w:t>
      </w:r>
    </w:p>
    <w:p w14:paraId="67D6DFE7" w14:textId="77777777" w:rsidR="003F03E3" w:rsidRDefault="001C6531">
      <w:pPr>
        <w:pStyle w:val="Heading2"/>
      </w:pPr>
      <w:r>
        <w:t>4.4 Temporal Graph Embedding Methods</w:t>
      </w:r>
    </w:p>
    <w:p w14:paraId="67D6DFE8" w14:textId="77777777" w:rsidR="003F03E3" w:rsidRDefault="001C6531">
      <w:pPr>
        <w:pStyle w:val="Heading3"/>
      </w:pPr>
      <w:r>
        <w:t>4.4.1 Temporal Graph Attention Network (TGAT)</w:t>
      </w:r>
    </w:p>
    <w:p w14:paraId="67D6DFE9" w14:textId="77777777" w:rsidR="003F03E3" w:rsidRDefault="001C6531">
      <w:pPr>
        <w:spacing w:after="160"/>
        <w:jc w:val="both"/>
      </w:pPr>
      <w:r>
        <w:t xml:space="preserve">TGAT (Xu et al., 2020) extends the attention mechanism to temporal graphs by incorporating time encodings based on functional time representations. For each interaction between nodes </w:t>
      </w:r>
      <w:proofErr w:type="spellStart"/>
      <w:r>
        <w:t>i</w:t>
      </w:r>
      <w:proofErr w:type="spellEnd"/>
      <w:r>
        <w:t xml:space="preserve"> and j at time t, TGAT computes attention weights that depend on both the structural relationship and the temporal distance from the current time — allowing the model to discount old interactions and focus on recent ones. In logistics, recent flow patterns are generally more informative than historical ones for predicting near-future inventory levels.</w:t>
      </w:r>
    </w:p>
    <w:p w14:paraId="67D6DFEA" w14:textId="77777777" w:rsidR="003F03E3" w:rsidRDefault="001C6531">
      <w:pPr>
        <w:pStyle w:val="Heading3"/>
      </w:pPr>
      <w:r>
        <w:lastRenderedPageBreak/>
        <w:t>4.4.2 Temporal Graph Networks (TGN)</w:t>
      </w:r>
    </w:p>
    <w:p w14:paraId="67D6DFEB" w14:textId="77777777" w:rsidR="003F03E3" w:rsidRDefault="001C6531">
      <w:pPr>
        <w:spacing w:after="160"/>
        <w:jc w:val="both"/>
      </w:pPr>
      <w:r>
        <w:t>TGN (Rossi et al., 2020) provides the most comprehensive temporal graph framework by maintaining an updatable memory state for each node, updated when an interaction occurs on an edge. This memory-based approach is particularly well suited to inventory tracking, where a node's current state is fundamentally a function of its cumulative history of inflows and outflows — precisely the kind of sequential dependency that memory modules are designed to capture. TGN also supports batch processing of interactions, making it computationally feasible for networks with high event rates.</w:t>
      </w:r>
    </w:p>
    <w:p w14:paraId="67D6DFEC" w14:textId="77777777" w:rsidR="003F03E3" w:rsidRDefault="001C6531">
      <w:pPr>
        <w:pStyle w:val="Heading3"/>
      </w:pPr>
      <w:r>
        <w:t>4.4.3 Causal Anonymous Walks (CAW)</w:t>
      </w:r>
    </w:p>
    <w:p w14:paraId="67D6DFED" w14:textId="77777777" w:rsidR="003F03E3" w:rsidRDefault="001C6531">
      <w:pPr>
        <w:spacing w:after="160"/>
        <w:jc w:val="both"/>
      </w:pPr>
      <w:r>
        <w:t xml:space="preserve">CAW (Wang et al., 2021) generates temporally ordered anonymous walks that preserve causal relationships, providing a temporal </w:t>
      </w:r>
      <w:proofErr w:type="spellStart"/>
      <w:r>
        <w:t>analog</w:t>
      </w:r>
      <w:proofErr w:type="spellEnd"/>
      <w:r>
        <w:t xml:space="preserve"> of the structural random walks used by node2vec. The anonymisation of walks (replacing node identities with structural roles) helps the model learn generalizable temporal patterns rather than memorising specific node behaviours — potentially capturing recurring motifs such as seasonal production-consumption cycles or periodic restocking patterns.</w:t>
      </w:r>
    </w:p>
    <w:p w14:paraId="67D6DFEE" w14:textId="77777777" w:rsidR="003F03E3" w:rsidRDefault="001C6531">
      <w:pPr>
        <w:pStyle w:val="Heading2"/>
      </w:pPr>
      <w:r>
        <w:t>4.5 Hybrid Approaches</w:t>
      </w:r>
    </w:p>
    <w:p w14:paraId="67D6DFEF" w14:textId="77777777" w:rsidR="003F03E3" w:rsidRDefault="001C6531">
      <w:pPr>
        <w:pStyle w:val="Heading3"/>
      </w:pPr>
      <w:r>
        <w:t>4.5.1 Graph + Recurrent Neural Networks</w:t>
      </w:r>
    </w:p>
    <w:p w14:paraId="67D6DFF0" w14:textId="77777777" w:rsidR="003F03E3" w:rsidRDefault="001C6531">
      <w:pPr>
        <w:spacing w:after="160"/>
        <w:jc w:val="both"/>
      </w:pPr>
      <w:r>
        <w:t xml:space="preserve">One natural hybrid approach combines a spatial GNN (GCN, GAT, or </w:t>
      </w:r>
      <w:proofErr w:type="spellStart"/>
      <w:r>
        <w:t>GraphSAGE</w:t>
      </w:r>
      <w:proofErr w:type="spellEnd"/>
      <w:r>
        <w:t>) with a recurrent neural network (LSTM or GRU) for temporal modelling. The GNN processes each time-step snapshot to produce spatially informed node embeddings; the RNN processes the sequence of embeddings over time to capture temporal dynamics. DCRNN (Li et al., 2018) exemplifies this approach in the traffic domain, modelling diffusion on a directed graph with an encoder-decoder architecture for multi-step forecasting.</w:t>
      </w:r>
    </w:p>
    <w:p w14:paraId="67D6DFF1" w14:textId="77777777" w:rsidR="003F03E3" w:rsidRDefault="001C6531">
      <w:pPr>
        <w:pStyle w:val="Heading3"/>
      </w:pPr>
      <w:r>
        <w:t>4.5.2 Graph + Temporal Convolution</w:t>
      </w:r>
    </w:p>
    <w:p w14:paraId="67D6DFF2" w14:textId="77777777" w:rsidR="003F03E3" w:rsidRDefault="001C6531">
      <w:pPr>
        <w:spacing w:after="160"/>
        <w:jc w:val="both"/>
      </w:pPr>
      <w:r>
        <w:t>An alternative hybrid replaces the recurrent component with temporal convolutional networks (TCNs) or one-dimensional convolutions over time. STGCN (Yu et al., 2018) interleaves graph convolution with temporal convolution, gaining computational efficiency over recurrent approaches while maintaining comparable forecasting performance. Dilated causal convolutions allow the model to capture long-range temporal dependencies without the vanishing gradient problems that can affect deep recurrent models.</w:t>
      </w:r>
    </w:p>
    <w:p w14:paraId="67D6DFF3" w14:textId="77777777" w:rsidR="003F03E3" w:rsidRDefault="001C6531">
      <w:pPr>
        <w:pStyle w:val="Heading3"/>
      </w:pPr>
      <w:r>
        <w:t>4.5.3 Time2Vec + GNN</w:t>
      </w:r>
    </w:p>
    <w:p w14:paraId="67D6DFF4" w14:textId="77777777" w:rsidR="003F03E3" w:rsidRDefault="001C6531">
      <w:pPr>
        <w:spacing w:after="160"/>
        <w:jc w:val="both"/>
      </w:pPr>
      <w:r>
        <w:t xml:space="preserve">Time2Vec (Kazemi et al., 2019) provides a learnable time encoding that can be integrated with any GNN architecture. By representing time as a vector of learned periodic and linear components, it allows the model to capture both periodic patterns (seasonal cycles, weekly patterns) and trends. Combined with a spatial GNN, </w:t>
      </w:r>
      <w:proofErr w:type="gramStart"/>
      <w:r>
        <w:t>this yields embeddings</w:t>
      </w:r>
      <w:proofErr w:type="gramEnd"/>
      <w:r>
        <w:t xml:space="preserve"> encoding time-aware structural information without requiring the explicit temporal architecture of TGAT or TGN.</w:t>
      </w:r>
    </w:p>
    <w:p w14:paraId="67D6DFF5" w14:textId="77777777" w:rsidR="003F03E3" w:rsidRDefault="001C6531">
      <w:pPr>
        <w:pStyle w:val="Heading2"/>
      </w:pPr>
      <w:r>
        <w:t>4.6 Evaluation Criteria for Vectorization Methods</w:t>
      </w:r>
    </w:p>
    <w:p w14:paraId="67D6DFF6" w14:textId="77777777" w:rsidR="003F03E3" w:rsidRDefault="001C6531">
      <w:pPr>
        <w:spacing w:after="160"/>
        <w:jc w:val="both"/>
      </w:pPr>
      <w:r>
        <w:lastRenderedPageBreak/>
        <w:t>Selecting the optimal vectorisation method for the crude-oil logistics network will be guided by the following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F03E3" w14:paraId="67D6DF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F7" w14:textId="77777777" w:rsidR="003F03E3" w:rsidRDefault="001C6531">
            <w:r>
              <w:rPr>
                <w:b/>
                <w:bCs/>
                <w:sz w:val="20"/>
                <w:szCs w:val="20"/>
              </w:rPr>
              <w:t>Criterion</w:t>
            </w:r>
          </w:p>
        </w:tc>
        <w:tc>
          <w:tcPr>
            <w:tcW w:w="6826"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DFF8" w14:textId="77777777" w:rsidR="003F03E3" w:rsidRDefault="001C6531">
            <w:r>
              <w:rPr>
                <w:b/>
                <w:bCs/>
                <w:sz w:val="20"/>
                <w:szCs w:val="20"/>
              </w:rPr>
              <w:t>Description</w:t>
            </w:r>
          </w:p>
        </w:tc>
      </w:tr>
      <w:tr w:rsidR="003F03E3" w14:paraId="67D6DFF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FA" w14:textId="77777777" w:rsidR="003F03E3" w:rsidRDefault="001C6531">
            <w:r>
              <w:rPr>
                <w:sz w:val="20"/>
                <w:szCs w:val="20"/>
              </w:rPr>
              <w:t>Forecasting Accuracy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FB" w14:textId="77777777" w:rsidR="003F03E3" w:rsidRDefault="001C6531">
            <w:r>
              <w:rPr>
                <w:sz w:val="20"/>
                <w:szCs w:val="20"/>
              </w:rPr>
              <w:t>Forecasting accuracy is the primary criterion: how well do the embeddings support accurate prediction of future inventory levels and flow rates? Evaluated using MAE, RMSE, and MAPE against held-out test data.</w:t>
            </w:r>
          </w:p>
        </w:tc>
      </w:tr>
      <w:tr w:rsidR="003F03E3" w14:paraId="67D6DFF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FD" w14:textId="77777777" w:rsidR="003F03E3" w:rsidRDefault="001C6531">
            <w:r>
              <w:rPr>
                <w:sz w:val="20"/>
                <w:szCs w:val="20"/>
              </w:rPr>
              <w:t>Temporal Coherence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DFFE" w14:textId="77777777" w:rsidR="003F03E3" w:rsidRDefault="001C6531">
            <w:r>
              <w:rPr>
                <w:sz w:val="20"/>
                <w:szCs w:val="20"/>
              </w:rPr>
              <w:t>Temporal coherence: do embeddings for the same node at adjacent time steps exhibit smooth, interpretable evolution, or fluctuate erratically? High temporal coherence indicates that the embedding space faithfully tracks the continuous evolution of node states.</w:t>
            </w:r>
          </w:p>
        </w:tc>
      </w:tr>
      <w:tr w:rsidR="003F03E3" w14:paraId="67D6E00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0" w14:textId="77777777" w:rsidR="003F03E3" w:rsidRDefault="001C6531">
            <w:r>
              <w:rPr>
                <w:sz w:val="20"/>
                <w:szCs w:val="20"/>
              </w:rPr>
              <w:t>Structural Fidelity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1" w14:textId="77777777" w:rsidR="003F03E3" w:rsidRDefault="001C6531">
            <w:r>
              <w:rPr>
                <w:sz w:val="20"/>
                <w:szCs w:val="20"/>
              </w:rPr>
              <w:t>Structural fidelity: do the embeddings preserve topological relationships in the network? Nodes that are closely connected (by few hops or high-capacity edges) should have similar embeddings. Evaluated using link prediction as a proxy task.</w:t>
            </w:r>
          </w:p>
        </w:tc>
      </w:tr>
      <w:tr w:rsidR="003F03E3" w14:paraId="67D6E00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3" w14:textId="77777777" w:rsidR="003F03E3" w:rsidRDefault="001C6531">
            <w:r>
              <w:rPr>
                <w:sz w:val="20"/>
                <w:szCs w:val="20"/>
              </w:rPr>
              <w:t>Scalability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4" w14:textId="77777777" w:rsidR="003F03E3" w:rsidRDefault="001C6531">
            <w:r>
              <w:rPr>
                <w:sz w:val="20"/>
                <w:szCs w:val="20"/>
              </w:rPr>
              <w:t>Computational scalability: how does cost scale with the number of nodes, edges, and time steps? Relevant for deployment on large-scale logistics networks.</w:t>
            </w:r>
          </w:p>
        </w:tc>
      </w:tr>
      <w:tr w:rsidR="003F03E3" w14:paraId="67D6E0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6" w14:textId="77777777" w:rsidR="003F03E3" w:rsidRDefault="001C6531">
            <w:r>
              <w:rPr>
                <w:sz w:val="20"/>
                <w:szCs w:val="20"/>
              </w:rPr>
              <w:t>Physical Consistency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7" w14:textId="77777777" w:rsidR="003F03E3" w:rsidRDefault="001C6531">
            <w:r>
              <w:rPr>
                <w:sz w:val="20"/>
                <w:szCs w:val="20"/>
              </w:rPr>
              <w:t>Physical consistency: do forecasts generated from the embeddings respect the inventory conservation constraint and capacity limits? Methods that naturally enforce or are compatible with such constraints are preferred.</w:t>
            </w:r>
          </w:p>
        </w:tc>
      </w:tr>
      <w:tr w:rsidR="003F03E3" w14:paraId="67D6E00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9" w14:textId="77777777" w:rsidR="003F03E3" w:rsidRDefault="001C6531">
            <w:r>
              <w:rPr>
                <w:sz w:val="20"/>
                <w:szCs w:val="20"/>
              </w:rPr>
              <w:t>Inductive Capability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0A" w14:textId="77777777" w:rsidR="003F03E3" w:rsidRDefault="001C6531">
            <w:r>
              <w:rPr>
                <w:sz w:val="20"/>
                <w:szCs w:val="20"/>
              </w:rPr>
              <w:t>Inductive capability: can the method generate embeddings for new nodes — new assets added to the network — without complete retraining?</w:t>
            </w:r>
          </w:p>
        </w:tc>
      </w:tr>
    </w:tbl>
    <w:p w14:paraId="67D6E00C" w14:textId="77777777" w:rsidR="003F03E3" w:rsidRDefault="003F03E3"/>
    <w:p w14:paraId="67D6E00D" w14:textId="77777777" w:rsidR="003F03E3" w:rsidRDefault="001C6531">
      <w:pPr>
        <w:pStyle w:val="Heading2"/>
      </w:pPr>
      <w:r>
        <w:t>4.7 Summary of Vectorization Approaches</w:t>
      </w:r>
    </w:p>
    <w:p w14:paraId="67D6E00E" w14:textId="77777777" w:rsidR="003F03E3" w:rsidRDefault="001C6531">
      <w:pPr>
        <w:spacing w:after="160"/>
        <w:jc w:val="both"/>
      </w:pPr>
      <w:r>
        <w:t>The following table summarizes the four families of vectorization methods along their key dimensions: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2398"/>
        <w:gridCol w:w="1200"/>
        <w:gridCol w:w="1200"/>
        <w:gridCol w:w="1200"/>
        <w:gridCol w:w="1230"/>
      </w:tblGrid>
      <w:tr w:rsidR="003F03E3" w14:paraId="67D6E01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0F" w14:textId="77777777" w:rsidR="003F03E3" w:rsidRDefault="001C6531">
            <w:r>
              <w:rPr>
                <w:b/>
                <w:bCs/>
                <w:sz w:val="20"/>
                <w:szCs w:val="20"/>
              </w:rPr>
              <w:t>Approach</w:t>
            </w:r>
          </w:p>
        </w:tc>
        <w:tc>
          <w:tcPr>
            <w:tcW w:w="24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10" w14:textId="77777777" w:rsidR="003F03E3" w:rsidRDefault="001C6531">
            <w:r>
              <w:rPr>
                <w:b/>
                <w:bCs/>
                <w:sz w:val="20"/>
                <w:szCs w:val="20"/>
              </w:rPr>
              <w:t>Examples</w:t>
            </w:r>
          </w:p>
        </w:tc>
        <w:tc>
          <w:tcPr>
            <w:tcW w:w="1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11" w14:textId="77777777" w:rsidR="003F03E3" w:rsidRDefault="001C6531">
            <w:r>
              <w:rPr>
                <w:b/>
                <w:bCs/>
                <w:sz w:val="20"/>
                <w:szCs w:val="20"/>
              </w:rPr>
              <w:t>Temporal</w:t>
            </w:r>
          </w:p>
        </w:tc>
        <w:tc>
          <w:tcPr>
            <w:tcW w:w="1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12" w14:textId="77777777" w:rsidR="003F03E3" w:rsidRDefault="001C6531">
            <w:r>
              <w:rPr>
                <w:b/>
                <w:bCs/>
                <w:sz w:val="20"/>
                <w:szCs w:val="20"/>
              </w:rPr>
              <w:t>Structural</w:t>
            </w:r>
          </w:p>
        </w:tc>
        <w:tc>
          <w:tcPr>
            <w:tcW w:w="1200"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13" w14:textId="77777777" w:rsidR="003F03E3" w:rsidRDefault="001C6531">
            <w:r>
              <w:rPr>
                <w:b/>
                <w:bCs/>
                <w:sz w:val="20"/>
                <w:szCs w:val="20"/>
              </w:rPr>
              <w:t>Inductive</w:t>
            </w:r>
          </w:p>
        </w:tc>
        <w:tc>
          <w:tcPr>
            <w:tcW w:w="1226" w:type="dxa"/>
            <w:tcBorders>
              <w:top w:val="single" w:sz="1" w:space="0" w:color="CCCCCC"/>
              <w:left w:val="single" w:sz="1" w:space="0" w:color="CCCCCC"/>
              <w:bottom w:val="single" w:sz="1" w:space="0" w:color="CCCCCC"/>
              <w:right w:val="single" w:sz="1" w:space="0" w:color="CCCCCC"/>
            </w:tcBorders>
            <w:shd w:val="clear" w:color="auto" w:fill="E8E6DE"/>
            <w:tcMar>
              <w:top w:w="80" w:type="dxa"/>
              <w:left w:w="120" w:type="dxa"/>
              <w:bottom w:w="80" w:type="dxa"/>
              <w:right w:w="120" w:type="dxa"/>
            </w:tcMar>
          </w:tcPr>
          <w:p w14:paraId="67D6E014" w14:textId="77777777" w:rsidR="003F03E3" w:rsidRDefault="001C6531">
            <w:r>
              <w:rPr>
                <w:b/>
                <w:bCs/>
                <w:sz w:val="20"/>
                <w:szCs w:val="20"/>
              </w:rPr>
              <w:t>Scalability</w:t>
            </w:r>
          </w:p>
        </w:tc>
      </w:tr>
      <w:tr w:rsidR="003F03E3" w14:paraId="67D6E01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6" w14:textId="77777777" w:rsidR="003F03E3" w:rsidRDefault="001C6531">
            <w:r>
              <w:rPr>
                <w:sz w:val="20"/>
                <w:szCs w:val="20"/>
              </w:rPr>
              <w:t>Structural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7" w14:textId="77777777" w:rsidR="003F03E3" w:rsidRDefault="001C6531">
            <w:r>
              <w:rPr>
                <w:sz w:val="20"/>
                <w:szCs w:val="20"/>
              </w:rPr>
              <w:t xml:space="preserve">node2vec, </w:t>
            </w:r>
            <w:proofErr w:type="spellStart"/>
            <w:r>
              <w:rPr>
                <w:sz w:val="20"/>
                <w:szCs w:val="20"/>
              </w:rPr>
              <w:t>DeepWalk</w:t>
            </w:r>
            <w:proofErr w:type="spellEnd"/>
            <w:r>
              <w:rPr>
                <w:sz w:val="20"/>
                <w:szCs w:val="20"/>
              </w:rPr>
              <w:t>, LINE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8" w14:textId="77777777" w:rsidR="003F03E3" w:rsidRDefault="001C6531">
            <w:r>
              <w:rPr>
                <w:sz w:val="20"/>
                <w:szCs w:val="20"/>
              </w:rPr>
              <w:t>None (static)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9" w14:textId="77777777" w:rsidR="003F03E3" w:rsidRDefault="001C6531">
            <w:r>
              <w:rPr>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A" w14:textId="77777777" w:rsidR="003F03E3" w:rsidRDefault="001C6531">
            <w:r>
              <w:rPr>
                <w:sz w:val="20"/>
                <w:szCs w:val="20"/>
              </w:rPr>
              <w:t>No</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B" w14:textId="77777777" w:rsidR="003F03E3" w:rsidRDefault="001C6531">
            <w:r>
              <w:rPr>
                <w:sz w:val="20"/>
                <w:szCs w:val="20"/>
              </w:rPr>
              <w:t>High</w:t>
            </w:r>
          </w:p>
        </w:tc>
      </w:tr>
      <w:tr w:rsidR="003F03E3" w14:paraId="67D6E02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D" w14:textId="77777777" w:rsidR="003F03E3" w:rsidRDefault="001C6531">
            <w:r>
              <w:rPr>
                <w:sz w:val="20"/>
                <w:szCs w:val="20"/>
              </w:rPr>
              <w:t>Spatial GNN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E" w14:textId="77777777" w:rsidR="003F03E3" w:rsidRDefault="001C6531">
            <w:r>
              <w:rPr>
                <w:sz w:val="20"/>
                <w:szCs w:val="20"/>
              </w:rPr>
              <w:t xml:space="preserve">GCN, GAT, </w:t>
            </w:r>
            <w:proofErr w:type="spellStart"/>
            <w:r>
              <w:rPr>
                <w:sz w:val="20"/>
                <w:szCs w:val="20"/>
              </w:rPr>
              <w:t>GraphSAGE</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1F" w14:textId="77777777" w:rsidR="003F03E3" w:rsidRDefault="001C6531">
            <w:r>
              <w:rPr>
                <w:sz w:val="20"/>
                <w:szCs w:val="20"/>
              </w:rPr>
              <w:t>Per-snapshot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0" w14:textId="77777777" w:rsidR="003F03E3" w:rsidRDefault="001C6531">
            <w:r>
              <w:rPr>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1" w14:textId="77777777" w:rsidR="003F03E3" w:rsidRDefault="001C6531">
            <w:r>
              <w:rPr>
                <w:sz w:val="20"/>
                <w:szCs w:val="20"/>
              </w:rPr>
              <w:t>Partial</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2" w14:textId="77777777" w:rsidR="003F03E3" w:rsidRDefault="001C6531">
            <w:r>
              <w:rPr>
                <w:sz w:val="20"/>
                <w:szCs w:val="20"/>
              </w:rPr>
              <w:t>Medium</w:t>
            </w:r>
          </w:p>
        </w:tc>
      </w:tr>
      <w:tr w:rsidR="003F03E3" w14:paraId="67D6E02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4" w14:textId="77777777" w:rsidR="003F03E3" w:rsidRDefault="001C6531">
            <w:r>
              <w:rPr>
                <w:sz w:val="20"/>
                <w:szCs w:val="20"/>
              </w:rPr>
              <w:t>Temporal GNN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5" w14:textId="77777777" w:rsidR="003F03E3" w:rsidRDefault="001C6531">
            <w:r>
              <w:rPr>
                <w:sz w:val="20"/>
                <w:szCs w:val="20"/>
              </w:rPr>
              <w:t>TGAT, TGN, CAW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6" w14:textId="77777777" w:rsidR="003F03E3" w:rsidRDefault="001C6531">
            <w:r>
              <w:rPr>
                <w:sz w:val="20"/>
                <w:szCs w:val="20"/>
              </w:rPr>
              <w:t>Native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7" w14:textId="77777777" w:rsidR="003F03E3" w:rsidRDefault="001C6531">
            <w:r>
              <w:rPr>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8" w14:textId="77777777" w:rsidR="003F03E3" w:rsidRDefault="001C6531">
            <w:r>
              <w:rPr>
                <w:sz w:val="20"/>
                <w:szCs w:val="20"/>
              </w:rPr>
              <w:t>Yes</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9" w14:textId="77777777" w:rsidR="003F03E3" w:rsidRDefault="001C6531">
            <w:r>
              <w:rPr>
                <w:sz w:val="20"/>
                <w:szCs w:val="20"/>
              </w:rPr>
              <w:t>Medium</w:t>
            </w:r>
          </w:p>
        </w:tc>
      </w:tr>
      <w:tr w:rsidR="003F03E3" w14:paraId="67D6E03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B" w14:textId="77777777" w:rsidR="003F03E3" w:rsidRDefault="001C6531">
            <w:r>
              <w:rPr>
                <w:sz w:val="20"/>
                <w:szCs w:val="20"/>
              </w:rPr>
              <w:t>Hybrid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C" w14:textId="77777777" w:rsidR="003F03E3" w:rsidRDefault="001C6531">
            <w:r>
              <w:rPr>
                <w:sz w:val="20"/>
                <w:szCs w:val="20"/>
              </w:rPr>
              <w:t>DCRNN, STGCN, GNN+RNN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D" w14:textId="77777777" w:rsidR="003F03E3" w:rsidRDefault="001C6531">
            <w:r>
              <w:rPr>
                <w:sz w:val="20"/>
                <w:szCs w:val="20"/>
              </w:rPr>
              <w:t>Native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E" w14:textId="77777777" w:rsidR="003F03E3" w:rsidRDefault="001C6531">
            <w:r>
              <w:rPr>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2F" w14:textId="77777777" w:rsidR="003F03E3" w:rsidRDefault="001C6531">
            <w:r>
              <w:rPr>
                <w:sz w:val="20"/>
                <w:szCs w:val="20"/>
              </w:rPr>
              <w:t>Partial</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E030" w14:textId="77777777" w:rsidR="003F03E3" w:rsidRDefault="001C6531">
            <w:r>
              <w:rPr>
                <w:sz w:val="20"/>
                <w:szCs w:val="20"/>
              </w:rPr>
              <w:t>Variable</w:t>
            </w:r>
          </w:p>
        </w:tc>
      </w:tr>
    </w:tbl>
    <w:p w14:paraId="67D6E032" w14:textId="77777777" w:rsidR="003F03E3" w:rsidRDefault="003F03E3"/>
    <w:p w14:paraId="67D6E033" w14:textId="77777777" w:rsidR="003F03E3" w:rsidRDefault="001C6531">
      <w:pPr>
        <w:spacing w:after="160"/>
        <w:jc w:val="both"/>
      </w:pPr>
      <w:r>
        <w:t>The experimental evaluation in subsequent chapters will apply each family of methods to the crude-oil logistics graph, assess performance against the criteria defined above, and determine which approach or combination of approaches best serves the mean-reversion inventory forecasting objective.</w:t>
      </w:r>
    </w:p>
    <w:p w14:paraId="67D6E034" w14:textId="77777777" w:rsidR="003F03E3" w:rsidRDefault="001C6531">
      <w:pPr>
        <w:pStyle w:val="Heading1"/>
      </w:pPr>
      <w:r>
        <w:t>5. Machine Learning Framework for Flow Forecasting Under Mean Reversion</w:t>
      </w:r>
    </w:p>
    <w:p w14:paraId="67D6E035" w14:textId="77777777" w:rsidR="003F03E3" w:rsidRDefault="001C6531">
      <w:pPr>
        <w:pStyle w:val="Heading2"/>
      </w:pPr>
      <w:r>
        <w:lastRenderedPageBreak/>
        <w:t>5.1 Problem Formulation</w:t>
      </w:r>
    </w:p>
    <w:p w14:paraId="67D6E036" w14:textId="77777777" w:rsidR="003F03E3" w:rsidRDefault="001C6531">
      <w:pPr>
        <w:spacing w:after="160"/>
        <w:jc w:val="both"/>
      </w:pPr>
      <w:r>
        <w:t xml:space="preserve">Given the temporal graph G(t) and the vectorised node embeddings </w:t>
      </w:r>
      <w:proofErr w:type="gramStart"/>
      <w:r>
        <w:t>z(</w:t>
      </w:r>
      <w:proofErr w:type="spellStart"/>
      <w:proofErr w:type="gramEnd"/>
      <w:r>
        <w:t>i</w:t>
      </w:r>
      <w:proofErr w:type="spellEnd"/>
      <w:r>
        <w:t xml:space="preserve">, t) produced by the selected vectorisation method, the forecasting task is to predict the flow adjustments and resulting inventory levels at future time steps that would drive each storage node's inventory toward its historical average. The model takes as input the sequence of graph states over a lookback window {G(t-W+1), ..., G(t)} and produces forecasts for the horizon {t+1, ..., </w:t>
      </w:r>
      <w:proofErr w:type="spellStart"/>
      <w:r>
        <w:t>t+H</w:t>
      </w:r>
      <w:proofErr w:type="spellEnd"/>
      <w:r>
        <w:t>}, where W is the lookback window length and H is the forecast horizon.</w:t>
      </w:r>
    </w:p>
    <w:p w14:paraId="2C25C5D9" w14:textId="77777777" w:rsidR="009E55C2" w:rsidRDefault="009E55C2">
      <w:pPr>
        <w:spacing w:after="160"/>
        <w:jc w:val="both"/>
        <w:rPr>
          <w:kern w:val="2"/>
          <w14:ligatures w14:val="standardContextual"/>
        </w:rPr>
      </w:pPr>
      <w:r>
        <w:t>The mean-reversion objective is encoded through the loss function. Rather than optimising only one-step prediction accuracy, we additionally penalise forecasts that drift away from each node’s typical operating level. Let Ī(</w:t>
      </w:r>
      <w:proofErr w:type="spellStart"/>
      <w:r>
        <w:t>i</w:t>
      </w:r>
      <w:proofErr w:type="spellEnd"/>
      <w:r>
        <w:t xml:space="preserve">) denote the historical average inventory for node </w:t>
      </w:r>
      <w:proofErr w:type="spellStart"/>
      <w:r>
        <w:t>i</w:t>
      </w:r>
      <w:proofErr w:type="spellEnd"/>
      <w:r>
        <w:t xml:space="preserve"> computed on the training window. We define a composite loss that combines (</w:t>
      </w:r>
      <w:proofErr w:type="spellStart"/>
      <w:r>
        <w:t>i</w:t>
      </w:r>
      <w:proofErr w:type="spellEnd"/>
      <w:r>
        <w:t>) a standard forecasting loss on the predicted variables, (ii) a mean-reversion loss that penalises deviations of predicted inventory from Ī(</w:t>
      </w:r>
      <w:proofErr w:type="spellStart"/>
      <w:r>
        <w:t>i</w:t>
      </w:r>
      <w:proofErr w:type="spellEnd"/>
      <w:r>
        <w:t>), and (iii) a physical-consistency loss that penalises violations of the inventory conservation relationship. In compact form:</w:t>
      </w:r>
    </w:p>
    <w:p w14:paraId="67D6E038" w14:textId="77777777" w:rsidR="003F03E3" w:rsidRDefault="001C6531">
      <w:pPr>
        <w:spacing w:after="160"/>
        <w:jc w:val="center"/>
      </w:pPr>
      <w:r>
        <w:rPr>
          <w:rFonts w:ascii="Courier New" w:eastAsia="Courier New" w:hAnsi="Courier New" w:cs="Courier New"/>
          <w:sz w:val="22"/>
          <w:szCs w:val="22"/>
        </w:rPr>
        <w:t xml:space="preserve">L = </w:t>
      </w:r>
      <w:proofErr w:type="spellStart"/>
      <w:r>
        <w:rPr>
          <w:rFonts w:ascii="Courier New" w:eastAsia="Courier New" w:hAnsi="Courier New" w:cs="Courier New"/>
          <w:sz w:val="22"/>
          <w:szCs w:val="22"/>
        </w:rPr>
        <w:t>L_forecast</w:t>
      </w:r>
      <w:proofErr w:type="spellEnd"/>
      <w:r>
        <w:rPr>
          <w:rFonts w:ascii="Courier New" w:eastAsia="Courier New" w:hAnsi="Courier New" w:cs="Courier New"/>
          <w:sz w:val="22"/>
          <w:szCs w:val="22"/>
        </w:rPr>
        <w:t xml:space="preserve"> + α · </w:t>
      </w:r>
      <w:proofErr w:type="spellStart"/>
      <w:r>
        <w:rPr>
          <w:rFonts w:ascii="Courier New" w:eastAsia="Courier New" w:hAnsi="Courier New" w:cs="Courier New"/>
          <w:sz w:val="22"/>
          <w:szCs w:val="22"/>
        </w:rPr>
        <w:t>L_reversion</w:t>
      </w:r>
      <w:proofErr w:type="spellEnd"/>
      <w:r>
        <w:rPr>
          <w:rFonts w:ascii="Courier New" w:eastAsia="Courier New" w:hAnsi="Courier New" w:cs="Courier New"/>
          <w:sz w:val="22"/>
          <w:szCs w:val="22"/>
        </w:rPr>
        <w:t xml:space="preserve"> + β · </w:t>
      </w:r>
      <w:proofErr w:type="spellStart"/>
      <w:r>
        <w:rPr>
          <w:rFonts w:ascii="Courier New" w:eastAsia="Courier New" w:hAnsi="Courier New" w:cs="Courier New"/>
          <w:sz w:val="22"/>
          <w:szCs w:val="22"/>
        </w:rPr>
        <w:t>L_conservation</w:t>
      </w:r>
      <w:proofErr w:type="spellEnd"/>
    </w:p>
    <w:p w14:paraId="7274C1A7" w14:textId="77777777" w:rsidR="009E55C2" w:rsidRDefault="009E55C2">
      <w:pPr>
        <w:spacing w:after="160"/>
        <w:jc w:val="both"/>
        <w:rPr>
          <w:kern w:val="2"/>
          <w14:ligatures w14:val="standardContextual"/>
        </w:rPr>
      </w:pPr>
      <w:r>
        <w:t xml:space="preserve">Here, </w:t>
      </w:r>
      <w:proofErr w:type="spellStart"/>
      <w:r>
        <w:t>L_forecast</w:t>
      </w:r>
      <w:proofErr w:type="spellEnd"/>
      <w:r>
        <w:t xml:space="preserve"> measures predictive error on the chosen targets (e.g., inventories and/or key flows) over the forecast horizon; </w:t>
      </w:r>
      <w:proofErr w:type="spellStart"/>
      <w:r>
        <w:t>L_reversion</w:t>
      </w:r>
      <w:proofErr w:type="spellEnd"/>
      <w:r>
        <w:t xml:space="preserve"> penalises deviations of predicted inventories from Ī(</w:t>
      </w:r>
      <w:proofErr w:type="spellStart"/>
      <w:r>
        <w:t>i</w:t>
      </w:r>
      <w:proofErr w:type="spellEnd"/>
      <w:r>
        <w:t xml:space="preserve">) at each node; and </w:t>
      </w:r>
      <w:proofErr w:type="spellStart"/>
      <w:r>
        <w:t>L_conservation</w:t>
      </w:r>
      <w:proofErr w:type="spellEnd"/>
      <w:r>
        <w:t xml:space="preserve"> penalises violations of mass balance induced by the predicted flows and inventories. The hyperparameters α and β control the trade-off between “fit the data” and “move toward target stocks” while keeping the forecasts physically plausible.</w:t>
      </w:r>
    </w:p>
    <w:p w14:paraId="67D6E03A" w14:textId="77777777" w:rsidR="003F03E3" w:rsidRDefault="001C6531">
      <w:pPr>
        <w:pStyle w:val="Heading2"/>
      </w:pPr>
      <w:r>
        <w:t>5.2 Candidate Machine Learning Models</w:t>
      </w:r>
    </w:p>
    <w:p w14:paraId="67D6E03B" w14:textId="77777777" w:rsidR="003F03E3" w:rsidRDefault="001C6531">
      <w:pPr>
        <w:pStyle w:val="Heading3"/>
      </w:pPr>
      <w:r>
        <w:t>5.2.1 Temporal Graph Neural Network Models</w:t>
      </w:r>
    </w:p>
    <w:p w14:paraId="67D6E03C" w14:textId="77777777" w:rsidR="003F03E3" w:rsidRDefault="001C6531">
      <w:pPr>
        <w:spacing w:after="160"/>
        <w:jc w:val="both"/>
      </w:pPr>
      <w:r>
        <w:t>The primary family of models under consideration consists of temporal GNNs that operate directly on the graph-structured data — the TGAT and TGN architectures described in Chapter 4, which jointly learn the vectorisation and the forecasting in an end-to-end fashion. The key advantage is that embeddings are optimised specifically for the downstream forecasting task, avoiding the information loss that can occur when vectorisation and prediction are performed as separate stages.</w:t>
      </w:r>
    </w:p>
    <w:p w14:paraId="67D6E03D" w14:textId="77777777" w:rsidR="003F03E3" w:rsidRDefault="001C6531">
      <w:pPr>
        <w:spacing w:after="160"/>
        <w:jc w:val="both"/>
      </w:pPr>
      <w:r>
        <w:t>For mean-reversion inventory forecasting specifically, TGN is particularly promising: its memory module can maintain a running estimate of each node's deviation from its historical mean, effectively internalising the mean-reversion objective into the node representations themselves.</w:t>
      </w:r>
    </w:p>
    <w:p w14:paraId="67D6E03E" w14:textId="77777777" w:rsidR="003F03E3" w:rsidRDefault="001C6531">
      <w:pPr>
        <w:pStyle w:val="Heading3"/>
      </w:pPr>
      <w:r>
        <w:t>5.2.2 GNN + Sequence Model Architectures</w:t>
      </w:r>
    </w:p>
    <w:p w14:paraId="67D6E03F" w14:textId="77777777" w:rsidR="003F03E3" w:rsidRDefault="001C6531">
      <w:pPr>
        <w:spacing w:after="160"/>
        <w:jc w:val="both"/>
      </w:pPr>
      <w:r>
        <w:t xml:space="preserve">The second family consists of two-stage architectures where a spatial GNN (GCN, GAT, or </w:t>
      </w:r>
      <w:proofErr w:type="spellStart"/>
      <w:r>
        <w:t>GraphSAGE</w:t>
      </w:r>
      <w:proofErr w:type="spellEnd"/>
      <w:r>
        <w:t>) produces per-snapshot embeddings that are then fed into a temporal sequence model. The sequence model options are LSTM networks, which use gating mechanisms to selectively retain and forget information over long sequences; GRU networks, which offer a simplified gating structure with comparable performance; and temporal convolutional networks (TCN), which apply dilated causal convolutions to capture multi-scale temporal patterns without recurrence.</w:t>
      </w:r>
    </w:p>
    <w:p w14:paraId="67D6E040" w14:textId="77777777" w:rsidR="003F03E3" w:rsidRDefault="001C6531">
      <w:pPr>
        <w:spacing w:after="160"/>
        <w:jc w:val="both"/>
      </w:pPr>
      <w:r>
        <w:lastRenderedPageBreak/>
        <w:t>DCRNN — which models spatial dependencies as diffusion on the graph and temporal dependencies through an encoder-decoder GRU structure — represents a well-validated instance of this family. STGCN, which interleaves graph convolution with temporal convolution, offers an efficient alternative that avoids the sequential processing bottleneck of recurrent models.</w:t>
      </w:r>
    </w:p>
    <w:p w14:paraId="67D6E041" w14:textId="77777777" w:rsidR="003F03E3" w:rsidRDefault="001C6531">
      <w:pPr>
        <w:pStyle w:val="Heading3"/>
      </w:pPr>
      <w:r>
        <w:t>5.2.3 Classical Baselines</w:t>
      </w:r>
    </w:p>
    <w:p w14:paraId="5439CA78" w14:textId="77777777" w:rsidR="009E55C2" w:rsidRDefault="009E55C2">
      <w:pPr>
        <w:spacing w:after="160"/>
        <w:jc w:val="both"/>
        <w:rPr>
          <w:kern w:val="2"/>
          <w14:ligatures w14:val="standardContextual"/>
        </w:rPr>
      </w:pPr>
      <w:r>
        <w:t>Four baselines are included. ARIMA is applied independently to each node’s inventory time series, establishing a floor for univariate temporal modelling without any network information. VAR extends this to a multivariate system, capturing linear cross-node dependencies but without explicit graph structure. A standard LSTM trained on the multivariate feature set serves to isolate the contribution of the graph component: if graph-based models outperform it, that margin is attributable to relational structure rather than temporal capacity alone. Finally, an MLP trained on flattened feature vectors provides a non-temporal, non-graph reference point.</w:t>
      </w:r>
    </w:p>
    <w:p w14:paraId="67D6E043" w14:textId="77777777" w:rsidR="003F03E3" w:rsidRDefault="001C6531">
      <w:pPr>
        <w:spacing w:after="160"/>
        <w:jc w:val="both"/>
      </w:pPr>
      <w:r>
        <w:t>Four baselines are included. ARIMA is applied independently to each node’s inventory time series, establishing a floor for univariate temporal modelling without any network information. VAR extends this to a multivariate system, capturing linear cross-node dependencies but without the explicit graph structure. A standard LSTM trained on the multivariate feature set of all nodes serves to isolate the contribution of the graph component specifically: if graph-based models outperform it, that margin is attributable to the relational structure rather than to temporal capacity alone. Finally, an MLP trained on flattened feature vectors provides a non-temporal, non-graph reference point.</w:t>
      </w:r>
    </w:p>
    <w:p w14:paraId="67D6E047" w14:textId="77777777" w:rsidR="003F03E3" w:rsidRDefault="001C6531">
      <w:pPr>
        <w:pStyle w:val="Heading2"/>
      </w:pPr>
      <w:r>
        <w:t>5.3 Training Strategy</w:t>
      </w:r>
    </w:p>
    <w:p w14:paraId="67D6E048" w14:textId="77777777" w:rsidR="003F03E3" w:rsidRDefault="001C6531">
      <w:pPr>
        <w:spacing w:after="160"/>
        <w:jc w:val="both"/>
      </w:pPr>
      <w:r>
        <w:t>All models will be trained using a rolling-window approach that respects the temporal ordering of the data. The dataset is split chronologically into training, validation, and test periods, with no temporal leakage between sets. The training procedure uses Adam optimisation with learning rate scheduling and early stopping based on validation loss.</w:t>
      </w:r>
    </w:p>
    <w:p w14:paraId="67D6E049" w14:textId="77777777" w:rsidR="003F03E3" w:rsidRDefault="001C6531">
      <w:pPr>
        <w:spacing w:after="160"/>
        <w:jc w:val="both"/>
      </w:pPr>
      <w:r>
        <w:t>The historical average inventory for each node is computed from the training period only, ensuring that the target levels are known quantities that do not leak future information. The mean-reversion strength parameter α and the conservation penalty parameter β are treated as hyperparameters tuned on the validation set.</w:t>
      </w:r>
    </w:p>
    <w:p w14:paraId="67D6E04A" w14:textId="77777777" w:rsidR="003F03E3" w:rsidRDefault="001C6531">
      <w:pPr>
        <w:spacing w:after="160"/>
        <w:jc w:val="both"/>
      </w:pPr>
      <w:r>
        <w:t>Data augmentation strategies specific to graph-structured time series will be explored, including random edge dropout (temporarily removing edges during training to improve robustness to disruptions) and temporal jittering (adding small perturbations to timestamps to regularise the temporal attention mechanisms).</w:t>
      </w:r>
    </w:p>
    <w:p w14:paraId="67D6E04B" w14:textId="77777777" w:rsidR="003F03E3" w:rsidRDefault="001C6531">
      <w:pPr>
        <w:pStyle w:val="Heading2"/>
      </w:pPr>
      <w:r>
        <w:t>5.4 Evaluation Metrics</w:t>
      </w:r>
    </w:p>
    <w:p w14:paraId="67D6E04C" w14:textId="77777777" w:rsidR="003F03E3" w:rsidRDefault="001C6531">
      <w:pPr>
        <w:spacing w:after="160"/>
        <w:jc w:val="both"/>
      </w:pPr>
      <w:r>
        <w:t xml:space="preserve">Model performance will be assessed at both the individual-node and network-aggregate levels. The standard regression metrics — MAE, RMSE, and MAPE — measure forecast accuracy against held-out observations, with RMSE weighting large errors more heavily than MAE and MAPE providing a scale-independent view across nodes with very different inventory magnitudes. Two task-specific metrics complement these. The Mean Reversion Rate (MRR) measures the fraction of nodes whose </w:t>
      </w:r>
      <w:r>
        <w:lastRenderedPageBreak/>
        <w:t xml:space="preserve">predicted inventory is closer to the historical mean at the end of the forecast horizon than at the start; it captures whether the model is </w:t>
      </w:r>
      <w:proofErr w:type="gramStart"/>
      <w:r>
        <w:t>actually driving</w:t>
      </w:r>
      <w:proofErr w:type="gramEnd"/>
      <w:r>
        <w:t xml:space="preserve"> inventories in the right direction, not just tracking them accurately. The Conservation Violation Rate (CVR) measures the fraction of node-time predictions that violate the inventory conservation equation beyond a specified tolerance, flagging cases where the model produces physically impossible states.</w:t>
      </w:r>
    </w:p>
    <w:p w14:paraId="67D6E052" w14:textId="77777777" w:rsidR="003F03E3" w:rsidRDefault="001C6531">
      <w:pPr>
        <w:pStyle w:val="Heading2"/>
      </w:pPr>
      <w:r>
        <w:t>5.5 Model Selection Strategy</w:t>
      </w:r>
    </w:p>
    <w:p w14:paraId="67D6E053" w14:textId="77777777" w:rsidR="003F03E3" w:rsidRDefault="001C6531">
      <w:pPr>
        <w:spacing w:after="160"/>
        <w:jc w:val="both"/>
      </w:pPr>
      <w:r>
        <w:t>Selecting the best combination of vectorisation method and forecasting model will follow a systematic comparison across the evaluation criteria defined above. Each vectorisation method will be paired with each forecasting model to produce a grid of method-model combinations. Each combination will be trained and evaluated on the validation set, and the top-performing combinations carried forward to the test set. The final selection will balance forecasting accuracy (MAE, RMSE, MAPE) with task-specific performance (MRR, CVR) and practical considerations (computational cost, inductive capability).</w:t>
      </w:r>
    </w:p>
    <w:p w14:paraId="67D6E054" w14:textId="77777777" w:rsidR="003F03E3" w:rsidRDefault="001C6531">
      <w:pPr>
        <w:spacing w:after="160"/>
        <w:jc w:val="both"/>
      </w:pPr>
      <w:r>
        <w:t>Physical consistency and the ability to accommodate network changes are non-negotiable requirements in the crude-oil logistics domain, so the final selection will weight those criteria alongside raw forecasting accuracy.</w:t>
      </w:r>
    </w:p>
    <w:p w14:paraId="67D6E055" w14:textId="77777777" w:rsidR="003F03E3" w:rsidRDefault="001C6531">
      <w:pPr>
        <w:pStyle w:val="Heading1"/>
      </w:pPr>
      <w:r>
        <w:t>References</w:t>
      </w:r>
    </w:p>
    <w:p w14:paraId="67D6E056" w14:textId="77777777" w:rsidR="003F03E3" w:rsidRDefault="001C6531">
      <w:pPr>
        <w:spacing w:after="160"/>
        <w:jc w:val="both"/>
      </w:pPr>
      <w:r>
        <w:t xml:space="preserve">Ahn, H., Song, Y. C., Olivar, S., Luo, S., and Ceballos, H. (2024). GNN-based Probabilistic Supply and Inventory Predictions in Supply Chain Networks. </w:t>
      </w:r>
      <w:proofErr w:type="spellStart"/>
      <w:r>
        <w:t>arXiv</w:t>
      </w:r>
      <w:proofErr w:type="spellEnd"/>
      <w:r>
        <w:t xml:space="preserve"> preprint arXiv:2404.07523.</w:t>
      </w:r>
    </w:p>
    <w:p w14:paraId="67D6E057" w14:textId="77777777" w:rsidR="003F03E3" w:rsidRDefault="001C6531">
      <w:pPr>
        <w:spacing w:after="160"/>
        <w:jc w:val="both"/>
      </w:pPr>
      <w:r>
        <w:t>Alves, J. C. and Mateus, G. R. (2020). Deep Reinforcement Learning and Optimization Approach for Multi-Echelon Supply Chain with Uncertain Demands. In International Conference on Computational Logistics, pp. 584–599. Springer.</w:t>
      </w:r>
    </w:p>
    <w:p w14:paraId="67D6E0AA" w14:textId="77777777" w:rsidR="003F03E3" w:rsidRDefault="001C6531">
      <w:pPr>
        <w:spacing w:after="160"/>
        <w:jc w:val="both"/>
      </w:pPr>
      <w:r>
        <w:t>Box, G. E. P., Jenkins, G. M., Reinsel, G. C., and Ljung, G. M. (2015). Time Series Analysis: Forecasting and Control. 5th ed. Wiley.</w:t>
      </w:r>
    </w:p>
    <w:p w14:paraId="67D6E058" w14:textId="77777777" w:rsidR="003F03E3" w:rsidRDefault="001C6531">
      <w:pPr>
        <w:spacing w:after="160"/>
        <w:jc w:val="both"/>
      </w:pPr>
      <w:r>
        <w:t>Dixit, A. K. and Pindyck, R. S. (1994). Investment Under Uncertainty. Princeton University Press.</w:t>
      </w:r>
    </w:p>
    <w:p w14:paraId="67D6E059" w14:textId="77777777" w:rsidR="003F03E3" w:rsidRDefault="001C6531">
      <w:pPr>
        <w:spacing w:after="160"/>
        <w:jc w:val="both"/>
      </w:pPr>
      <w:r>
        <w:t>Dong, T. and Samonte, M. J. C. (2024). Optimization and Benefit Assessment of Production Supply Chain Networks Using Graph Neural Network Models. Journal of Computing and Information Technology, 32(1), pp. 15–31.</w:t>
      </w:r>
    </w:p>
    <w:p w14:paraId="01D6E001" w14:textId="77777777" w:rsidR="003F03E3" w:rsidRDefault="001C6531">
      <w:pPr>
        <w:spacing w:after="160"/>
        <w:jc w:val="both"/>
      </w:pPr>
      <w:r>
        <w:t>Fattouh, B. (2011). An Anatomy of the Crude Oil Pricing System. Oxford Institute for Energy Studies, WPM 40. Oxford: University of Oxford.</w:t>
      </w:r>
    </w:p>
    <w:p w14:paraId="67D6E05A" w14:textId="77777777" w:rsidR="003F03E3" w:rsidRDefault="001C6531">
      <w:pPr>
        <w:spacing w:after="160"/>
        <w:jc w:val="both"/>
      </w:pPr>
      <w:r>
        <w:t xml:space="preserve">Fernandes, L. J., </w:t>
      </w:r>
      <w:proofErr w:type="spellStart"/>
      <w:r>
        <w:t>Relvas</w:t>
      </w:r>
      <w:proofErr w:type="spellEnd"/>
      <w:r>
        <w:t>, S., and Barbosa-</w:t>
      </w:r>
      <w:proofErr w:type="spellStart"/>
      <w:r>
        <w:t>Póvoa</w:t>
      </w:r>
      <w:proofErr w:type="spellEnd"/>
      <w:r>
        <w:t>, A. P. (2013). Strategic Network Design of Downstream Petroleum Supply Chains: Single versus Multi-Entity Participation. Chemical Engineering Research and Design, 91(9), pp. 1557–1587.</w:t>
      </w:r>
    </w:p>
    <w:p w14:paraId="67D6E05B" w14:textId="77777777" w:rsidR="003F03E3" w:rsidRDefault="001C6531">
      <w:pPr>
        <w:spacing w:after="160"/>
        <w:jc w:val="both"/>
      </w:pPr>
      <w:proofErr w:type="spellStart"/>
      <w:r>
        <w:t>Ghaithan</w:t>
      </w:r>
      <w:proofErr w:type="spellEnd"/>
      <w:r>
        <w:t xml:space="preserve">, A. M., Attia, A., and </w:t>
      </w:r>
      <w:proofErr w:type="spellStart"/>
      <w:r>
        <w:t>Duffuaa</w:t>
      </w:r>
      <w:proofErr w:type="spellEnd"/>
      <w:r>
        <w:t>, S. O. (2017). Multi-Objective Optimization Model for a Downstream Oil and Gas Supply Chain. Applied Mathematical Modelling, 52, pp. 689–708.</w:t>
      </w:r>
    </w:p>
    <w:p w14:paraId="67D6E05C" w14:textId="77777777" w:rsidR="003F03E3" w:rsidRDefault="001C6531">
      <w:pPr>
        <w:spacing w:after="160"/>
        <w:jc w:val="both"/>
      </w:pPr>
      <w:r>
        <w:lastRenderedPageBreak/>
        <w:t xml:space="preserve">Gilmer, J., Schoenholz, S. S., Riley, P. F., </w:t>
      </w:r>
      <w:proofErr w:type="spellStart"/>
      <w:r>
        <w:t>Vinyals</w:t>
      </w:r>
      <w:proofErr w:type="spellEnd"/>
      <w:r>
        <w:t>, O., and Dahl, G. E. (2017). Neural Message Passing for Quantum Chemistry. Proceedings of the 34th International Conference on Machine Learning (ICML).</w:t>
      </w:r>
    </w:p>
    <w:p w14:paraId="67D6E05D" w14:textId="77777777" w:rsidR="003F03E3" w:rsidRDefault="001C6531">
      <w:pPr>
        <w:spacing w:after="160"/>
        <w:jc w:val="both"/>
      </w:pPr>
      <w:proofErr w:type="spellStart"/>
      <w:r>
        <w:t>Geman</w:t>
      </w:r>
      <w:proofErr w:type="spellEnd"/>
      <w:r>
        <w:t xml:space="preserve">, H. (2005). Commodities and Commodity Derivatives: Modelling and Pricing for </w:t>
      </w:r>
      <w:proofErr w:type="spellStart"/>
      <w:r>
        <w:t>Agriculturals</w:t>
      </w:r>
      <w:proofErr w:type="spellEnd"/>
      <w:r>
        <w:t>, Metals and Energy. Wiley.</w:t>
      </w:r>
    </w:p>
    <w:p w14:paraId="01D6E05D" w14:textId="77777777" w:rsidR="003F03E3" w:rsidRDefault="001C6531">
      <w:pPr>
        <w:spacing w:after="160"/>
        <w:jc w:val="both"/>
      </w:pPr>
      <w:r>
        <w:t>Grover, A. and Leskovec, J. (2016). node2vec: Scalable Feature Learning for Networks. Proceedings of the 22nd ACM SIGKDD International Conference on Knowledge Discovery and Data Mining, pp. 855–864.</w:t>
      </w:r>
    </w:p>
    <w:p w14:paraId="67D6E05E" w14:textId="77777777" w:rsidR="003F03E3" w:rsidRDefault="001C6531">
      <w:pPr>
        <w:spacing w:after="160"/>
        <w:jc w:val="both"/>
      </w:pPr>
      <w:r>
        <w:t>Hamilton, J. D. (1994). Time Series Analysis. Princeton University Press.</w:t>
      </w:r>
    </w:p>
    <w:p w14:paraId="67D6E05F" w14:textId="77777777" w:rsidR="003F03E3" w:rsidRDefault="001C6531">
      <w:pPr>
        <w:spacing w:after="160"/>
        <w:jc w:val="both"/>
      </w:pPr>
      <w:r>
        <w:t>Hamilton, W. L., Ying, Z., and Leskovec, J. (2017). Inductive Representation Learning on Large Graphs. Advances in Neural Information Processing Systems (</w:t>
      </w:r>
      <w:proofErr w:type="spellStart"/>
      <w:r>
        <w:t>NeurIPS</w:t>
      </w:r>
      <w:proofErr w:type="spellEnd"/>
      <w:r>
        <w:t>), 30.</w:t>
      </w:r>
    </w:p>
    <w:p w14:paraId="67D6E060" w14:textId="77777777" w:rsidR="003F03E3" w:rsidRDefault="001C6531">
      <w:pPr>
        <w:spacing w:after="160"/>
        <w:jc w:val="both"/>
      </w:pPr>
      <w:r>
        <w:t xml:space="preserve">Jin, M., Koh, H. Y., Wen, Q., Zambon, D., </w:t>
      </w:r>
      <w:proofErr w:type="spellStart"/>
      <w:r>
        <w:t>Alippi</w:t>
      </w:r>
      <w:proofErr w:type="spellEnd"/>
      <w:r>
        <w:t>, C., Webb, G. I., King, I., and Pan, S. (2024). A Survey on Graph Neural Networks for Time Series: Forecasting, Classification, Imputation, and Anomaly Detection. IEEE Transactions on Pattern Analysis and Machine Intelligence.</w:t>
      </w:r>
    </w:p>
    <w:p w14:paraId="67D6E061" w14:textId="77777777" w:rsidR="003F03E3" w:rsidRDefault="001C6531">
      <w:pPr>
        <w:spacing w:after="160"/>
        <w:jc w:val="both"/>
      </w:pPr>
      <w:r>
        <w:t xml:space="preserve">Kazemi, S. M., Goel, R., Eghbali, S., Ramanan, J., Sahota, J., Thakur, S., Wu, S., Smyth, C., Poupart, P., and Brubaker, M. (2019). Time2Vec: Learning a General-Purpose Representation of Time. </w:t>
      </w:r>
      <w:proofErr w:type="spellStart"/>
      <w:r>
        <w:t>arXiv</w:t>
      </w:r>
      <w:proofErr w:type="spellEnd"/>
      <w:r>
        <w:t xml:space="preserve"> preprint arXiv:1907.05321.</w:t>
      </w:r>
    </w:p>
    <w:p w14:paraId="67D6E062" w14:textId="77777777" w:rsidR="003F03E3" w:rsidRDefault="001C6531">
      <w:pPr>
        <w:spacing w:after="160"/>
        <w:jc w:val="both"/>
      </w:pPr>
      <w:r>
        <w:t xml:space="preserve">Kazemi, Y. and Szmerekovsky, J. (2015). </w:t>
      </w:r>
      <w:proofErr w:type="spellStart"/>
      <w:r>
        <w:t>Modeling</w:t>
      </w:r>
      <w:proofErr w:type="spellEnd"/>
      <w:r>
        <w:t xml:space="preserve"> Downstream Petroleum Supply Chain: The Importance of Multi-Mode Transportation to Strategic Planning. Transportation Research Part E: Logistics and Transportation Review, 83, pp. 111–125.</w:t>
      </w:r>
    </w:p>
    <w:p w14:paraId="67D6E063" w14:textId="77777777" w:rsidR="003F03E3" w:rsidRDefault="001C6531">
      <w:pPr>
        <w:spacing w:after="160"/>
        <w:jc w:val="both"/>
      </w:pPr>
      <w:r>
        <w:t>Kilian, L. and Murphy, D. P. (2014). The Role of Inventories and Speculative Trading in the Global Market for Crude Oil. Journal of Applied Econometrics, 29(3), pp. 454–478.</w:t>
      </w:r>
    </w:p>
    <w:p w14:paraId="01D6E063" w14:textId="77777777" w:rsidR="003F03E3" w:rsidRDefault="001C6531">
      <w:pPr>
        <w:spacing w:after="160"/>
        <w:jc w:val="both"/>
      </w:pPr>
      <w:r>
        <w:t>Kipf, T. N. and Welling, M. (2017). Semi-Supervised Classification with Graph Convolutional Networks. Proceedings of the 5th International Conference on Learning Representations (ICLR).</w:t>
      </w:r>
    </w:p>
    <w:p w14:paraId="67D6E064" w14:textId="77777777" w:rsidR="003F03E3" w:rsidRDefault="001C6531">
      <w:pPr>
        <w:spacing w:after="160"/>
        <w:jc w:val="both"/>
      </w:pPr>
      <w:r>
        <w:t xml:space="preserve">Kosasih, E. E. and </w:t>
      </w:r>
      <w:proofErr w:type="spellStart"/>
      <w:r>
        <w:t>Brintrup</w:t>
      </w:r>
      <w:proofErr w:type="spellEnd"/>
      <w:r>
        <w:t>, A. (2022). A Machine Learning Approach for Predicting Hidden Links in Supply Chain with Graph Neural Networks. International Journal of Production Research, 60(17), pp. 5380–5393.</w:t>
      </w:r>
    </w:p>
    <w:p w14:paraId="67D6E065" w14:textId="77777777" w:rsidR="003F03E3" w:rsidRDefault="001C6531">
      <w:pPr>
        <w:spacing w:after="160"/>
        <w:jc w:val="both"/>
      </w:pPr>
      <w:r>
        <w:t>Li, Y., Yu, R., Shahabi, C., and Liu, Y. (2018). Diffusion Convolutional Recurrent Neural Network: Data-Driven Traffic Forecasting. Proceedings of the 6th International Conference on Learning Representations (ICLR).</w:t>
      </w:r>
    </w:p>
    <w:p w14:paraId="67D6E066" w14:textId="77777777" w:rsidR="003F03E3" w:rsidRDefault="001C6531">
      <w:pPr>
        <w:spacing w:after="160"/>
        <w:jc w:val="both"/>
      </w:pPr>
      <w:r>
        <w:rPr>
          <w:lang w:val="pt-BR"/>
        </w:rPr>
        <w:t xml:space="preserve">Lima, C., Relvas, S., and Barbosa-Póvoa, A. P. (2016). </w:t>
      </w:r>
      <w:r>
        <w:t>Downstream Oil Supply Chain Management: A Critical Review and Future Directions. Computers and Chemical Engineering, 92, pp. 78–92.</w:t>
      </w:r>
    </w:p>
    <w:p w14:paraId="67D6E067" w14:textId="77777777" w:rsidR="003F03E3" w:rsidRDefault="001C6531">
      <w:pPr>
        <w:spacing w:after="160"/>
        <w:jc w:val="both"/>
      </w:pPr>
      <w:r>
        <w:t xml:space="preserve">Pareja, A., </w:t>
      </w:r>
      <w:proofErr w:type="spellStart"/>
      <w:r>
        <w:t>Domeniconi</w:t>
      </w:r>
      <w:proofErr w:type="spellEnd"/>
      <w:r>
        <w:t xml:space="preserve">, G., Chen, J., Ma, T., Suzumura, T., </w:t>
      </w:r>
      <w:proofErr w:type="spellStart"/>
      <w:r>
        <w:t>Kanezashi</w:t>
      </w:r>
      <w:proofErr w:type="spellEnd"/>
      <w:r>
        <w:t xml:space="preserve">, H., Kaler, T., </w:t>
      </w:r>
      <w:proofErr w:type="spellStart"/>
      <w:r>
        <w:t>Schardl</w:t>
      </w:r>
      <w:proofErr w:type="spellEnd"/>
      <w:r>
        <w:t xml:space="preserve">, T., and </w:t>
      </w:r>
      <w:proofErr w:type="spellStart"/>
      <w:r>
        <w:t>Leiserson</w:t>
      </w:r>
      <w:proofErr w:type="spellEnd"/>
      <w:r>
        <w:t xml:space="preserve">, C. (2020). </w:t>
      </w:r>
      <w:proofErr w:type="spellStart"/>
      <w:r>
        <w:t>EvolveGCN</w:t>
      </w:r>
      <w:proofErr w:type="spellEnd"/>
      <w:r>
        <w:t>: Evolving Graph Convolutional Networks for Dynamic Graphs. Proceedings of the AAAI Conference on Artificial Intelligence, 34(04), pp. 5363–5370.</w:t>
      </w:r>
    </w:p>
    <w:p w14:paraId="67D6E068" w14:textId="77777777" w:rsidR="003F03E3" w:rsidRDefault="001C6531">
      <w:pPr>
        <w:spacing w:after="160"/>
        <w:jc w:val="both"/>
      </w:pPr>
      <w:r>
        <w:rPr>
          <w:lang w:val="it-IT"/>
        </w:rPr>
        <w:lastRenderedPageBreak/>
        <w:t xml:space="preserve">Perozzi, B., Al-Rfou, R., and Skiena, S. (2014). </w:t>
      </w:r>
      <w:proofErr w:type="spellStart"/>
      <w:r>
        <w:t>DeepWalk</w:t>
      </w:r>
      <w:proofErr w:type="spellEnd"/>
      <w:r>
        <w:t>: Online Learning of Social Representations. Proceedings of the 20th ACM SIGKDD International Conference on Knowledge Discovery and Data Mining, pp. 701–710.</w:t>
      </w:r>
    </w:p>
    <w:p w14:paraId="67D6E069" w14:textId="77777777" w:rsidR="003F03E3" w:rsidRDefault="001C6531">
      <w:pPr>
        <w:spacing w:after="160"/>
        <w:jc w:val="both"/>
      </w:pPr>
      <w:r>
        <w:t>Ribas, G. P., Hamacher, S., and Street, A. (2010). Optimization Under Uncertainty of the Integrated Oil Supply Chain Using Stochastic and Robust Programming. International Transactions in Operational Research, 17(6), pp. 777–796.</w:t>
      </w:r>
    </w:p>
    <w:p w14:paraId="67D6E06A" w14:textId="77777777" w:rsidR="003F03E3" w:rsidRDefault="001C6531">
      <w:pPr>
        <w:spacing w:after="160"/>
        <w:jc w:val="both"/>
      </w:pPr>
      <w:r>
        <w:t xml:space="preserve">Rossi, E., Chamberlain, B., Frasca, F., </w:t>
      </w:r>
      <w:proofErr w:type="spellStart"/>
      <w:r>
        <w:t>Eynard</w:t>
      </w:r>
      <w:proofErr w:type="spellEnd"/>
      <w:r>
        <w:t>, D., Bronstein, M., and Monti, F. (2020). Temporal Graph Networks for Deep Learning on Dynamic Graphs. ICML 2020 Workshop on Graph Representation Learning.</w:t>
      </w:r>
    </w:p>
    <w:p w14:paraId="01D6E002" w14:textId="77777777" w:rsidR="003F03E3" w:rsidRDefault="001C6531">
      <w:pPr>
        <w:spacing w:after="160"/>
        <w:jc w:val="both"/>
      </w:pPr>
      <w:r>
        <w:t>Stopford, M. (2009). Maritime Economics. 3rd ed. London: Routledge.</w:t>
      </w:r>
    </w:p>
    <w:p w14:paraId="67D6E06B" w14:textId="77777777" w:rsidR="003F03E3" w:rsidRDefault="001C6531">
      <w:pPr>
        <w:spacing w:after="160"/>
        <w:jc w:val="both"/>
      </w:pPr>
      <w:r>
        <w:t xml:space="preserve">Schwartz, E. S. (1997). The Stochastic </w:t>
      </w:r>
      <w:proofErr w:type="spellStart"/>
      <w:r>
        <w:t>Behavior</w:t>
      </w:r>
      <w:proofErr w:type="spellEnd"/>
      <w:r>
        <w:t xml:space="preserve"> of Commodity Prices: Implications for Valuation and Hedging. The Journal of Finance, 52(3), pp. 923–973.</w:t>
      </w:r>
    </w:p>
    <w:p w14:paraId="67D6E06C" w14:textId="77777777" w:rsidR="003F03E3" w:rsidRDefault="001C6531">
      <w:pPr>
        <w:spacing w:after="160"/>
        <w:jc w:val="both"/>
      </w:pPr>
      <w:r>
        <w:t>Tang, J., Qu, M., Wang, M., Zhang, M., Yan, J., and Mei, Q. (2015). LINE: Large-Scale Information Network Embedding. Proceedings of the 24th International Conference on World Wide Web (WWW), pp. 1067–1077.</w:t>
      </w:r>
    </w:p>
    <w:p w14:paraId="67D6E06D" w14:textId="77777777" w:rsidR="003F03E3" w:rsidRDefault="001C6531">
      <w:pPr>
        <w:spacing w:after="160"/>
        <w:jc w:val="both"/>
      </w:pPr>
      <w:proofErr w:type="spellStart"/>
      <w:r>
        <w:t>Uhlenbeck</w:t>
      </w:r>
      <w:proofErr w:type="spellEnd"/>
      <w:r>
        <w:t>, G. E. and Ornstein, L. S. (1930). On the Theory of the Brownian Motion. Physical Review, 36(5), pp. 823–841.</w:t>
      </w:r>
    </w:p>
    <w:p w14:paraId="67D6E06E" w14:textId="77777777" w:rsidR="003F03E3" w:rsidRDefault="001C6531">
      <w:pPr>
        <w:spacing w:after="160"/>
        <w:jc w:val="both"/>
      </w:pPr>
      <w:r>
        <w:t>Vasicek, O. (1977). An Equilibrium Characterization of the Term Structure. Journal of Financial Economics, 5(2), pp. 177–188.</w:t>
      </w:r>
    </w:p>
    <w:p w14:paraId="67D6E06F" w14:textId="77777777" w:rsidR="003F03E3" w:rsidRDefault="001C6531">
      <w:pPr>
        <w:spacing w:after="160"/>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Proceedings of the 6th International Conference on Learning Representations (ICLR).</w:t>
      </w:r>
    </w:p>
    <w:p w14:paraId="67D6E070" w14:textId="77777777" w:rsidR="003F03E3" w:rsidRDefault="001C6531">
      <w:pPr>
        <w:spacing w:after="160"/>
        <w:jc w:val="both"/>
      </w:pPr>
      <w:r>
        <w:t>Wang, Y., Chang, Y., Li, Y., and Tan, K.-L. (2021). Inductive Representation Learning in Temporal Networks via Causal Anonymous Walks. Proceedings of the 9th International Conference on Learning Representations (ICLR).</w:t>
      </w:r>
    </w:p>
    <w:p w14:paraId="67D6E071" w14:textId="77777777" w:rsidR="003F03E3" w:rsidRDefault="001C6531">
      <w:pPr>
        <w:spacing w:after="160"/>
        <w:jc w:val="both"/>
      </w:pPr>
      <w:r>
        <w:t xml:space="preserve">Wasi, A. T., Islam, S. R., Karim, R., and </w:t>
      </w:r>
      <w:proofErr w:type="spellStart"/>
      <w:r>
        <w:t>Brintrup</w:t>
      </w:r>
      <w:proofErr w:type="spellEnd"/>
      <w:r>
        <w:t xml:space="preserve">, A. (2024). </w:t>
      </w:r>
      <w:proofErr w:type="spellStart"/>
      <w:r>
        <w:t>SupplyGraph</w:t>
      </w:r>
      <w:proofErr w:type="spellEnd"/>
      <w:r>
        <w:t xml:space="preserve">: A Benchmark Dataset for Supply Chain Planning using Graph Neural Networks. </w:t>
      </w:r>
      <w:proofErr w:type="spellStart"/>
      <w:r>
        <w:t>arXiv</w:t>
      </w:r>
      <w:proofErr w:type="spellEnd"/>
      <w:r>
        <w:t xml:space="preserve"> preprint arXiv:2401.15299.</w:t>
      </w:r>
    </w:p>
    <w:p w14:paraId="67D6E072" w14:textId="77777777" w:rsidR="003F03E3" w:rsidRDefault="001C6531">
      <w:pPr>
        <w:spacing w:after="160"/>
        <w:jc w:val="both"/>
      </w:pPr>
      <w:r>
        <w:t>Wu, Z., Pan, S., Chen, F., Long, G., Zhang, C., and Yu, P. S. (2020). A Comprehensive Survey on Graph Neural Networks. IEEE Transactions on Neural Networks and Learning Systems, 32(1), pp. 4–24.</w:t>
      </w:r>
    </w:p>
    <w:p w14:paraId="67D6E073" w14:textId="77777777" w:rsidR="003F03E3" w:rsidRDefault="001C6531">
      <w:pPr>
        <w:spacing w:after="160"/>
        <w:jc w:val="both"/>
      </w:pPr>
      <w:r>
        <w:t>Xu, D., Rong, Y., Huang, J., Zhu, W., and Leskovec, J. (2020). Inductive Representation Learning on Temporal Graphs. Proceedings of the 8th International Conference on Learning Representations (ICLR).</w:t>
      </w:r>
    </w:p>
    <w:p w14:paraId="67D6E074" w14:textId="77777777" w:rsidR="003F03E3" w:rsidRDefault="001C6531">
      <w:pPr>
        <w:spacing w:after="160"/>
        <w:jc w:val="both"/>
      </w:pPr>
      <w:r>
        <w:t xml:space="preserve">Yu, B., Yin, H., and Zhu, Z. (2018). </w:t>
      </w:r>
      <w:proofErr w:type="spellStart"/>
      <w:r>
        <w:t>Spatio</w:t>
      </w:r>
      <w:proofErr w:type="spellEnd"/>
      <w:r>
        <w:t>-Temporal Graph Convolutional Networks: A Deep Learning Framework for Traffic Forecasting. Proceedings of the 27th International Joint Conference on Artificial Intelligence (IJCAI), pp. 3634–3640.</w:t>
      </w:r>
    </w:p>
    <w:sectPr w:rsidR="003F03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08A"/>
    <w:multiLevelType w:val="hybridMultilevel"/>
    <w:tmpl w:val="DB1664D6"/>
    <w:lvl w:ilvl="0" w:tplc="E1B0B0E4">
      <w:start w:val="1"/>
      <w:numFmt w:val="bullet"/>
      <w:lvlText w:val="●"/>
      <w:lvlJc w:val="left"/>
      <w:pPr>
        <w:ind w:left="720" w:hanging="360"/>
      </w:pPr>
    </w:lvl>
    <w:lvl w:ilvl="1" w:tplc="A5949DEE">
      <w:start w:val="1"/>
      <w:numFmt w:val="bullet"/>
      <w:lvlText w:val="○"/>
      <w:lvlJc w:val="left"/>
      <w:pPr>
        <w:ind w:left="1440" w:hanging="360"/>
      </w:pPr>
    </w:lvl>
    <w:lvl w:ilvl="2" w:tplc="4E0EEF84">
      <w:start w:val="1"/>
      <w:numFmt w:val="bullet"/>
      <w:lvlText w:val="■"/>
      <w:lvlJc w:val="left"/>
      <w:pPr>
        <w:ind w:left="2160" w:hanging="360"/>
      </w:pPr>
    </w:lvl>
    <w:lvl w:ilvl="3" w:tplc="5478D550">
      <w:start w:val="1"/>
      <w:numFmt w:val="bullet"/>
      <w:lvlText w:val="●"/>
      <w:lvlJc w:val="left"/>
      <w:pPr>
        <w:ind w:left="2880" w:hanging="360"/>
      </w:pPr>
    </w:lvl>
    <w:lvl w:ilvl="4" w:tplc="DBDC2830">
      <w:start w:val="1"/>
      <w:numFmt w:val="bullet"/>
      <w:lvlText w:val="○"/>
      <w:lvlJc w:val="left"/>
      <w:pPr>
        <w:ind w:left="3600" w:hanging="360"/>
      </w:pPr>
    </w:lvl>
    <w:lvl w:ilvl="5" w:tplc="3222BC84">
      <w:start w:val="1"/>
      <w:numFmt w:val="bullet"/>
      <w:lvlText w:val="■"/>
      <w:lvlJc w:val="left"/>
      <w:pPr>
        <w:ind w:left="4320" w:hanging="360"/>
      </w:pPr>
    </w:lvl>
    <w:lvl w:ilvl="6" w:tplc="B91ACCB6">
      <w:start w:val="1"/>
      <w:numFmt w:val="bullet"/>
      <w:lvlText w:val="●"/>
      <w:lvlJc w:val="left"/>
      <w:pPr>
        <w:ind w:left="5040" w:hanging="360"/>
      </w:pPr>
    </w:lvl>
    <w:lvl w:ilvl="7" w:tplc="E6A28FB0">
      <w:start w:val="1"/>
      <w:numFmt w:val="bullet"/>
      <w:lvlText w:val="●"/>
      <w:lvlJc w:val="left"/>
      <w:pPr>
        <w:ind w:left="5760" w:hanging="360"/>
      </w:pPr>
    </w:lvl>
    <w:lvl w:ilvl="8" w:tplc="DA80E2EC">
      <w:start w:val="1"/>
      <w:numFmt w:val="bullet"/>
      <w:lvlText w:val="●"/>
      <w:lvlJc w:val="left"/>
      <w:pPr>
        <w:ind w:left="6480" w:hanging="360"/>
      </w:pPr>
    </w:lvl>
  </w:abstractNum>
  <w:abstractNum w:abstractNumId="1" w15:restartNumberingAfterBreak="0">
    <w:nsid w:val="6D3A182F"/>
    <w:multiLevelType w:val="hybridMultilevel"/>
    <w:tmpl w:val="D51ABD3C"/>
    <w:lvl w:ilvl="0" w:tplc="3E1039C2">
      <w:start w:val="1"/>
      <w:numFmt w:val="bullet"/>
      <w:lvlText w:val="•"/>
      <w:lvlJc w:val="left"/>
      <w:pPr>
        <w:ind w:left="720" w:hanging="360"/>
      </w:pPr>
    </w:lvl>
    <w:lvl w:ilvl="1" w:tplc="53B494D6">
      <w:numFmt w:val="decimal"/>
      <w:lvlText w:val=""/>
      <w:lvlJc w:val="left"/>
    </w:lvl>
    <w:lvl w:ilvl="2" w:tplc="4C22053A">
      <w:numFmt w:val="decimal"/>
      <w:lvlText w:val=""/>
      <w:lvlJc w:val="left"/>
    </w:lvl>
    <w:lvl w:ilvl="3" w:tplc="E1FC0810">
      <w:numFmt w:val="decimal"/>
      <w:lvlText w:val=""/>
      <w:lvlJc w:val="left"/>
    </w:lvl>
    <w:lvl w:ilvl="4" w:tplc="BDCA6BBE">
      <w:numFmt w:val="decimal"/>
      <w:lvlText w:val=""/>
      <w:lvlJc w:val="left"/>
    </w:lvl>
    <w:lvl w:ilvl="5" w:tplc="BB1EFDF0">
      <w:numFmt w:val="decimal"/>
      <w:lvlText w:val=""/>
      <w:lvlJc w:val="left"/>
    </w:lvl>
    <w:lvl w:ilvl="6" w:tplc="69569B48">
      <w:numFmt w:val="decimal"/>
      <w:lvlText w:val=""/>
      <w:lvlJc w:val="left"/>
    </w:lvl>
    <w:lvl w:ilvl="7" w:tplc="BDE477EC">
      <w:numFmt w:val="decimal"/>
      <w:lvlText w:val=""/>
      <w:lvlJc w:val="left"/>
    </w:lvl>
    <w:lvl w:ilvl="8" w:tplc="0410400C">
      <w:numFmt w:val="decimal"/>
      <w:lvlText w:val=""/>
      <w:lvlJc w:val="left"/>
    </w:lvl>
  </w:abstractNum>
  <w:num w:numId="1" w16cid:durableId="1637637393">
    <w:abstractNumId w:val="0"/>
    <w:lvlOverride w:ilvl="0">
      <w:startOverride w:val="1"/>
    </w:lvlOverride>
  </w:num>
  <w:num w:numId="2" w16cid:durableId="360473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3E3"/>
    <w:rsid w:val="0002105A"/>
    <w:rsid w:val="000340D9"/>
    <w:rsid w:val="00061B34"/>
    <w:rsid w:val="000914F8"/>
    <w:rsid w:val="00091E17"/>
    <w:rsid w:val="000964E9"/>
    <w:rsid w:val="000A1C74"/>
    <w:rsid w:val="000F37D1"/>
    <w:rsid w:val="000F4F3C"/>
    <w:rsid w:val="0012031F"/>
    <w:rsid w:val="00184DFE"/>
    <w:rsid w:val="00196D86"/>
    <w:rsid w:val="001C6531"/>
    <w:rsid w:val="00220075"/>
    <w:rsid w:val="0025701F"/>
    <w:rsid w:val="0026509B"/>
    <w:rsid w:val="002D5B08"/>
    <w:rsid w:val="002F411D"/>
    <w:rsid w:val="00367766"/>
    <w:rsid w:val="00372250"/>
    <w:rsid w:val="00375FD7"/>
    <w:rsid w:val="00383432"/>
    <w:rsid w:val="00393919"/>
    <w:rsid w:val="003C05DD"/>
    <w:rsid w:val="003D75A3"/>
    <w:rsid w:val="003F03E3"/>
    <w:rsid w:val="0040353C"/>
    <w:rsid w:val="00407BB0"/>
    <w:rsid w:val="00430DE3"/>
    <w:rsid w:val="004321B4"/>
    <w:rsid w:val="00467226"/>
    <w:rsid w:val="00481510"/>
    <w:rsid w:val="004A69EA"/>
    <w:rsid w:val="004B7BC4"/>
    <w:rsid w:val="004D5774"/>
    <w:rsid w:val="005010BD"/>
    <w:rsid w:val="005310D3"/>
    <w:rsid w:val="00551E8A"/>
    <w:rsid w:val="00584E28"/>
    <w:rsid w:val="005B77B2"/>
    <w:rsid w:val="005D18A0"/>
    <w:rsid w:val="006137F2"/>
    <w:rsid w:val="00685384"/>
    <w:rsid w:val="006A5FE7"/>
    <w:rsid w:val="006C4933"/>
    <w:rsid w:val="006D6006"/>
    <w:rsid w:val="006E20AE"/>
    <w:rsid w:val="006E43AC"/>
    <w:rsid w:val="00702D54"/>
    <w:rsid w:val="00726E69"/>
    <w:rsid w:val="007317EC"/>
    <w:rsid w:val="0079088D"/>
    <w:rsid w:val="00792BBA"/>
    <w:rsid w:val="007D5F44"/>
    <w:rsid w:val="008242F9"/>
    <w:rsid w:val="00833B9C"/>
    <w:rsid w:val="00873777"/>
    <w:rsid w:val="00873EB6"/>
    <w:rsid w:val="0087540A"/>
    <w:rsid w:val="00892F69"/>
    <w:rsid w:val="008976D7"/>
    <w:rsid w:val="008A2CD8"/>
    <w:rsid w:val="00911A5E"/>
    <w:rsid w:val="00985ABA"/>
    <w:rsid w:val="009C3863"/>
    <w:rsid w:val="009E26C0"/>
    <w:rsid w:val="009E55C2"/>
    <w:rsid w:val="009E568F"/>
    <w:rsid w:val="00A01B91"/>
    <w:rsid w:val="00A47EB6"/>
    <w:rsid w:val="00A579D2"/>
    <w:rsid w:val="00B04AE5"/>
    <w:rsid w:val="00B42B93"/>
    <w:rsid w:val="00B82F6B"/>
    <w:rsid w:val="00BC11F5"/>
    <w:rsid w:val="00C52159"/>
    <w:rsid w:val="00C854EC"/>
    <w:rsid w:val="00CB3AF3"/>
    <w:rsid w:val="00CB3C20"/>
    <w:rsid w:val="00D271EF"/>
    <w:rsid w:val="00D41692"/>
    <w:rsid w:val="00DD52B9"/>
    <w:rsid w:val="00E16408"/>
    <w:rsid w:val="00E64C54"/>
    <w:rsid w:val="00E726CB"/>
    <w:rsid w:val="00EF5ED7"/>
    <w:rsid w:val="00F332D7"/>
    <w:rsid w:val="00F51B1F"/>
    <w:rsid w:val="00FD3A21"/>
    <w:rsid w:val="00FD5D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DF26"/>
  <w15:docId w15:val="{D7BE280F-D6D5-48C2-9129-45BC444D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semiHidden/>
    <w:unhideWhenUsed/>
    <w:qFormat/>
    <w:rsid w:val="0002105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1211</TotalTime>
  <Pages>34</Pages>
  <Words>14079</Words>
  <Characters>84388</Characters>
  <Application>Microsoft Office Word</Application>
  <DocSecurity>0</DocSecurity>
  <Lines>1409</Lines>
  <Paragraphs>338</Paragraphs>
  <ScaleCrop>false</ScaleCrop>
  <Company/>
  <LinksUpToDate>false</LinksUpToDate>
  <CharactersWithSpaces>98167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Pedro Porfirio</cp:lastModifiedBy>
  <cp:revision>11</cp:revision>
  <dcterms:created xsi:type="dcterms:W3CDTF">2026-04-15T13:45:00Z</dcterms:created>
  <dcterms:modified xsi:type="dcterms:W3CDTF">2026-04-20T09:39:00Z</dcterms:modified>
</cp:coreProperties>
</file>