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1208EC1" w14:textId="77777777" w:rsidR="00A9717A" w:rsidRDefault="00A9717A">
      <w:pPr>
        <w:spacing w:after="200" w:line="319" w:lineRule="auto"/>
        <w:jc w:val="both"/>
        <w:rPr>
          <w:kern w:val="2"/>
          <w14:ligatures w14:val="standardContextual"/>
        </w:rPr>
      </w:pPr>
      <w:r>
        <w:t xml:space="preserve">Crude oil logistics networks pose a representational challenge that existing modelling tools still tend to address through ad hoc reconciliation. Public data is published at multiple levels of resolution by overlapping agencies, reporting boundaries often fail to match operational ones, some flows are directly observed while others can only be inferred from aggregate constraints, and the underlying topology changes gradually through real operational developments that any useful representation must accommodate without constant redesign. In practice, the workflow connecting public data to downstream models usually takes the form of a custom Excel workbook or </w:t>
      </w:r>
      <w:proofErr w:type="gramStart"/>
      <w:r>
        <w:t>pandas</w:t>
      </w:r>
      <w:proofErr w:type="gramEnd"/>
      <w:r>
        <w:t xml:space="preserve"> notebook with hard-coded allocation rules and a residual adjustment term absorbing whatever does not balance. Although this approach can produce useful numbers, it is difficult to audit, inconsistent across analysts, and hard to extend.</w:t>
      </w:r>
    </w:p>
    <w:p w14:paraId="3210A75C" w14:textId="77777777" w:rsidR="00A9717A" w:rsidRDefault="00A9717A">
      <w:pPr>
        <w:spacing w:after="200" w:line="319" w:lineRule="auto"/>
        <w:jc w:val="both"/>
        <w:rPr>
          <w:kern w:val="2"/>
          <w14:ligatures w14:val="standardContextual"/>
        </w:rPr>
      </w:pPr>
      <w:r>
        <w:t>This thesis proposes, implements, and validates an asset-centric temporal graph schema designed to address that gap. The schema is built around six axioms and the corollaries that follow from them. Each physical asset is represented as a node with its own inventory and mass balance. The topology remains stable, with zero-flow edges representing inactivity rather than absence. Every node follows a universal mass balance equation with an explicit balancing item. Edges and aggregation links are derived views over a single variables table, which serves as the only source of truth. The persistent asset graph is kept separate from scenario-specific data assignments. The physical layer is distinguished structurally from the observational aggregation layer, and geography metadata is kept separate from the resolution hierarchy. Single attribution is enforced at schema level through a CHECK constraint. Flows that exist structurally but are not directly observed are declared latent rather than estimated heuristically. Bidirectional flows are represented as separate directed edges, sum-type formulas are canonical, and latent values are treated differently from unresolved ones so that source ambiguity is never hidden.</w:t>
      </w:r>
    </w:p>
    <w:p w14:paraId="7968CAFF" w14:textId="77777777" w:rsidR="00A9717A" w:rsidRDefault="00A9717A">
      <w:pPr>
        <w:spacing w:after="200" w:line="319" w:lineRule="auto"/>
        <w:jc w:val="both"/>
        <w:rPr>
          <w:kern w:val="2"/>
          <w14:ligatures w14:val="standardContextual"/>
        </w:rPr>
      </w:pPr>
      <w:r>
        <w:t>The framework is implemented as a working system composed of a relational database, a deterministic resolver that produces a per-(scenario, variable, observation date) value table, a layered view structure for downstream consumers, and a complete instance covering the U.S. crude oil network from January 2015 to December 2024. This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gap between observed and closure-derived balancing items remains small in normal periods and rises sharply around well-known disruption events, including Hurricane Harvey, COVID-19, the Colonial Pipeline shutdown, and the Strategic Petroleum Reserve release.</w:t>
      </w:r>
    </w:p>
    <w:p w14:paraId="3594AFF9" w14:textId="77777777" w:rsidR="00A9717A" w:rsidRDefault="00A9717A">
      <w:pPr>
        <w:spacing w:after="200" w:line="319" w:lineRule="auto"/>
        <w:jc w:val="both"/>
        <w:rPr>
          <w:kern w:val="2"/>
          <w14:ligatures w14:val="standardContextual"/>
        </w:rPr>
      </w:pPr>
      <w:r>
        <w:t xml:space="preserve">To demonstrate downstream use, this thesis develops a linear programme that consumes the framework's output directly. The LP takes the resolved data tensor as input, treats latent variables as decision variables, encodes the mass balance equations as equality constraints, </w:t>
      </w:r>
      <w:r>
        <w:lastRenderedPageBreak/>
        <w:t xml:space="preserve">and represents capacity limits as inequality constraints. Applied to the Permian fan-out problem, it solves in under a second and produces a meaningful allocation of flows. This works because the framework provides exactly the upstream consistency conditions that non-trivial optimisation depends </w:t>
      </w:r>
      <w:proofErr w:type="gramStart"/>
      <w:r>
        <w:t>on:</w:t>
      </w:r>
      <w:proofErr w:type="gramEnd"/>
      <w:r>
        <w:t xml:space="preserve"> single attribution, partition closure, and a schema-enforced single source of truth. The thesis concludes by arguing that the same data substrate can support graph neural network forecasting models without requiring schema changes, and it outlines that development path, together with other extensions, as future work.</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54FFCE4F" w14:textId="77777777" w:rsidR="00A9717A" w:rsidRDefault="00A9717A">
      <w:pPr>
        <w:spacing w:after="200" w:line="319" w:lineRule="auto"/>
        <w:jc w:val="both"/>
        <w:rPr>
          <w:kern w:val="2"/>
          <w14:ligatures w14:val="standardContextual"/>
        </w:rPr>
      </w:pPr>
      <w:r>
        <w:t>I am deeply grateful to my supervisor, Professor Flávio Pinheiro, for his steady guidance, his willingness to engage with both rough drafts and polished chapters, and his constant reminder that a thesis should contribute to a body of literature rather than remain a purely personal exercise. Many of the framework's architectural choices were sharpened through those conversations, often because the right question was raised at exactly the right moment.</w:t>
      </w:r>
    </w:p>
    <w:p w14:paraId="7069726B" w14:textId="77777777" w:rsidR="00A9717A" w:rsidRDefault="00A9717A">
      <w:pPr>
        <w:spacing w:after="200" w:line="319" w:lineRule="auto"/>
        <w:jc w:val="both"/>
        <w:rPr>
          <w:kern w:val="2"/>
          <w14:ligatures w14:val="standardContextual"/>
        </w:rPr>
      </w:pPr>
      <w:r>
        <w:t xml:space="preserve">I am also indebted to the practitioners in the crude oil trading and analytics community whose workflows helped define the problem addressed in this thesis. The conventions established by the EIA, the IEA, and the wider public-data ecosystem reflect many years of careful </w:t>
      </w:r>
      <w:proofErr w:type="gramStart"/>
      <w:r>
        <w:t>work, and</w:t>
      </w:r>
      <w:proofErr w:type="gramEnd"/>
      <w:r>
        <w:t xml:space="preserve"> treating that material with the seriousness it deserves remained an important commitment throughout this project.</w:t>
      </w:r>
    </w:p>
    <w:p w14:paraId="738FD9A0" w14:textId="77777777" w:rsidR="00A9717A" w:rsidRDefault="00A9717A">
      <w:pPr>
        <w:spacing w:after="200" w:line="319" w:lineRule="auto"/>
        <w:jc w:val="both"/>
        <w:rPr>
          <w:kern w:val="2"/>
          <w14:ligatures w14:val="standardContextual"/>
        </w:rPr>
      </w:pPr>
      <w:r>
        <w:t>Finally, I would like to thank my friends and family for their patience during the final stages of writing, and my colleagues at NOVA IMS for the conversations that shaped this project in ways that only became fully clear over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53B19B2E" w14:textId="77777777" w:rsidR="00A9717A" w:rsidRDefault="00A9717A">
      <w:pPr>
        <w:spacing w:after="160" w:line="319" w:lineRule="auto"/>
        <w:jc w:val="both"/>
        <w:rPr>
          <w:kern w:val="2"/>
          <w14:ligatures w14:val="standardContextual"/>
        </w:rPr>
      </w:pPr>
      <w:r>
        <w:t xml:space="preserve">Crude oil is one of the most volatile commodities in global markets, but it is also one of the most closely analysed. Producers, governments, refiners, and traders interact through spot cargoes, term contracts, and standardised futures linked to multiple regional benchmarks. Across </w:t>
      </w:r>
      <w:proofErr w:type="gramStart"/>
      <w:r>
        <w:t>all of</w:t>
      </w:r>
      <w:proofErr w:type="gramEnd"/>
      <w:r>
        <w:t xml:space="preserve"> these instruments, prices ultimately rest on the physical balance between supply and demand for crude itself. For that reason, any serious quantitative work on energy markets begins with an understanding of the physical system that produces, moves, stores, and consumes the commodity.</w:t>
      </w:r>
    </w:p>
    <w:p w14:paraId="57D837FA" w14:textId="77777777" w:rsidR="00A9717A" w:rsidRDefault="00A9717A">
      <w:pPr>
        <w:spacing w:after="160" w:line="319" w:lineRule="auto"/>
        <w:jc w:val="both"/>
        <w:rPr>
          <w:kern w:val="2"/>
          <w14:ligatures w14:val="standardContextual"/>
        </w:rPr>
      </w:pPr>
      <w:r>
        <w:t xml:space="preserve">What makes this system difficult to model is the limited speed at which the physical layer can react to short-term economic signals. Well output is constrained by geology and reservoir conditions, so large and rapid production changes are technically difficult and operationally expensive (Fattouh, 2011; Ribas, Hamacher, and Street, 2010). Refineries face similar inertia: they are built for </w:t>
      </w:r>
      <w:proofErr w:type="gramStart"/>
      <w:r>
        <w:t>particular throughput</w:t>
      </w:r>
      <w:proofErr w:type="gramEnd"/>
      <w:r>
        <w:t xml:space="preserve"> ranges and crude slates, and moving beyond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since it may require unit reconfiguration and planned downtime, with immediate revenue consequences. Transport introduces further delay, as pipelines, ports, and tankers impose transit times measured in days or even months (Stopford, 2009; Kazemi and Szmerekovsky, 2015). In practical terms, meaningful changes in flow usually require lead time, capital, and coordination across multiple parts of the chain (Lima, </w:t>
      </w:r>
      <w:proofErr w:type="spellStart"/>
      <w:r>
        <w:t>Relvas</w:t>
      </w:r>
      <w:proofErr w:type="spellEnd"/>
      <w:r>
        <w:t>, and Barbosa-</w:t>
      </w:r>
      <w:proofErr w:type="spellStart"/>
      <w:r>
        <w:t>Póvoa</w:t>
      </w:r>
      <w:proofErr w:type="spellEnd"/>
      <w:r>
        <w:t>, 2016).</w:t>
      </w:r>
    </w:p>
    <w:p w14:paraId="082B9D76" w14:textId="77777777" w:rsidR="00A9717A" w:rsidRDefault="00A9717A">
      <w:pPr>
        <w:spacing w:after="160" w:line="319" w:lineRule="auto"/>
        <w:jc w:val="both"/>
        <w:rPr>
          <w:kern w:val="2"/>
          <w14:ligatures w14:val="standardContextual"/>
        </w:rPr>
      </w:pPr>
      <w:r>
        <w:t>Because production and refining cannot adjust quickly, inventories absorb much of the system's short-term imbalance. Tank farms, storage terminals, and strategic petroleum reserves buffer the difference between what is produced and what is consumed at any given moment. When stocks are comfortable, shocks can be absorbed with limited price impact. When stocks become tight, concerns about feedstock availability push prices upward; when they build beyond normal operating levels, storage costs rise and prices generally soften. Storage capacity also imposes a hard physical limit: once usable storage is effectively full, the marginal barrel has nowhere to go, and price formation can break down. The April 2020 WTI front-month settlement at minus 37 USD per barrel provided a public demonstration of that constraint.</w:t>
      </w:r>
    </w:p>
    <w:p w14:paraId="05A2D58F" w14:textId="77777777" w:rsidR="00A9717A" w:rsidRDefault="00A9717A">
      <w:pPr>
        <w:spacing w:after="160" w:line="319" w:lineRule="auto"/>
        <w:jc w:val="both"/>
        <w:rPr>
          <w:kern w:val="2"/>
          <w14:ligatures w14:val="standardContextual"/>
        </w:rPr>
      </w:pPr>
      <w:r>
        <w:t xml:space="preserve">Within this physical system, each operational asset—whether an onshore well, offshore platform, basin gathering network, pipeline segment, hub terminal, refinery, or export terminal—generates multivariate data that reflects its operating state. Production rates, consumption volumes, inflows and outflows, storage capacities, and inventory levels all change over time under the influence of internal constraints such as maintenance, equipment limits, and contractual obligations, as well as external shocks such as geopolitics, demand </w:t>
      </w:r>
      <w:r>
        <w:lastRenderedPageBreak/>
        <w:t xml:space="preserve">shifts, weather, and price movements. The interdependencies across the network are nonlinear and </w:t>
      </w:r>
      <w:proofErr w:type="gramStart"/>
      <w:r>
        <w:t>time-varying</w:t>
      </w:r>
      <w:proofErr w:type="gramEnd"/>
      <w:r>
        <w:t>. A disruption at an upstream production site does not remain local; it propagates through downstream pipelines and storage nodes with lags that depend on transit times, routing constraints, and operational priorities.</w:t>
      </w:r>
    </w:p>
    <w:p w14:paraId="00DF068B" w14:textId="77777777" w:rsidR="00A9717A" w:rsidRDefault="00A9717A">
      <w:pPr>
        <w:spacing w:after="160" w:line="319" w:lineRule="auto"/>
        <w:jc w:val="both"/>
        <w:rPr>
          <w:kern w:val="2"/>
          <w14:ligatures w14:val="standardContextual"/>
        </w:rPr>
      </w:pPr>
      <w:r>
        <w:t>The main tools used to study this type of system fall into two broad families. On one side are operations research methods—such as linear programming, mixed-integer programming, and stochastic optimisation—used for strategic network design and tactical planning. These approaches are mathematically rigorous, but they usually operate on simplified abstractions that leave out much of the operational detail present in the physical system. On the other side are classical time-series forecasting methods, including ARIMA, VAR, and more recent neural approaches, which are typically applied to individual variables such as refinery throughput, regional inventories, or benchmark prices. In most cases, those variables are modelled separately from the network structure that links them to the rest of the system.</w:t>
      </w:r>
    </w:p>
    <w:p w14:paraId="2F319A87" w14:textId="77777777" w:rsidR="00A9717A" w:rsidRDefault="00A9717A">
      <w:pPr>
        <w:spacing w:after="160" w:line="319" w:lineRule="auto"/>
        <w:jc w:val="both"/>
        <w:rPr>
          <w:kern w:val="2"/>
          <w14:ligatures w14:val="standardContextual"/>
        </w:rPr>
      </w:pPr>
      <w:r>
        <w:t xml:space="preserve">A third line of research has emerged over the past decade at the intersection of these two traditions. Graph neural networks and graph representation learning offer a way to model systems with rich relational structure, and recent surveys (Wu et al., 2020; Jin et al., 2024) describe a fast-growing literature applying these methods to traffic networks, power systems, and, increasingly, supply chains (Kosasih and </w:t>
      </w:r>
      <w:proofErr w:type="spellStart"/>
      <w:r>
        <w:t>Brintrup</w:t>
      </w:r>
      <w:proofErr w:type="spellEnd"/>
      <w:r>
        <w:t>, 2022; Wasi et al., 2024; Ahn et al., 2024). What makes these methods attractive is their ability to combine two things that classical OR and standard time-series approaches often treat separately: the network structure itself and the temporal behaviour of the variables attached to it.</w:t>
      </w:r>
    </w:p>
    <w:p w14:paraId="6BB3ACF2" w14:textId="77777777" w:rsidR="00A9717A" w:rsidRDefault="00A9717A">
      <w:pPr>
        <w:spacing w:after="160" w:line="319" w:lineRule="auto"/>
        <w:jc w:val="both"/>
        <w:rPr>
          <w:kern w:val="2"/>
          <w14:ligatures w14:val="standardContextual"/>
        </w:rPr>
      </w:pPr>
      <w:r>
        <w:t>All three of these research streams encounter the same upstream problem before modelling can begin: how the network itself should be represented. In the crude oil case, that problem remains inadequately addressed in the existing literature. Public data is released at multiple resolutions by overlapping agencies, reporting boundaries do not align neatly with operational ones, some flows are measured directly while others can only be inferred from aggregate constraints, inventory reporting often closes only at coarser scales, and the topology changes slowly through real operational events such as pipeline reversals and terminal commissioning. A representation that could handle these features cleanly would be valuable not only for LP modellers and forecasters, but also for analysts working in the practitioner workflow that currently bridges public data and downstream modelling by hand.</w:t>
      </w:r>
    </w:p>
    <w:p w14:paraId="36BCFB1F" w14:textId="77777777" w:rsidR="008E1B31" w:rsidRDefault="00000000">
      <w:pPr>
        <w:pStyle w:val="Heading2"/>
      </w:pPr>
      <w:r>
        <w:t>1.2 Problem statement</w:t>
      </w:r>
    </w:p>
    <w:p w14:paraId="5470758A" w14:textId="77777777" w:rsidR="00A9717A" w:rsidRDefault="00A9717A">
      <w:pPr>
        <w:spacing w:after="160" w:line="319" w:lineRule="auto"/>
        <w:jc w:val="both"/>
        <w:rPr>
          <w:kern w:val="2"/>
          <w14:ligatures w14:val="standardContextual"/>
        </w:rPr>
      </w:pPr>
      <w:r>
        <w:t xml:space="preserve">Despite the maturity of the three research streams outlined above, there is still no widely adopted representation of crude oil logistics networks that satisfies the requirements imposed by downstream users. Existing representations do not admit multi-resolution data cleanly without ad hoc reconciliation, do not enforce single attribution at schema level, do not preserve the provenance of derived quantities through the full resolution chain, and do not clearly </w:t>
      </w:r>
      <w:r>
        <w:lastRenderedPageBreak/>
        <w:t>separate the slowly changing physical topology from the faster-changing data assignments attached to it.</w:t>
      </w:r>
    </w:p>
    <w:p w14:paraId="17BC256C" w14:textId="77777777" w:rsidR="00A9717A" w:rsidRDefault="00A9717A">
      <w:pPr>
        <w:spacing w:after="160" w:line="319" w:lineRule="auto"/>
        <w:jc w:val="both"/>
        <w:rPr>
          <w:kern w:val="2"/>
          <w14:ligatures w14:val="standardContextual"/>
        </w:rPr>
      </w:pPr>
      <w:r>
        <w:t xml:space="preserve">The practitioner workflow that fills this gap is familiar to anyone who has worked with public energy data. Industry analysts typically maintain Excel workbooks or </w:t>
      </w:r>
      <w:proofErr w:type="gramStart"/>
      <w:r>
        <w:t>pandas</w:t>
      </w:r>
      <w:proofErr w:type="gramEnd"/>
      <w:r>
        <w:t xml:space="preserve"> notebooks in which production, consumption, flows, and stocks for each PADD are loaded from EIA series, balanced through hard-coded allocation rules, and reconciled with a residual adjustment term that absorbs whatever does not add up. The workflow can produce useful numbers, and those numbers are often cited in daily industry commentary, but it does so by hiding inconsistency inside the adjustment term. It also does not generalise well: each analyst's workbook is idiosyncratic, each reflects its own assumptions, and none can be passed directly into an optimisation model or machine-learning pipeline without further manual cleaning.</w:t>
      </w:r>
    </w:p>
    <w:p w14:paraId="36BCFB22" w14:textId="77777777" w:rsidR="008E1B31" w:rsidRDefault="00000000">
      <w:pPr>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7123E09A" w14:textId="77777777" w:rsidR="00A9717A" w:rsidRDefault="00A9717A">
      <w:pPr>
        <w:spacing w:after="160" w:line="319" w:lineRule="auto"/>
        <w:jc w:val="both"/>
        <w:rPr>
          <w:kern w:val="2"/>
          <w14:ligatures w14:val="standardContextual"/>
        </w:rPr>
      </w:pPr>
      <w:proofErr w:type="gramStart"/>
      <w:proofErr w:type="gramEnd"/>
      <w:r>
        <w:t>This thesis answers that question by proposing, implementing, and validating an asset-centric temporal graph schema organised around six axioms and the corollaries that follow from them, together with a deterministic resolver that produces a single per-(scenario, variable, observation date) value table that downstream consumers can read directly.</w:t>
      </w:r>
    </w:p>
    <w:p w14:paraId="36BCFB24" w14:textId="77777777" w:rsidR="008E1B31" w:rsidRDefault="00000000">
      <w:pPr>
        <w:pStyle w:val="Heading2"/>
      </w:pPr>
      <w:r>
        <w:t>1.3 Research objectives</w:t>
      </w:r>
    </w:p>
    <w:p w14:paraId="36BCFB25" w14:textId="77777777" w:rsidR="008E1B31" w:rsidRDefault="00000000">
      <w:pPr>
        <w:spacing w:after="160" w:line="320" w:lineRule="auto"/>
        <w:jc w:val="both"/>
      </w:pPr>
      <w:r>
        <w:t>The research pursues three objectives:</w:t>
      </w:r>
    </w:p>
    <w:p w14:paraId="36BCFB26" w14:textId="77777777" w:rsidR="008E1B31" w:rsidRDefault="00000000">
      <w:pPr>
        <w:spacing w:after="160" w:line="320" w:lineRule="auto"/>
        <w:jc w:val="both"/>
      </w:pPr>
      <w:r>
        <w:t xml:space="preserve">To </w:t>
      </w:r>
      <w:r>
        <w:rPr>
          <w:b/>
          <w:bCs/>
        </w:rPr>
        <w:t>design</w:t>
      </w:r>
      <w:r>
        <w:t xml:space="preserve"> a graph schema that represents the crude oil logistics network at the level of physical assets, captures both structural relationships and time-series dynamics, enforces single-attribution and partition closure as schema-level guarantees, and accommodates multi-resolution public data without introducing reconciliation residuals as primary data;</w:t>
      </w:r>
    </w:p>
    <w:p w14:paraId="36BCFB27" w14:textId="77777777" w:rsidR="008E1B31" w:rsidRDefault="00000000">
      <w:pPr>
        <w:spacing w:after="160" w:line="320" w:lineRule="auto"/>
        <w:jc w:val="both"/>
      </w:pPr>
      <w:r>
        <w:t xml:space="preserve">To </w:t>
      </w:r>
      <w:r>
        <w:rPr>
          <w:b/>
          <w:bCs/>
        </w:rPr>
        <w:t>implement</w:t>
      </w:r>
      <w:r>
        <w:t xml:space="preserve"> the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6BCFB28" w14:textId="77777777" w:rsidR="008E1B31" w:rsidRDefault="00000000">
      <w:pPr>
        <w:spacing w:after="160" w:line="320" w:lineRule="auto"/>
        <w:jc w:val="both"/>
      </w:pPr>
      <w:r>
        <w:t xml:space="preserve">To </w:t>
      </w:r>
      <w:r>
        <w:rPr>
          <w:b/>
          <w:bCs/>
        </w:rPr>
        <w:t>validate</w:t>
      </w:r>
      <w:r>
        <w:t xml:space="preserve"> the framework by formulating linear programmes that consume its output, demonstrating that the framework's consistency properties are sufficient for non-trivial optimisation tasks, and characterising the readiness of the framework for further downstream consumers (graph neural networks for forecasting) that are left for future work.</w:t>
      </w:r>
    </w:p>
    <w:p w14:paraId="36BCFB29" w14:textId="77777777" w:rsidR="008E1B31" w:rsidRDefault="00000000">
      <w:pPr>
        <w:pStyle w:val="Heading2"/>
      </w:pPr>
      <w:r>
        <w:t>1.4 Scope and delimitations</w:t>
      </w:r>
    </w:p>
    <w:p w14:paraId="36BCFB2A" w14:textId="77777777" w:rsidR="008E1B31" w:rsidRDefault="00000000">
      <w:pPr>
        <w:spacing w:after="160" w:line="320" w:lineRule="auto"/>
        <w:jc w:val="both"/>
      </w:pPr>
      <w:r>
        <w:lastRenderedPageBreak/>
        <w:t>This research focuses on the representational framework and its first downstream consumer. The asset graph is constructed at the level of named physical assets where public data permits (with PADD-level residuals for un-named tail production), at U.S. national geographic scope, with monthly temporal granularity, and with crude oil as the only commodity grade in the initial implementation. The schema is designed for extension along all three of these dimensions (to refined products, to other countries, to finer temporal granularity), and the extension paths are described where relevant, but the implemented instance is the U.S. crude oil monthly graph from January 2015 to December 2024 inclusive.</w:t>
      </w:r>
    </w:p>
    <w:p w14:paraId="36BCFB2B" w14:textId="77777777" w:rsidR="008E1B31" w:rsidRDefault="00000000">
      <w:pPr>
        <w:spacing w:after="160" w:line="320" w:lineRule="auto"/>
        <w:jc w:val="both"/>
      </w:pPr>
      <w:r>
        <w:t>Two important areas of work are explicitly out of scope and are positioned as future work in Chapter 10. First, forecasting. The earlier framing of this thesis envisaged a temporal graph neural network as the central modelling contribution, with the schema as supporting infrastructure. The current scope inverts this: the schema is the contribution, and forecasting is a downstream consumer that the framework is designed to support but does not itself implement. Chapter 10 develops the argument that the framework is ready for forecasting work and characterises what such work would entail. Second, real-world deployment in a production setting. The implementation is a working research artefact, not a productionised system, and questions of data pipeline reliability, operator user interfaces, monitoring, and access control are deferred.</w:t>
      </w:r>
    </w:p>
    <w:p w14:paraId="36BCFB2C" w14:textId="77777777" w:rsidR="008E1B31" w:rsidRDefault="00000000">
      <w:pPr>
        <w:pStyle w:val="Heading2"/>
      </w:pPr>
      <w:r>
        <w:t>1.5 Thesis structure</w:t>
      </w:r>
    </w:p>
    <w:p w14:paraId="36BCFB2D" w14:textId="77777777" w:rsidR="008E1B31" w:rsidRDefault="00000000">
      <w:pPr>
        <w:spacing w:after="160" w:line="320" w:lineRule="auto"/>
        <w:jc w:val="both"/>
      </w:pPr>
      <w:r>
        <w:t>The thesis is organised in three parts. Chapters 1 through 3 set up the problem: this introduction, a focused literature review (Chapter 2) covering the three streams above and identifying the specific gap, and a domain background chapter (Chapter 3) on the U.S. crude oil network that grounds the abstract design choices in physical reality.</w:t>
      </w:r>
    </w:p>
    <w:p w14:paraId="36BCFB2E" w14:textId="77777777" w:rsidR="008E1B31" w:rsidRDefault="00000000">
      <w:pPr>
        <w:spacing w:after="160" w:line="320" w:lineRule="auto"/>
        <w:jc w:val="both"/>
      </w:pPr>
      <w:r>
        <w:t>Chapters 4 through 8 develop the contribution: the design principles (Chapter 4) that govern the representation, the schema and construction process (Chapter 5) that gives effect to those principles, the resolver (Chapter 6) that consumes the schema and produces the per-(variable, date) data tensor, the consistency guarantees (Chapter 7) that the framework supports and the audits that demonstrate them, and the linear programme (Chapter 8) that consumes the resolved data as the first downstream application.</w:t>
      </w:r>
    </w:p>
    <w:p w14:paraId="36BCFB2F" w14:textId="77777777" w:rsidR="008E1B31" w:rsidRDefault="00000000">
      <w:pPr>
        <w:spacing w:after="160" w:line="320" w:lineRule="auto"/>
        <w:jc w:val="both"/>
      </w:pPr>
      <w:r>
        <w:t>Chapters 9 and 10 close: a case study (Chapter 9) that walks the framework end-to-end on a concrete scenario, and a conclusion (Chapter 10) that summarises the contribution, characterises the framework's readiness for graph neural network forecasting as the natural next consumer, and outlines the development roadmap beyond the current state.</w:t>
      </w:r>
    </w:p>
    <w:p w14:paraId="36BCFB30" w14:textId="77777777" w:rsidR="008E1B31" w:rsidRDefault="00000000">
      <w:pPr>
        <w:spacing w:after="160" w:line="320" w:lineRule="auto"/>
        <w:jc w:val="both"/>
      </w:pPr>
      <w:r>
        <w:t>Annexes provide reference material: a primer on graph neural networks for readers who want to follow the GNN-readiness argument of Chapter 10 in detail (Annex A), a comparative discussion of asset-centric versus location-centric graph representations (Annex B), a reference for the resolver's dispatch rules (Annex C), and a catalogue of the variables in the starter scenario (Annex D).</w:t>
      </w:r>
    </w:p>
    <w:p w14:paraId="36BCFB31" w14:textId="77777777" w:rsidR="008E1B31" w:rsidRDefault="00000000">
      <w:pPr>
        <w:pStyle w:val="Heading1"/>
        <w:pageBreakBefore/>
      </w:pPr>
      <w:r>
        <w:lastRenderedPageBreak/>
        <w:t>2. Literature Review</w:t>
      </w:r>
    </w:p>
    <w:p w14:paraId="36BCFB32" w14:textId="77777777" w:rsidR="008E1B31" w:rsidRDefault="00000000">
      <w:pPr>
        <w:spacing w:after="160" w:line="320" w:lineRule="auto"/>
        <w:jc w:val="both"/>
      </w:pPr>
      <w:r>
        <w:t>The thesis sits at the intersection of three research streams: petroleum supply chain optimisation, which has produced the dominant tools for working with crude oil logistics at the operational level; graph data models for commodity networks and the wider graph representation learning literature, which have produced the methods on which downstream forecasting consumers depend; and energy statistics conventions, which describe how the underlying public data is published and consumed in industry practice. This chapter reviews each stream with a focus on what existing work does well and what it leaves unresolved, then synthesises the gap that motivates the present contribution.</w:t>
      </w:r>
    </w:p>
    <w:p w14:paraId="36BCFB33" w14:textId="77777777" w:rsidR="008E1B31" w:rsidRDefault="00000000">
      <w:pPr>
        <w:pStyle w:val="Heading2"/>
      </w:pPr>
      <w:r>
        <w:t>2.1 Petroleum supply chain optimisation</w:t>
      </w:r>
    </w:p>
    <w:p w14:paraId="36BCFB34" w14:textId="77777777" w:rsidR="008E1B31" w:rsidRDefault="00000000">
      <w:pPr>
        <w:spacing w:after="160" w:line="320" w:lineRule="auto"/>
        <w:jc w:val="both"/>
      </w:pPr>
      <w:r>
        <w:t>The supply chain literature on crude oil and refined products is mature, with most contributions falling into one of two methodological families: deterministic mathematical programming (mixed-integer linear programming and its variants) and uncertainty-aware extensions (stochastic and robust optimisation).</w:t>
      </w:r>
    </w:p>
    <w:p w14:paraId="36BCFB35" w14:textId="77777777" w:rsidR="008E1B31" w:rsidRDefault="00000000">
      <w:pPr>
        <w:spacing w:after="160" w:line="320" w:lineRule="auto"/>
        <w:jc w:val="both"/>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multi-product downstream petroleum supply chains, applied to the Portuguese network. Their formulation captures the strategic decisions about facility location and capacity that distinguish supply chain design from operational planning. Kazemi and </w:t>
      </w:r>
      <w:proofErr w:type="spellStart"/>
      <w:r>
        <w:t>Szmerekovsky</w:t>
      </w:r>
      <w:proofErr w:type="spellEnd"/>
      <w:r>
        <w:t xml:space="preserve"> (2015) extend the formulation to multi-modal transportation, demonstrating that incorporating pipeline, rail, marine, and truck modes simultaneously in the strategic decision changes the optimum substantially compared with single-mode formulations. </w:t>
      </w:r>
      <w:proofErr w:type="spellStart"/>
      <w:r>
        <w:t>Ghaithan</w:t>
      </w:r>
      <w:proofErr w:type="spellEnd"/>
      <w:r>
        <w:t xml:space="preserve">, Attia, and </w:t>
      </w:r>
      <w:proofErr w:type="spellStart"/>
      <w:r>
        <w:t>Duffuaa</w:t>
      </w:r>
      <w:proofErr w:type="spellEnd"/>
      <w:r>
        <w:t xml:space="preserve"> (2017) construct a multi-objective optimisation model for tactical planning of integrated oil and gas supply chains, balancing cost minimisation, revenue maximisation, and service-level targets across a Saudi Arabian case study.</w:t>
      </w:r>
    </w:p>
    <w:p w14:paraId="36BCFB36" w14:textId="77777777" w:rsidR="008E1B31" w:rsidRDefault="00000000">
      <w:pPr>
        <w:spacing w:after="160" w:line="320" w:lineRule="auto"/>
        <w:jc w:val="both"/>
      </w:pPr>
      <w:r>
        <w:t xml:space="preserve">On the uncertainty front, Ribas, Hamacher, and Street (2010) develop stochastic programming models for integrated oil chain planning under demand, production, and price uncertainty, while Lima, </w:t>
      </w:r>
      <w:proofErr w:type="spellStart"/>
      <w:r>
        <w:t>Relvas</w:t>
      </w:r>
      <w:proofErr w:type="spellEnd"/>
      <w:r>
        <w:t>, and Barbosa-</w:t>
      </w:r>
      <w:proofErr w:type="spellStart"/>
      <w:r>
        <w:t>Póvoa</w:t>
      </w:r>
      <w:proofErr w:type="spellEnd"/>
      <w:r>
        <w:t xml:space="preserve"> (2016) provide a comprehensive review of downstream oil supply chain management highlighting the prevalence of robust and stochastic optimisation approaches in the field. The review identifies a persistent challenge across the literature: the gap between the level of detail at which the models are formulated and the level of detail at which input data is </w:t>
      </w:r>
      <w:proofErr w:type="gramStart"/>
      <w:r>
        <w:t>actually available</w:t>
      </w:r>
      <w:proofErr w:type="gramEnd"/>
      <w:r>
        <w:t xml:space="preserve"> in published sources.</w:t>
      </w:r>
    </w:p>
    <w:p w14:paraId="36BCFB37" w14:textId="77777777" w:rsidR="008E1B31" w:rsidRDefault="00000000">
      <w:pPr>
        <w:spacing w:after="160" w:line="320" w:lineRule="auto"/>
        <w:jc w:val="both"/>
      </w:pPr>
      <w:r>
        <w:t xml:space="preserve">Common to </w:t>
      </w:r>
      <w:proofErr w:type="gramStart"/>
      <w:r>
        <w:t>all of</w:t>
      </w:r>
      <w:proofErr w:type="gramEnd"/>
      <w:r>
        <w:t xml:space="preserve"> these contributions is the modelling abstraction at which the network is represented. Nodes are typically large aggregates — refineries, demand centres, production regions — and edges are abstract connections weighted by cost, capacity, and lead time. The representations are designed for the strategic and tactical decisions the models address (where to locate a new refinery, how to allocate production across competing demand </w:t>
      </w:r>
      <w:r>
        <w:lastRenderedPageBreak/>
        <w:t xml:space="preserve">centres), not for the operational granularity at which data on the system is </w:t>
      </w:r>
      <w:proofErr w:type="gramStart"/>
      <w:r>
        <w:t>actually published</w:t>
      </w:r>
      <w:proofErr w:type="gramEnd"/>
      <w:r>
        <w:t>. The representations are therefore well-suited to the questions they answer and ill-suited to the question of how to represent the system itself in a way that admits multi-resolution data and supports diverse downstream consumers.</w:t>
      </w:r>
    </w:p>
    <w:p w14:paraId="36BCFB38" w14:textId="77777777" w:rsidR="008E1B31" w:rsidRDefault="00000000">
      <w:pPr>
        <w:spacing w:after="160" w:line="320" w:lineRule="auto"/>
        <w:jc w:val="both"/>
      </w:pPr>
      <w:r>
        <w:t xml:space="preserve">A subtler concern is that this literature treats supply chain modelling and logistics modelling as effectively interchangeable. There is a real distinction. Supply chain optimisation in its classical form addresses multi-firm coordination, procurement, facility location, and strategic capacity decisions — the questions of how the network should be </w:t>
      </w:r>
      <w:proofErr w:type="gramStart"/>
      <w:r>
        <w:t>designed</w:t>
      </w:r>
      <w:proofErr w:type="gramEnd"/>
      <w:r>
        <w:t xml:space="preserve"> and which firms should make which commitments. Logistics network modelling, by contrast, addresses the operation of a given network under a given design: how flows </w:t>
      </w:r>
      <w:proofErr w:type="gramStart"/>
      <w:r>
        <w:t>actually move</w:t>
      </w:r>
      <w:proofErr w:type="gramEnd"/>
      <w:r>
        <w:t xml:space="preserve"> through fixed assets, where inventory accumulates, what consistency the public data on these flows </w:t>
      </w:r>
      <w:proofErr w:type="gramStart"/>
      <w:r>
        <w:t>actually exhibits</w:t>
      </w:r>
      <w:proofErr w:type="gramEnd"/>
      <w:r>
        <w:t>. The thesis is squarely in the logistics tradition, and the distinction is worth marking because the design choices that follow (asset-centric nodes, fixed topology, schema-level consistency) reflect logistics requirements rather than supply chain ones.</w:t>
      </w:r>
    </w:p>
    <w:p w14:paraId="36BCFB39" w14:textId="77777777" w:rsidR="008E1B31" w:rsidRDefault="00000000">
      <w:pPr>
        <w:pStyle w:val="Heading2"/>
      </w:pPr>
      <w:r>
        <w:t>2.2 Graph data models for commodity and logistics networks</w:t>
      </w:r>
    </w:p>
    <w:p w14:paraId="36BCFB3A" w14:textId="77777777" w:rsidR="008E1B31" w:rsidRDefault="00000000">
      <w:pPr>
        <w:spacing w:after="160" w:line="320" w:lineRule="auto"/>
        <w:jc w:val="both"/>
      </w:pPr>
      <w:r>
        <w:t xml:space="preserve">The application of graph data models to commodity networks specifically — as opposed to graph methods applied to supply chains as a whole — is relatively recent. Kosasih and </w:t>
      </w:r>
      <w:proofErr w:type="spellStart"/>
      <w:r>
        <w:t>Brintrup</w:t>
      </w:r>
      <w:proofErr w:type="spellEnd"/>
      <w:r>
        <w:t xml:space="preserve"> (2022) demonstrate that GNN-based methods can predict hidden links in supply chain networks, identifying latent dependencies that aggregate-level data misses. Wasi et al. (2024) introduce the </w:t>
      </w:r>
      <w:proofErr w:type="spellStart"/>
      <w:r>
        <w:t>SupplyGraph</w:t>
      </w:r>
      <w:proofErr w:type="spellEnd"/>
      <w:r>
        <w:t xml:space="preserve"> benchmark, the first dataset specifically designed for GNN-based supply chain analytics, with explicit benchmarks for demand forecasting, production planning, and product classification. Ahn et al. (2024) develop a GNN-based probabilistic model for supply and inventory prediction using data from a global consumer goods company, demonstrating that attention-based graph architectures improve prediction accuracy by capturing cascading effects across network nodes.</w:t>
      </w:r>
    </w:p>
    <w:p w14:paraId="36BCFB3B" w14:textId="77777777" w:rsidR="008E1B31" w:rsidRDefault="00000000">
      <w:pPr>
        <w:spacing w:after="160" w:line="320" w:lineRule="auto"/>
        <w:jc w:val="both"/>
      </w:pPr>
      <w:r>
        <w:t xml:space="preserve">These contributions are important because they validate the proposition that graph methods add value over node-level time-series methods in commodity contexts. They also share a common limitation from the perspective of this thesis: each defines its own ad-hoc data representation, and the representations are tied to the specific application the paper addresses. The </w:t>
      </w:r>
      <w:proofErr w:type="spellStart"/>
      <w:r>
        <w:t>SupplyGraph</w:t>
      </w:r>
      <w:proofErr w:type="spellEnd"/>
      <w:r>
        <w:t xml:space="preserve"> dataset, for instance, is structured around production lines and demand centres in </w:t>
      </w:r>
      <w:proofErr w:type="gramStart"/>
      <w:r>
        <w:t>a fast-moving consumer goods</w:t>
      </w:r>
      <w:proofErr w:type="gramEnd"/>
      <w:r>
        <w:t xml:space="preserve"> setting; its node taxonomy, edge semantics, and time granularity are appropriate for that setting and would not transfer cleanly to crude oil logistics.</w:t>
      </w:r>
    </w:p>
    <w:p w14:paraId="36BCFB3C" w14:textId="77777777" w:rsidR="008E1B31" w:rsidRDefault="00000000">
      <w:pPr>
        <w:spacing w:after="160" w:line="320" w:lineRule="auto"/>
        <w:jc w:val="both"/>
      </w:pPr>
      <w:r>
        <w:t xml:space="preserve">A broader literature in graph representation learning provides the methodological backdrop. Foundational work on random-walk embeddings (Perozzi et al., 2014; Grover and Leskovec, 2016; Tang et al., 2015) and on graph neural networks proper (Kipf and Welling, 2017; </w:t>
      </w:r>
      <w:proofErr w:type="spellStart"/>
      <w:r>
        <w:t>Veličković</w:t>
      </w:r>
      <w:proofErr w:type="spellEnd"/>
      <w:r>
        <w:t xml:space="preserve"> et al., 2018; Hamilton, Ying, and Leskovec, 2017) established the methods that more recent work builds on. Surveys by Wu et al. (2020) and Jin et al. (2024) organise this </w:t>
      </w:r>
      <w:r>
        <w:lastRenderedPageBreak/>
        <w:t>rapidly expanding field, the latter specifically at the intersection with time-series analysis. Temporal extensions (Xu et al., 2020 for TGAT; Rossi et al., 2020 for TGN; Wang et al., 2021 for causal anonymous walks) and hybrid architectures combining graph methods with sequence models (Li et al., 2018 for DCRNN; Yu, Yin, and Zhu, 2018 for STGCN) handle the time dimension explicitly.</w:t>
      </w:r>
    </w:p>
    <w:p w14:paraId="36BCFB3D" w14:textId="77777777" w:rsidR="008E1B31" w:rsidRDefault="00000000">
      <w:pPr>
        <w:spacing w:after="160" w:line="320" w:lineRule="auto"/>
        <w:jc w:val="both"/>
      </w:pPr>
      <w:r>
        <w:t xml:space="preserve">Of </w:t>
      </w:r>
      <w:proofErr w:type="gramStart"/>
      <w:r>
        <w:t>particular relevance</w:t>
      </w:r>
      <w:proofErr w:type="gramEnd"/>
      <w:r>
        <w:t xml:space="preserve"> to the present work is the traffic forecasting literature, in which DCRNN and STGCN have become canonical baselines. Traffic networks share several structural properties with crude oil logistics networks: a stable physical topology, fully characterised nodes (every traffic sensor is identified, located, and equipped with the same set of variables), and a forecasting target (future traffic flow) that depends jointly on the temporal pattern at each node and the spatial dependencies through the road network. The methods developed for traffic forecasting transfer naturally to commodity logistics in principle, and the framework developed in this thesis is structured to make that transfer concrete. Annex A develops the methodological background in more detail for readers who want to follow the GNN-readiness argument in Chapter 10.</w:t>
      </w:r>
    </w:p>
    <w:p w14:paraId="36BCFB3E" w14:textId="77777777" w:rsidR="008E1B31" w:rsidRDefault="00000000">
      <w:pPr>
        <w:pStyle w:val="Heading2"/>
      </w:pPr>
      <w:r>
        <w:t>2.3 Energy statistics conventions and the practitioner workflow</w:t>
      </w:r>
    </w:p>
    <w:p w14:paraId="36BCFB3F" w14:textId="77777777" w:rsidR="008E1B31" w:rsidRDefault="00000000">
      <w:pPr>
        <w:spacing w:after="160" w:line="320" w:lineRule="auto"/>
        <w:jc w:val="both"/>
      </w:pPr>
      <w:r>
        <w:t>The third stream of relevant work is less academic but more directly motivating: the conventions by which energy statistics are published by national and international agencies, and the practitioner workflow that consumes them.</w:t>
      </w:r>
    </w:p>
    <w:p w14:paraId="36BCFB40" w14:textId="77777777" w:rsidR="008E1B31" w:rsidRDefault="00000000">
      <w:pPr>
        <w:spacing w:after="160" w:line="320" w:lineRule="auto"/>
        <w:jc w:val="both"/>
      </w:pPr>
      <w:r>
        <w:t>The U.S. Energy Information Administration publishes a wide collection of monthly series covering U.S. crude oil production, refining, stocks, trade, and movements between PADDs. The series are organised by data type (production, stocks, supply, movements) and by geographic resolution (national, PADD-level, refining district, occasionally facility-level). The same physical quantity often appears in multiple series at different resolutions: USA-level production is reported separately from PADD-level production, which is reported separately from named-basin production within each PADD. The series do not always reconcile exactly across resolutions, and the differences typically reflect reporting timing, custody-transfer mechanics, or coverage choices rather than measurement error.</w:t>
      </w:r>
    </w:p>
    <w:p w14:paraId="36BCFB41" w14:textId="77777777" w:rsidR="008E1B31" w:rsidRDefault="00000000">
      <w:pPr>
        <w:spacing w:after="160" w:line="320" w:lineRule="auto"/>
        <w:jc w:val="both"/>
      </w:pPr>
      <w:r>
        <w:t>The International Energy Agency, in its monthly Oil Market Report and its annual World Energy Balances, follows a similar pattern at the international level. The IEA explicitly retains a published balancing item in its supply-demand tables, defined as the residual between observed stock changes and the sum of observed flows. The IEA convention treats this residual as information rather than noise: the size and sign of the balancing item carry signal about where the reporting system is failing to close, and the IEA does not silently absorb it into adjacent quantities.</w:t>
      </w:r>
    </w:p>
    <w:p w14:paraId="36BCFB42" w14:textId="77777777" w:rsidR="008E1B31" w:rsidRDefault="00000000">
      <w:pPr>
        <w:spacing w:after="160" w:line="320" w:lineRule="auto"/>
        <w:jc w:val="both"/>
      </w:pPr>
      <w:r>
        <w:t xml:space="preserve">The practitioner workflow that consumes these series is well documented in industry reports and is the immediate motivating context for this thesis. Analysts at trading firms, consultancies, and integrated oil companies maintain spreadsheets or </w:t>
      </w:r>
      <w:proofErr w:type="gramStart"/>
      <w:r>
        <w:t>pandas</w:t>
      </w:r>
      <w:proofErr w:type="gramEnd"/>
      <w:r>
        <w:t xml:space="preserve"> notebooks that load relevant </w:t>
      </w:r>
      <w:r>
        <w:lastRenderedPageBreak/>
        <w:t>EIA and IEA series, attempt to balance them against each other across resolutions, and produce derived quantities — implied flows, regional balances, term-structure implications. The workflow is functional but suffers from three known limitations.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36BCFB46" w14:textId="77777777" w:rsidR="008E1B31" w:rsidRDefault="00000000">
      <w:pPr>
        <w:spacing w:after="160" w:line="320" w:lineRule="auto"/>
        <w:jc w:val="both"/>
      </w:pPr>
      <w:r>
        <w:t>The thesis is, in part, an attempt to systematise this workflow into a structured representation. The axioms and corollaries developed in Chapter 4 are direct responses to each of the three limitations above: schema-level single attribution addresses the first, the resolver's audit trail addresses the second, and the persistent-graph-and-scenario-state model addresses the third.</w:t>
      </w:r>
    </w:p>
    <w:p w14:paraId="36BCFB47" w14:textId="77777777" w:rsidR="008E1B31" w:rsidRDefault="00000000">
      <w:pPr>
        <w:pStyle w:val="Heading2"/>
      </w:pPr>
      <w:r>
        <w:t>2.4 Synthesis and the research gap</w:t>
      </w:r>
    </w:p>
    <w:p w14:paraId="36BCFB48" w14:textId="77777777" w:rsidR="008E1B31" w:rsidRDefault="00000000">
      <w:pPr>
        <w:spacing w:after="160" w:line="320" w:lineRule="auto"/>
        <w:jc w:val="both"/>
      </w:pPr>
      <w:r>
        <w:t xml:space="preserve">The three streams reviewed above converge on a clear gap. The petroleum supply chain optimisation literature provides mathematically rigorous models at strategic and tactical levels but operates on abstract network representations that elide the operational detail and multi-resolution structure of the real data. The graph data models literature provides increasingly powerful methods for relational and temporal learning but assumes a clean upstream representation that the commodity context does not naturally provide. The energy statistics conventions describe the data as it is </w:t>
      </w:r>
      <w:proofErr w:type="gramStart"/>
      <w:r>
        <w:t>actually published</w:t>
      </w:r>
      <w:proofErr w:type="gramEnd"/>
      <w:r>
        <w:t xml:space="preserve"> and consumed in practice, but the practitioner workflow that intermediates between the conventions and the downstream consumers is ad-hoc, non-auditable, and difficult to extend.</w:t>
      </w:r>
    </w:p>
    <w:p w14:paraId="36BCFB49" w14:textId="77777777" w:rsidR="008E1B31" w:rsidRDefault="00000000">
      <w:pPr>
        <w:spacing w:after="160" w:line="320" w:lineRule="auto"/>
        <w:jc w:val="both"/>
      </w:pPr>
      <w:r>
        <w:t>The gap, stated precisely, is the absence of an upstream representation that:</w:t>
      </w:r>
    </w:p>
    <w:p w14:paraId="36BCFB4A" w14:textId="77777777" w:rsidR="008E1B31" w:rsidRDefault="00000000">
      <w:pPr>
        <w:spacing w:after="160" w:line="320" w:lineRule="auto"/>
        <w:jc w:val="both"/>
      </w:pPr>
      <w:r>
        <w:t>(a) admits the multi-resolution structure of public energy data without requiring downstream consumers to reconcile it; (b) enforces single-attribution and consistency at the schema level rather than through post-hoc reconciliation; (c) preserves the provenance of derived quantities so that any value in the representation can be traced to its sources; (d) accommodates both classical optimisation consumers (linear programmes) and modern machine learning consumers (graph neural networks) without modification; (e) and is implemented as a working artefact, not only described abstractly.</w:t>
      </w:r>
    </w:p>
    <w:p w14:paraId="36BCFB4B" w14:textId="77777777" w:rsidR="008E1B31" w:rsidRDefault="00000000">
      <w:pPr>
        <w:spacing w:after="160" w:line="320" w:lineRule="auto"/>
        <w:jc w:val="both"/>
      </w:pPr>
      <w:r>
        <w:lastRenderedPageBreak/>
        <w:t>The thesis fills this gap with the asset-centric temporal graph schema described in Chapter 4, the implementation described in Chapter 5, the resolver described in Chapter 6, the consistency guarantees demonstrated in Chapter 7, and the linear programme consumer demonstrated in Chapter 8. The treatment of graph neural network consumers is deferred to future work and characterised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36BCFB4D" w14:textId="77777777" w:rsidR="008E1B31" w:rsidRDefault="00000000">
      <w:pPr>
        <w:spacing w:after="160" w:line="320" w:lineRule="auto"/>
        <w:jc w:val="both"/>
      </w:pPr>
      <w:r>
        <w:t>This chapter sets out the physical and informational structure of the U.S. crude oil network at the level of detail necessary to make the design choices in subsequent chapters intelligible. The intent is not a comprehensive treatment of the petroleum industry, which would extend well beyond the scope of the thesis, but a focused description of the assets, flows, and reporting conventions that the framework's representation must accommodate. Readers familiar with the industry can skim this chapter; readers approaching the problem from a methods background will find the design choices in Chapter 4 more legible after reading it.</w:t>
      </w:r>
    </w:p>
    <w:p w14:paraId="36BCFB4E" w14:textId="77777777" w:rsidR="008E1B31" w:rsidRDefault="00000000">
      <w:pPr>
        <w:pStyle w:val="Heading2"/>
      </w:pPr>
      <w:r>
        <w:t>3.1 The physical layer</w:t>
      </w:r>
    </w:p>
    <w:p w14:paraId="36BCFB4F" w14:textId="77777777" w:rsidR="008E1B31" w:rsidRDefault="00000000">
      <w:pPr>
        <w:spacing w:after="160" w:line="320" w:lineRule="auto"/>
        <w:jc w:val="both"/>
      </w:pPr>
      <w:r>
        <w:t>The crude oil system at the national scale of the United States comprises four physical layers, conventionally described as upstream production, midstream gathering and transportation, downstream refining, and the export and storage infrastructure that interfaces with the international market.</w:t>
      </w:r>
    </w:p>
    <w:p w14:paraId="36BCFB50" w14:textId="77777777" w:rsidR="008E1B31" w:rsidRDefault="00000000">
      <w:pPr>
        <w:spacing w:after="160" w:line="320" w:lineRule="auto"/>
        <w:jc w:val="both"/>
      </w:pPr>
      <w:r>
        <w:t xml:space="preserve">The </w:t>
      </w:r>
      <w:r>
        <w:rPr>
          <w:b/>
          <w:bCs/>
        </w:rPr>
        <w:t>upstream layer</w:t>
      </w:r>
      <w:r>
        <w:t xml:space="preserve"> consists of the assets that bring crude oil out of the ground. These divide into three structurally distinct categories. Onshore conventional wells, the historical core of U.S. production, are individual oil wells drilled into permeable reservoirs and producing crude through natural pressure or artificial lift. Offshore platforms, concentrated in the federal waters of the Gulf of America (formerly Gulf of Mexico), are large fixed or floating structures producing from sub-sea wells. Shale and tight oil operations, which transformed U.S. production from 2010 onwards, use horizontal drilling and hydraulic fracturing to recover crude from low-permeability formations; their geographic concentration in the Permian (Texas and New Mexico), the Bakken (North Dakota and Montana), and the Eagle Ford (Texas) has shifted the centre of U.S. production decisively to these basins.</w:t>
      </w:r>
    </w:p>
    <w:p w14:paraId="36BCFB51" w14:textId="77777777" w:rsidR="008E1B31" w:rsidRDefault="00000000">
      <w:pPr>
        <w:spacing w:after="160" w:line="320" w:lineRule="auto"/>
        <w:jc w:val="both"/>
      </w:pPr>
      <w:r>
        <w:t xml:space="preserve">The </w:t>
      </w:r>
      <w:r>
        <w:rPr>
          <w:b/>
          <w:bCs/>
        </w:rPr>
        <w:t>midstream layer</w:t>
      </w:r>
      <w:r>
        <w:t xml:space="preserve"> moves crude from where it is produced to where it is processed or stored. Gathering systems are basin-scale collection networks that pool production from many individual wells into custody-grade volumes suitable for long-distance transport. Trunk pipelines, the workhorses of inland transport, move crude across hundreds to thousands of miles between gathering networks, storage hubs, and refining centres. Tanker shipping (very large crude carriers, Aframax, </w:t>
      </w:r>
      <w:proofErr w:type="spellStart"/>
      <w:r>
        <w:t>Suezmax</w:t>
      </w:r>
      <w:proofErr w:type="spellEnd"/>
      <w:r>
        <w:t xml:space="preserve"> classes) handles long-distance and intercontinental movements, particularly into and out of the Gulf Coast export complex. Rail and truck transport, while smaller in aggregate volume, plays a role in connecting locations that pipelines do not reach (notably during the early Bakken boom before adequate pipeline capacity was built).</w:t>
      </w:r>
    </w:p>
    <w:p w14:paraId="36BCFB52" w14:textId="77777777" w:rsidR="008E1B31" w:rsidRDefault="00000000">
      <w:pPr>
        <w:spacing w:after="160" w:line="320" w:lineRule="auto"/>
        <w:jc w:val="both"/>
      </w:pPr>
      <w:r>
        <w:t xml:space="preserve">The </w:t>
      </w:r>
      <w:r>
        <w:rPr>
          <w:b/>
          <w:bCs/>
        </w:rPr>
        <w:t>storage layer</w:t>
      </w:r>
      <w:r>
        <w:t xml:space="preserve"> sits between midstream and downstream and absorbs short-term imbalances. Commercial tank farms at hub locations (Cushing in Oklahoma, Patoka in Illinois, the Houston complex, St. James in Louisiana, the LOOP offshore terminal) provide the working storage that refineries and traders draw from. The Strategic Petroleum Reserve, four </w:t>
      </w:r>
      <w:r>
        <w:lastRenderedPageBreak/>
        <w:t>underground salt-cavern facilities along the Gulf Coast, provides emergency reserve storage that the U.S. government draws on in response to supply disruptions.</w:t>
      </w:r>
    </w:p>
    <w:p w14:paraId="36BCFB53" w14:textId="77777777" w:rsidR="008E1B31" w:rsidRDefault="00000000">
      <w:pPr>
        <w:spacing w:after="160" w:line="320" w:lineRule="auto"/>
        <w:jc w:val="both"/>
      </w:pPr>
      <w:r>
        <w:t xml:space="preserve">The </w:t>
      </w:r>
      <w:r>
        <w:rPr>
          <w:b/>
          <w:bCs/>
        </w:rPr>
        <w:t>downstream layer</w:t>
      </w:r>
      <w:r>
        <w:t xml:space="preserve"> transforms crude into refined products. U.S. refineries number in the low hundreds and concentrate heavily in PADD 3 (Gulf Coast), with smaller clusters in PADD 2 (Midwest), PADD 1 (East Coast), PADD 5 (West Coast), and PADD 4 (Rocky Mountains). Refineries vary in complexity (measured by the Nelson Complexity Index), capacity (from under 50 </w:t>
      </w:r>
      <w:proofErr w:type="spellStart"/>
      <w:r>
        <w:t>kbd</w:t>
      </w:r>
      <w:proofErr w:type="spellEnd"/>
      <w:r>
        <w:t xml:space="preserve"> at smaller facilities to over 600 </w:t>
      </w:r>
      <w:proofErr w:type="spellStart"/>
      <w:r>
        <w:t>kbd</w:t>
      </w:r>
      <w:proofErr w:type="spellEnd"/>
      <w:r>
        <w:t xml:space="preserve"> at the largest Gulf Coast plants), and crude slate (the mix of crude grades they are configured to process). The downstream layer is the boundary at which crude oil leaves the modelled system in the form of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36BCFB58" w14:textId="77777777" w:rsidR="008E1B31" w:rsidRDefault="00000000">
      <w:pPr>
        <w:spacing w:after="160" w:line="320" w:lineRule="auto"/>
        <w:jc w:val="both"/>
      </w:pPr>
      <w:r>
        <w:t xml:space="preserve">The U.S. Energy Information Administration organises U.S. petroleum statistics into five Petroleum Administration for </w:t>
      </w:r>
      <w:proofErr w:type="spellStart"/>
      <w:r>
        <w:t>Defense</w:t>
      </w:r>
      <w:proofErr w:type="spellEnd"/>
      <w:r>
        <w:t xml:space="preserve"> Districts, abbreviated PADDs. The PADDs were created during the Second World War for fuel rationing purposes and have remained the dominant geographic unit for U.S. petroleum reporting ever since. They group the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6BCFB60" w14:textId="77777777" w:rsidR="008E1B31" w:rsidRDefault="00000000">
      <w:pPr>
        <w:spacing w:after="160" w:line="320" w:lineRule="auto"/>
        <w:jc w:val="both"/>
      </w:pPr>
      <w:r>
        <w:t>Within PADDs, the EIA further subdivides refineries into refining districts (PADD 3A, 3B, 3C; PADD 2A, 2B, 2C; and so on), which group facilities for reporting purposes without corresponding to physical entities. This nested structure is consequential for the framework's design because it imposes a multi-resolution structure on the published data: production might be reported at state-basin level (Permian-TX vs Permian-NM), consumption at refining-district level (PADD 3B), stocks at PADD level, and inter-PADD flows at the PADD-pair level (Gulf Coast to Midwest). Each level is authoritative for some subset of variables, and any representation that wants to consume the data must accommodate this without imposing reconciliation residuals at the boundaries.</w:t>
      </w:r>
    </w:p>
    <w:p w14:paraId="36BCFB61" w14:textId="77777777" w:rsidR="008E1B31" w:rsidRDefault="00000000">
      <w:pPr>
        <w:pStyle w:val="Heading2"/>
      </w:pPr>
      <w:r>
        <w:t>3.3 The production geography</w:t>
      </w:r>
    </w:p>
    <w:p w14:paraId="36BCFB62" w14:textId="77777777" w:rsidR="008E1B31" w:rsidRDefault="00000000">
      <w:pPr>
        <w:spacing w:after="160" w:line="320" w:lineRule="auto"/>
        <w:jc w:val="both"/>
      </w:pPr>
      <w:r>
        <w:t>U.S. crude oil production in the modelled period (2015 onwards) is dominated by four producing regions, each with distinct geological and operational characteristics:</w:t>
      </w:r>
    </w:p>
    <w:p w14:paraId="36BCFB63" w14:textId="77777777" w:rsidR="008E1B31" w:rsidRDefault="00000000">
      <w:pPr>
        <w:spacing w:after="160" w:line="320" w:lineRule="auto"/>
        <w:jc w:val="both"/>
      </w:pPr>
      <w:r>
        <w:rPr>
          <w:b/>
          <w:bCs/>
        </w:rPr>
        <w:t>Permian Basin.</w:t>
      </w:r>
      <w:r>
        <w:t xml:space="preserve"> Spanning west Texas and southeastern New Mexico, the Permian is the largest U.S. producing basin and accounts for roughly 40 per cent of total U.S. crude production in recent years. Its output exceeded 6 mbd in 2024. The Permian is a shale and tight oil play; its production grew from approximately 1 mbd in 2010 to over 6 mbd in 2024 through the application of horizontal drilling and hydraulic fracturing. The basin is bisected by the Texas-New Mexico state line, and EIA reports the two halves separately (PADD 3 Texas production and PADD 3 New Mexico production), making the basin a natural example of the multi-resolution issue.</w:t>
      </w:r>
    </w:p>
    <w:p w14:paraId="36BCFB64" w14:textId="77777777" w:rsidR="008E1B31" w:rsidRDefault="00000000">
      <w:pPr>
        <w:spacing w:after="160" w:line="320" w:lineRule="auto"/>
        <w:jc w:val="both"/>
      </w:pPr>
      <w:r>
        <w:rPr>
          <w:b/>
          <w:bCs/>
        </w:rPr>
        <w:lastRenderedPageBreak/>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36BCFB67" w14:textId="77777777" w:rsidR="008E1B31" w:rsidRDefault="00000000">
      <w:pPr>
        <w:spacing w:after="160" w:line="320" w:lineRule="auto"/>
        <w:jc w:val="both"/>
      </w:pPr>
      <w:r>
        <w:t>Beyond these four, smaller volumes are produced in Alaska (the trans-Alaska pipeline from the North Slope), in the conventional Oklahoma fields, in California, Wyoming, and elsewhere across the country. EIA publishes most of these at state level, with smaller un-named producing volumes within each PADD captured by a PADD-level total that exceeds the sum of named contributors. This residual — the difference between the PADD total and the sum of named basins — is the motivating example for the residual-node design choice described in Chapter 5.</w:t>
      </w:r>
    </w:p>
    <w:p w14:paraId="36BCFB68" w14:textId="77777777" w:rsidR="008E1B31" w:rsidRDefault="00000000">
      <w:pPr>
        <w:pStyle w:val="Heading2"/>
      </w:pPr>
      <w:r>
        <w:t>3.4 The transport network</w:t>
      </w:r>
    </w:p>
    <w:p w14:paraId="36BCFB69" w14:textId="77777777" w:rsidR="008E1B31" w:rsidRDefault="00000000">
      <w:pPr>
        <w:spacing w:after="160" w:line="320" w:lineRule="auto"/>
        <w:jc w:val="both"/>
      </w:pPr>
      <w:r>
        <w:t>Trunk pipelines connect the producing basins to the refining centres and to the export complex. The network is dense enough that no production region is more than a few hundred miles from a major refining cluster, but the pipeline-by-pipeline structure matters for understanding where data is observed and where it is not.</w:t>
      </w:r>
    </w:p>
    <w:p w14:paraId="36BCFB6A" w14:textId="77777777" w:rsidR="008E1B31" w:rsidRDefault="00000000">
      <w:pPr>
        <w:spacing w:after="160" w:line="320" w:lineRule="auto"/>
        <w:jc w:val="both"/>
      </w:pPr>
      <w:r>
        <w:rPr>
          <w:b/>
          <w:bCs/>
        </w:rPr>
        <w:t>Permian outbound.</w:t>
      </w:r>
      <w:r>
        <w:t xml:space="preserve"> The Permian's six-million-barrel daily output exits the basin through three origin terminals: Midland (the largest, in the heart of the basin), Wink (to the southwest), and Crane (to the southeast). From each origin terminal, multiple trunk pipelines run to the Gulf Coast: Gray Oak (Wink and Crane to Corpus Christi), Cactus II (Midland to Corpus Christi), EPIC (Midland to Corpus Christi), Wink-to-Webster (Wink and Midland to Houston), and others. EIA reports Permian production at basin level and Gulf Coast receipts at terminal level, but the per-pipeline split between Permian and the receiving terminals is not reported in public data. This is the canonical example of the latent-flow problem described in Chapter 4.</w:t>
      </w:r>
    </w:p>
    <w:p w14:paraId="36BCFB6B" w14:textId="77777777" w:rsidR="008E1B31" w:rsidRDefault="00000000">
      <w:pPr>
        <w:spacing w:after="160" w:line="320" w:lineRule="auto"/>
        <w:jc w:val="both"/>
      </w:pPr>
      <w:r>
        <w:rPr>
          <w:b/>
          <w:bCs/>
        </w:rPr>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w:t>
      </w:r>
      <w:r>
        <w:lastRenderedPageBreak/>
        <w:t xml:space="preserve">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36BCFB6D" w14:textId="77777777" w:rsidR="008E1B31" w:rsidRDefault="00000000">
      <w:pPr>
        <w:spacing w:after="160" w:line="320" w:lineRule="auto"/>
        <w:jc w:val="both"/>
      </w:pPr>
      <w:r>
        <w:rPr>
          <w:b/>
          <w:bCs/>
        </w:rPr>
        <w:t>Inter-PADD flows.</w:t>
      </w:r>
      <w:r>
        <w:t xml:space="preserve"> Crude movements between PADDs are reported by EIA at the PADD-pair level (PADD 2 to PADD 3, PADD 3 to PADD 1, and so on), without disaggregating which specific pipelines carry which volumes. The framework's inter-PADD aggregate nodes are direct responses to this reporting choice: each aggregate gives the partition tree a same-type child to point at, with the per-pipeline decomposition latent for future LP allocation.</w:t>
      </w:r>
    </w:p>
    <w:p w14:paraId="36BCFB6E" w14:textId="77777777" w:rsidR="008E1B31" w:rsidRDefault="00000000">
      <w:pPr>
        <w:spacing w:after="160" w:line="320" w:lineRule="auto"/>
        <w:jc w:val="both"/>
      </w:pPr>
      <w:r>
        <w:rPr>
          <w:b/>
          <w:bCs/>
        </w:rPr>
        <w:t>The Gulf Coast export complex.</w:t>
      </w:r>
      <w:r>
        <w:t xml:space="preserve"> Approximately 4 mbd of U.S. crude leaves the country through Gulf Coast export terminals as of 2024, predominantly via the Houston complex (Enterprise, Magellan, Moda Midstream, and other operators), the Corpus Christi cluster (Ingleside being the largest single terminal, primarily handling Permian crude), Nederland in southeast Texas (Sunoco), LOOP in offshore Louisiana (the only U.S. terminal capable of fully loading VLCC class tankers), and St. James in Louisiana. Each terminal has its own operator-reported throughput, but the per-destination breakdown (where the exports go after leaving the terminal) is reported at the country-destination level rather than terminal-destination, again creating a multi-resolution issue.</w:t>
      </w:r>
    </w:p>
    <w:p w14:paraId="36BCFB6F" w14:textId="77777777" w:rsidR="008E1B31" w:rsidRDefault="00000000">
      <w:pPr>
        <w:pStyle w:val="Heading2"/>
      </w:pPr>
      <w:r>
        <w:t>3.5 Refining and consumption</w:t>
      </w:r>
    </w:p>
    <w:p w14:paraId="36BCFB70" w14:textId="77777777" w:rsidR="008E1B31" w:rsidRDefault="00000000">
      <w:pPr>
        <w:spacing w:after="160" w:line="320" w:lineRule="auto"/>
        <w:jc w:val="both"/>
      </w:pPr>
      <w:r>
        <w:t xml:space="preserve">U.S. refining capacity is approximately 18 mbd, with consumption (crude inputs to refineries) typically running at 15–17 mbd. The geographic concentration is heavy: PADD 3 (the Gulf Coast) contains roughly half of all U.S. refining capacity, and within PADD 3 a small number of integrated coastal facilities (Motiva Port Arthur, ExxonMobil Beaumont, Marathon Galveston Bay, the Valero plants) each exceed 400 </w:t>
      </w:r>
      <w:proofErr w:type="spellStart"/>
      <w:r>
        <w:t>kbd</w:t>
      </w:r>
      <w:proofErr w:type="spellEnd"/>
      <w:r>
        <w:t xml:space="preserve"> of capacity. PADD 2 (the Midwest) has the second-largest concentration, including refineries supplied predominantly from Canadian heavy crude (BP Whiting, Marathon Detroit) and others supplied from a mix of domestic and Canadian crude.</w:t>
      </w:r>
    </w:p>
    <w:p w14:paraId="36BCFB71" w14:textId="77777777" w:rsidR="008E1B31" w:rsidRDefault="00000000">
      <w:pPr>
        <w:spacing w:after="160" w:line="320" w:lineRule="auto"/>
        <w:jc w:val="both"/>
      </w:pPr>
      <w:r>
        <w:t>Refineries are characterised by their throughput capacity (the maximum crude they can process), their configuration (the units they contain: crude distillation, coking, hydrocracking, fluid catalytic cracking, alkylation, reforming), their complexity (a single Nelson index summarising the configuration), and their crude slate (the mix of crude grades they are designed to process efficiently). Slate flexibility is finite and operationally significant: a refinery designed for heavy sour Canadian crude cannot simply switch to light sweet Permian crude without significant operational implications.</w:t>
      </w:r>
    </w:p>
    <w:p w14:paraId="36BCFB72" w14:textId="77777777" w:rsidR="008E1B31" w:rsidRDefault="00000000">
      <w:pPr>
        <w:spacing w:after="160" w:line="320" w:lineRule="auto"/>
        <w:jc w:val="both"/>
      </w:pPr>
      <w:r>
        <w:t xml:space="preserve">For the present framework, refineries are nodes with three primary variables: consumption (crude throughput, observed at the refining district or sometimes facility level), inventory (operating stocks, observed at PADD level), and a balancing item that absorbs process losses </w:t>
      </w:r>
      <w:r>
        <w:lastRenderedPageBreak/>
        <w:t>and reporting residuals. The detailed product slates and the propagation of crude grade through the refining process are out of scope for the initial implementation, which treats crude as a single commodity.</w:t>
      </w:r>
    </w:p>
    <w:p w14:paraId="36BCFB73" w14:textId="77777777" w:rsidR="008E1B31" w:rsidRDefault="00000000">
      <w:pPr>
        <w:pStyle w:val="Heading2"/>
      </w:pPr>
      <w:r>
        <w:t>3.6 What the framework must accommodate</w:t>
      </w:r>
    </w:p>
    <w:p w14:paraId="36BCFB74" w14:textId="77777777" w:rsidR="008E1B31" w:rsidRDefault="00000000">
      <w:pPr>
        <w:spacing w:after="160" w:line="320" w:lineRule="auto"/>
        <w:jc w:val="both"/>
      </w:pPr>
      <w:r>
        <w:t>The description above motivates several specific requirements that the framework's representation must satisfy:</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36BCFB7A" w14:textId="77777777" w:rsidR="008E1B31" w:rsidRDefault="00000000">
      <w:pPr>
        <w:spacing w:after="160" w:line="320" w:lineRule="auto"/>
        <w:jc w:val="both"/>
      </w:pPr>
      <w:proofErr w:type="gramStart"/>
      <w:proofErr w:type="gramEnd"/>
      <w:proofErr w:type="gramStart"/>
      <w:proofErr w:type="gramEnd"/>
      <w:r>
        <w:t>These requirements are not optional; they reflect the structure of the data as it is actually published and the structure of the system as it actually operates. The next chapter develops the axioms and corollaries that respond to these requirements directly.</w:t>
      </w:r>
    </w:p>
    <w:p w14:paraId="36BCFB7B" w14:textId="77777777" w:rsidR="008E1B31" w:rsidRDefault="00000000">
      <w:pPr>
        <w:pStyle w:val="Heading1"/>
        <w:pageBreakBefore/>
      </w:pPr>
      <w:r>
        <w:lastRenderedPageBreak/>
        <w:t>4. Design Principles</w:t>
      </w:r>
    </w:p>
    <w:p w14:paraId="36BCFB7C" w14:textId="77777777" w:rsidR="008E1B31" w:rsidRDefault="00000000">
      <w:pPr>
        <w:spacing w:after="160" w:line="320" w:lineRule="auto"/>
        <w:jc w:val="both"/>
      </w:pPr>
      <w:r>
        <w:t>This chapter sets out the framework's architectural commitments as a small set of axioms — design commitments that cannot be derived from anything else — together with the corollaries that follow from them once a properly populated variables collection is in place. The single most load-bearing axiom is Axiom 3 (variables are the single source of truth): once every structural fact about the graph is encoded in a variable or its formula_inputs, the rest of the framework — edges, hierarchy, node status, partition closure — is a view. Each axiom and each corollary is presented in the same form: the rule itself, the alternative that was genuinely considered, and the consequence of the commitment for what the framework can and cannot do. There are six axioms and four corollaries; together they describe the framework.</w:t>
      </w:r>
    </w:p>
    <w:p w14:paraId="36BCFB7D" w14:textId="77777777" w:rsidR="008E1B31" w:rsidRDefault="00000000">
      <w:pPr>
        <w:spacing w:after="160" w:line="320" w:lineRule="auto"/>
        <w:jc w:val="both"/>
      </w:pPr>
      <w:r>
        <w:t>The principles together encode the consistency guarantees that this thesis claims as its contribution: an asset-centric representation that admits multi-resolution data, preserves provenance through the resolution chain, and detects double-counting at insert time rather than after the fact. The presentation order follows the natural dependency among the principles, beginning with the representational commitment that the rest build upon.</w:t>
      </w:r>
    </w:p>
    <w:p w14:paraId="36BCFB7E" w14:textId="77777777" w:rsidR="008E1B31" w:rsidRDefault="00000000">
      <w:pPr>
        <w:pStyle w:val="Heading2"/>
      </w:pPr>
      <w:r>
        <w:t>4.1 Axiom 1: Asset-centric representation</w:t>
      </w:r>
    </w:p>
    <w:p w14:paraId="36BCFB7F" w14:textId="77777777" w:rsidR="008E1B31" w:rsidRDefault="00000000">
      <w:pPr>
        <w:spacing w:after="160" w:line="320" w:lineRule="auto"/>
        <w:jc w:val="both"/>
      </w:pPr>
      <w:r>
        <w:t>The first commitment is that every physical asset in the network is a node carrying its own inventory and mass balance. Pipelines, vessels, terminals, refineries, gathering networks, and storage hubs are first-class nodes, not properties of the edges between them. The alternative under serious consideration was a location-centric representation, in which nodes denote geographic places (basins, refining centres, ports) and the assets sit on the edges that join them. Both representations are common in the supply-chain optimisation literature; the choice has consequences that are easy to under-appreciate until edge cases force them into view.</w:t>
      </w:r>
    </w:p>
    <w:p w14:paraId="36BCFB80" w14:textId="77777777" w:rsidR="008E1B31" w:rsidRDefault="00000000">
      <w:pPr>
        <w:spacing w:after="160" w:line="320" w:lineRule="auto"/>
        <w:jc w:val="both"/>
      </w:pPr>
      <w:r>
        <w:t xml:space="preserve">The location-centric view treats a pipeline as an attribute of an edge: a connector with length, capacity, transit time, and operational status. Under this view, the crude oil physically inside the pipeline at any given moment, the line-fill, is hidden state. It must be reconstructed implicitly from the edge's transit time and the recent inflow rates. For most edges in most networks this is a perfectly serviceable abstraction. For a crude oil </w:t>
      </w:r>
      <w:proofErr w:type="gramStart"/>
      <w:r>
        <w:t>network</w:t>
      </w:r>
      <w:proofErr w:type="gramEnd"/>
      <w:r>
        <w:t xml:space="preserve"> it is not. A 36-inch trunk line running 1,200 miles at 600 </w:t>
      </w:r>
      <w:proofErr w:type="spellStart"/>
      <w:r>
        <w:t>kbd</w:t>
      </w:r>
      <w:proofErr w:type="spellEnd"/>
      <w:r>
        <w:t xml:space="preserve"> holds something on the order of five days of throughput in line-fill, often comparable in volume to a regional refinery's weekly throughput. When the line throughput changes, when the line shuts down for maintenance, when a hurricane forces a temporary suspension, the line-fill moves. That movement appears in regional inventory statistics. Treating it as edge attribute hides the movement; treating the pipeline as a node makes it visible.</w:t>
      </w:r>
    </w:p>
    <w:p w14:paraId="36BCFB81" w14:textId="77777777" w:rsidR="008E1B31" w:rsidRDefault="00000000">
      <w:pPr>
        <w:spacing w:after="160" w:line="320" w:lineRule="auto"/>
        <w:jc w:val="both"/>
      </w:pPr>
      <w:r>
        <w:t>The same argument applies, more strongly, to vessels. A VLCC carrying two million barrels from Rotterdam to Houston is a floating storage facility for the three weeks it takes to cross the Atlantic. Its cargo is real inventory in transit, and during periods of contango the practice of slow-steaming or holding vessels offshore as effective storage becomes economically rational. A representation that hides this volume in an edge attribute mishandles a structurally important part of the system.</w:t>
      </w:r>
    </w:p>
    <w:p w14:paraId="36BCFB82" w14:textId="77777777" w:rsidR="008E1B31" w:rsidRDefault="00000000">
      <w:pPr>
        <w:spacing w:after="160" w:line="320" w:lineRule="auto"/>
        <w:jc w:val="both"/>
      </w:pPr>
      <w:r>
        <w:lastRenderedPageBreak/>
        <w:t>The asset-centric commitment is therefore: each pipeline, each vessel, each terminal is a node with its own stock variable, its own mass balance, and its own potential observation series. Edges become what they physically are — directed flows from one asset to another, carrying volume but not holding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36BCFB83" w14:textId="77777777" w:rsidR="008E1B31" w:rsidRDefault="00000000">
      <w:pPr>
        <w:spacing w:after="160" w:line="320" w:lineRule="auto"/>
        <w:jc w:val="both"/>
      </w:pPr>
      <w:proofErr w:type="spellStart"/>
      <w:proofErr w:type="spellEnd"/>
      <w:r>
        <w:t>A second example, from the live implementation, demonstrates the same point quantitatively. EIA's stock identity for PADD 5 — commercial stocks plus the Strategic Petroleum Reserve plus in-transit volumes — consistently overshoots the sum of named commercial hubs and refinery stocks by approximately six million barrels. The gap is the inventory of crude in transit aboard Jones Act tankers carrying Gulf Coast crude to West Coast refineries, which EIA allocates to PADD 5 as destination-based ending stocks. In an asset-centric model this volume has a natural home: the inter-PADD pipeline corridor node from PADD 3 to PADD 5 already exists with TS-bound flow variables, and the residual is placed as its line-fill inventory, closing PADD 5's stock partition exactly. A location-centric model, where the corridor is an edge attribute rather than a node, would have nowhere to put those barrels.</w:t>
      </w:r>
    </w:p>
    <w:p w14:paraId="36BCFB84" w14:textId="77777777" w:rsidR="008E1B31" w:rsidRDefault="00000000">
      <w:pPr>
        <w:pStyle w:val="Heading2"/>
      </w:pPr>
      <w:r>
        <w:t>4.2 Axiom 2: Stable topology via zero-flow edges</w:t>
      </w:r>
    </w:p>
    <w:p w14:paraId="36BCFB85" w14:textId="77777777" w:rsidR="008E1B31" w:rsidRDefault="00000000">
      <w:pPr>
        <w:spacing w:after="160" w:line="320" w:lineRule="auto"/>
        <w:jc w:val="both"/>
      </w:pPr>
      <w:r>
        <w:t>The second commitment is that the adjacency matrix of the graph is fixed across time. Every edge that could ever carry flow under the modelled topology is defined once, at construction time, and remains present in the graph at every timestep regardless of whether it is currently active. Inactive edges carry zero flow, not absent flow.</w:t>
      </w:r>
    </w:p>
    <w:p w14:paraId="36BCFB86" w14:textId="77777777" w:rsidR="008E1B31" w:rsidRDefault="00000000">
      <w:pPr>
        <w:spacing w:after="160" w:line="320" w:lineRule="auto"/>
        <w:jc w:val="both"/>
      </w:pPr>
      <w:r>
        <w:t xml:space="preserve">The alternative is a time-varying topology, in which edges appear and disappear as the underlying physical or contractual relationships change. This is the natural representation if one thinks of the graph as a literal record of which flows are happening at a given moment. It is also the representation that many dynamic graph methods in the machine-learning literature assume. The reason this thesis rejects it is twofold. First, a stable adjacency matrix is a precondition for the standard graph neural network architectures (GCN, GAT, </w:t>
      </w:r>
      <w:proofErr w:type="spellStart"/>
      <w:r>
        <w:t>GraphSAGE</w:t>
      </w:r>
      <w:proofErr w:type="spellEnd"/>
      <w:r>
        <w:t>, and the temporal extensions DCRNN, STGCN, TGN) that are the natural downstream forecasting consumers of this representation. Architectures that handle graph rewriting at every timestep exist but are markedly more complex and less mature. Second, a stable topology cleanly separates structural change (rare, deliberate, requiring schema review) from operational change (frequent, automatic, reflected in flow values). The two kinds of change have different causes and demand different review processes.</w:t>
      </w:r>
    </w:p>
    <w:p w14:paraId="36BCFB87" w14:textId="77777777" w:rsidR="008E1B31" w:rsidRDefault="00000000">
      <w:pPr>
        <w:spacing w:after="160" w:line="320" w:lineRule="auto"/>
        <w:jc w:val="both"/>
      </w:pPr>
      <w:r>
        <w:t>The zero-flow convention is therefore an act of design hygiene rather than a physical statement. A pipeline that is shut for maintenance still exists as a node; the edges into and out of it still exist; the flows on those edges are zero for the duration of the outage. A reversible pipeline carries two directed edges in opposite directions; at any moment, one or both flows may be zero. The graph topology never changes; only the values on the edges change.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t>
      </w:r>
      <w:r>
        <w:lastRenderedPageBreak/>
        <w:t>went to zero. No structural rewrite of the graph was required, and no GNN architecture that depends on a stable adjacency matrix needed special handling.</w:t>
      </w:r>
    </w:p>
    <w:p w14:paraId="36BCFB89" w14:textId="77777777" w:rsidR="008E1B31" w:rsidRDefault="00000000">
      <w:pPr>
        <w:pStyle w:val="Heading2"/>
      </w:pPr>
      <w:r>
        <w:t>4.3 Corollary A: Universal mass balance with balancing item</w:t>
      </w:r>
    </w:p>
    <w:p w14:paraId="36BCFB8A" w14:textId="77777777" w:rsidR="008E1B31" w:rsidRDefault="00000000">
      <w:pPr>
        <w:spacing w:after="160" w:line="320" w:lineRule="auto"/>
        <w:jc w:val="both"/>
      </w:pPr>
      <w:r>
        <w:t>The third commitment is that every node, regardless of type, satisfies the same mass 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36BCFB8D" w14:textId="77777777" w:rsidR="008E1B31" w:rsidRDefault="00000000">
      <w:pPr>
        <w:spacing w:after="160" w:line="320" w:lineRule="auto"/>
        <w:jc w:val="both"/>
      </w:pPr>
      <w:r>
        <w:t>The natural alternative is to derive B implicitly as a residual at query time, or to treat any non-zero residual as a data quality problem to be cleaned up before the data is loaded. Both alternatives have been tried; both fail in the crude oil context for the same reason. Reporting frictions exist at every reporting boundary — basin-to-pipeline custody transfers, refinery process losses, vessel cargo gains and losses, measurement timing offsets — and discarding the residual silently propagates those discrepancies into derived quantities downstream. The IEA, in its World Energy Balances, retains a published balancing item for exactly this reason. The convention is not a confession of measurement failure; it is a deliberate decision to keep the residual visible.</w:t>
      </w:r>
    </w:p>
    <w:p w14:paraId="36BCFB8E" w14:textId="77777777" w:rsidR="008E1B31" w:rsidRDefault="00000000">
      <w:pPr>
        <w:spacing w:after="160" w:line="320" w:lineRule="auto"/>
        <w:jc w:val="both"/>
      </w:pPr>
      <w:r>
        <w:t xml:space="preserve">In the present framework the balancing item carries additional weight. Its size and sign are operationally informative. A persistent positive B at the USA aggregate level indicates that observed stock changes exceed what the reported flows would imply, which can be a signature of unreported imports, under-reported exports, or measurement timing offsets. A sharp transient spike in B around a known event — a hurricane disrupting Gulf Coast production, a pipeline outage, a major SPR release — measures the magnitude of the data gap that the event </w:t>
      </w:r>
      <w:proofErr w:type="gramStart"/>
      <w:r>
        <w:t>opened up</w:t>
      </w:r>
      <w:proofErr w:type="gramEnd"/>
      <w:r>
        <w:t>. Chapter 7 develops this into a consistency claim of its own, comparing observed B against the closure-derived B as a way of localising where the framework's representation diverges from the public data.</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w:t>
      </w:r>
      <w:r>
        <w:lastRenderedPageBreak/>
        <w:t>for downstream consumers; none of them is silently absorbed into the surrounding flow variables.</w:t>
      </w:r>
    </w:p>
    <w:p w14:paraId="36BCFB90" w14:textId="77777777" w:rsidR="008E1B31" w:rsidRDefault="00000000">
      <w:pPr>
        <w:pStyle w:val="Heading2"/>
      </w:pPr>
      <w:r>
        <w:t>4.4 Axiom 3: Formula-implies-relation</w:t>
      </w:r>
    </w:p>
    <w:p w14:paraId="36BCFB91" w14:textId="77777777" w:rsidR="008E1B31" w:rsidRDefault="00000000">
      <w:pPr>
        <w:spacing w:after="160" w:line="320" w:lineRule="auto"/>
        <w:jc w:val="both"/>
      </w:pPr>
      <w:r>
        <w:t xml:space="preserve">The fourth commitment is that edges, partition links, and node status are all derived views of the variables collection. The single source of truth is the variables table; every graph view is a database </w:t>
      </w:r>
      <w:r>
        <w:rPr>
          <w:rFonts w:ascii="Consolas" w:eastAsia="Consolas" w:hAnsi="Consolas" w:cs="Consolas"/>
        </w:rPr>
        <w:t>CREATE VIEW</w:t>
      </w:r>
      <w:r>
        <w:t xml:space="preserve"> over it. An edge between two nodes exists if and only if there is a variable on one node whose formula references a variable on the other. There is no separate edges table whose rows must be maintained in lockstep with the variable definitions.</w:t>
      </w:r>
    </w:p>
    <w:p w14:paraId="36BCFB92" w14:textId="77777777" w:rsidR="008E1B31" w:rsidRDefault="00000000">
      <w:pPr>
        <w:spacing w:after="160" w:line="320" w:lineRule="auto"/>
        <w:jc w:val="both"/>
      </w:pPr>
      <w:r>
        <w:t xml:space="preserve">The alternative — and it was the original design in early implementation passes — is to maintain edges as a primary declared structure: a separate table whose rows </w:t>
      </w:r>
      <w:proofErr w:type="gramStart"/>
      <w:r>
        <w:t>say</w:t>
      </w:r>
      <w:proofErr w:type="gramEnd"/>
      <w:r>
        <w:t xml:space="preserve"> "edge from node A to node B exists, with these attributes". The trouble with this alternative is that it permits structural inconsistency between the edge table and the variable definitions. A declared edge with no corresponding variable formula is useless; a variable formula referencing a node with no declared edge is mathematically defined but graphically invisible. Either failure mode is recoverable, but only by carrying two parallel structures and reconciling them. Formula-implies-relation eliminates the second structure entirely: if the variables collection is consistent, every graph view is consistent by construction.</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36BCFB96" w14:textId="77777777" w:rsidR="008E1B31" w:rsidRDefault="00000000">
      <w:pPr>
        <w:spacing w:after="160" w:line="320" w:lineRule="auto"/>
        <w:jc w:val="both"/>
      </w:pPr>
      <w:r>
        <w:t xml:space="preserve">The fifth commitment separates the model into two layers. The persistent asset graph is the fixed, superset physical topology — every node and every feasible edge defined once and never altered for data reasons. The scenario state is derived at load time from the persistent asset graph plus the per-scenario </w:t>
      </w:r>
      <w:proofErr w:type="spellStart"/>
      <w:r>
        <w:rPr>
          <w:rFonts w:ascii="Consolas" w:eastAsia="Consolas" w:hAnsi="Consolas" w:cs="Consolas"/>
        </w:rPr>
        <w:t>variable_assignments</w:t>
      </w:r>
      <w:proofErr w:type="spellEnd"/>
      <w:r>
        <w:t xml:space="preserve"> rows, which specify, for each variable under that scenario, whether it is bound to a time series or to a formula.</w:t>
      </w:r>
    </w:p>
    <w:p w14:paraId="36BCFB97" w14:textId="77777777" w:rsidR="008E1B31" w:rsidRDefault="00000000">
      <w:pPr>
        <w:spacing w:after="160" w:line="320" w:lineRule="auto"/>
        <w:jc w:val="both"/>
      </w:pPr>
      <w:r>
        <w:t xml:space="preserve">The alternative is a single-layer model in which any change in data resolution (a new EIA series at finer granularity, the introduction of facility-level telemetry, per-grade decomposition) </w:t>
      </w:r>
      <w:r>
        <w:lastRenderedPageBreak/>
        <w:t xml:space="preserve">rewrites the graph. </w:t>
      </w:r>
      <w:proofErr w:type="gramStart"/>
      <w:r>
        <w:t>Single-layer</w:t>
      </w:r>
      <w:proofErr w:type="gramEnd"/>
      <w:r>
        <w:t xml:space="preserve"> was the original design and proved unsustainable. Every data improvement forced a structural revision; every structural revision broke downstream </w:t>
      </w:r>
      <w:proofErr w:type="gramStart"/>
      <w:r>
        <w:t>consumers</w:t>
      </w:r>
      <w:proofErr w:type="gramEnd"/>
      <w:r>
        <w:t>; and the lineage of any given derived quantity became impossible to trace across the changes.</w:t>
      </w:r>
    </w:p>
    <w:p w14:paraId="36BCFB98" w14:textId="77777777" w:rsidR="008E1B31" w:rsidRDefault="00000000">
      <w:pPr>
        <w:spacing w:after="160" w:line="320" w:lineRule="auto"/>
        <w:jc w:val="both"/>
      </w:pPr>
      <w:r>
        <w:t xml:space="preserve">The two-layer model puts the volatility in </w:t>
      </w:r>
      <w:proofErr w:type="spellStart"/>
      <w:r>
        <w:rPr>
          <w:rFonts w:ascii="Consolas" w:eastAsia="Consolas" w:hAnsi="Consolas" w:cs="Consolas"/>
        </w:rPr>
        <w:t>variable_assignments</w:t>
      </w:r>
      <w:proofErr w:type="spellEnd"/>
      <w:r>
        <w:t>. The persistent asset graph stays stable; data improvements re-point variables from coarser to finer time series within the existing node set. If the existing node set is insufficient, the persistent asset graph is extended (a new node is added, an existing node is split) by an explicit migration, and the migration is recorded as a versioned event. The asset graph evolves slowly and deliberately;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r>
        <w:rPr>
          <w:b/>
          <w:bCs/>
        </w:rPr>
        <w:t>Example.</w:t>
      </w:r>
      <w:r>
        <w:t xml:space="preserv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w:t>
      </w:r>
      <w:proofErr w:type="spellStart"/>
      <w:r>
        <w:rPr>
          <w:rFonts w:ascii="Consolas" w:eastAsia="Consolas" w:hAnsi="Consolas" w:cs="Consolas"/>
        </w:rPr>
        <w:t>variable_assignments</w:t>
      </w:r>
      <w:proofErr w:type="spellEnd"/>
      <w:r>
        <w:t xml:space="preserve">. The refineries' status under the scenario flips from collapsed to authoritative automatically through </w:t>
      </w:r>
      <w:proofErr w:type="spellStart"/>
      <w:r>
        <w:rPr>
          <w:rFonts w:ascii="Consolas" w:eastAsia="Consolas" w:hAnsi="Consolas" w:cs="Consolas"/>
        </w:rPr>
        <w:t>v_node_status</w:t>
      </w:r>
      <w:proofErr w:type="spellEnd"/>
      <w:r>
        <w:t>. No code outside the assignment table changes.</w:t>
      </w:r>
    </w:p>
    <w:p w14:paraId="36BCFB9B" w14:textId="77777777" w:rsidR="008E1B31" w:rsidRDefault="00000000">
      <w:pPr>
        <w:pStyle w:val="Heading2"/>
      </w:pPr>
      <w:r>
        <w:t>4.6 Corollary B: Physical layer and observational aggregation layer</w:t>
      </w:r>
    </w:p>
    <w:p w14:paraId="36BCFB9C" w14:textId="77777777" w:rsidR="008E1B31" w:rsidRDefault="00000000">
      <w:pPr>
        <w:spacing w:after="160" w:line="320" w:lineRule="auto"/>
        <w:jc w:val="both"/>
      </w:pPr>
      <w:r>
        <w:t>The sixth commitment is that the physical layer of the graph (real named assets — fields, pipelines, vessels, terminals, refineries) is structurally distinct from the observational aggregation layer (PADDs, refining districts, basin roll-ups, national totals). The aggregation layer carries no edges in the physical graph; it materialises rollups on demand through same-type aggregation formulas.</w:t>
      </w:r>
    </w:p>
    <w:p w14:paraId="36BCFB9D" w14:textId="77777777" w:rsidR="008E1B31" w:rsidRDefault="00000000">
      <w:pPr>
        <w:spacing w:after="160" w:line="320" w:lineRule="auto"/>
        <w:jc w:val="both"/>
      </w:pPr>
      <w:r>
        <w:t xml:space="preserve">The alternative is to mix administrative and physical entities in a single layer. PADD 2 would then be a node like Cushing or the Bakken basin, with flow edges directly to and from it. The trouble with this alternative is that PADD 2 is not a physical entity. It has no operator, no equipment, no custody transfer mechanics; it is a reporting boundary used by the U.S. Energy Information Administration to group physical assets within the central United States. Treating it as a physical node invites confusion: does the PADD have a pipeline to its neighbour, or is that pipeline aggregated from the underlying physical pipelines? The framework picks the latter unambiguously. PADD-level flows are alias-derived from the corresponding inter-PADD aggregate nodes' time-series-bound outflows; PADD-level production is sum-derived from the </w:t>
      </w:r>
      <w:r>
        <w:lastRenderedPageBreak/>
        <w:t>underlying physical basins; PADD-level consumption is sum-derived from the underlying refineries.</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Corollary C: Geography metadata distinct from resolution hierarchy</w:t>
      </w:r>
    </w:p>
    <w:p w14:paraId="36BCFBA1" w14:textId="77777777" w:rsidR="008E1B31" w:rsidRDefault="00000000">
      <w:pPr>
        <w:spacing w:after="160" w:line="320" w:lineRule="auto"/>
        <w:jc w:val="both"/>
      </w:pPr>
      <w:r>
        <w:t>The seventh commitment distinguishes geography metadata — properties describing where a node sits, such as latitude, longitude, county, state, PADD, country — from the resolution hierarchy, which is a structural relationship between nodes representing the same physical system at different granularities. The Permian basin contains the Texas portion of the Permian, which contains Permian-Midland County, which contains individual leases. This is a resolution hierarchy; it is enforced structurally. Two refineries that both sit within PADD 3 share a geography label; they are not part of the same physical asset, and the geography label does not make them so.</w:t>
      </w:r>
    </w:p>
    <w:p w14:paraId="36BCFBA2" w14:textId="77777777" w:rsidR="008E1B31" w:rsidRDefault="00000000">
      <w:pPr>
        <w:spacing w:after="160" w:line="320" w:lineRule="auto"/>
        <w:jc w:val="both"/>
      </w:pPr>
      <w:r>
        <w:t xml:space="preserve">The distinction is important because labels cannot prevent </w:t>
      </w:r>
      <w:proofErr w:type="gramStart"/>
      <w:r>
        <w:t>double-counting</w:t>
      </w:r>
      <w:proofErr w:type="gramEnd"/>
      <w:r>
        <w:t xml:space="preserve"> on their own. Assigning observed data to multiple levels of the same hierarchy for the same variable would double-count; the framework rejects this at the observed/derived invariant level (Section 4.8). Geography metadata is for filtering and rollup queries; hierarchy is for resolution. Conflating the two — treating "is in PADD 3" as if it implied a parent-child relationship in the data — is the failure mode that this principle is designed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basin) without being co-located in geography (Permian-TX is in Texas, Permian-NM is in New Mexico). The two metadata systems are independent.</w:t>
      </w:r>
    </w:p>
    <w:p w14:paraId="36BCFBA4" w14:textId="77777777" w:rsidR="008E1B31" w:rsidRDefault="00000000">
      <w:pPr>
        <w:pStyle w:val="Heading2"/>
      </w:pPr>
      <w:r>
        <w:t>4.8 Axiom 5: The observed/derived invariant</w:t>
      </w:r>
    </w:p>
    <w:p w14:paraId="36BCFBA5" w14:textId="77777777" w:rsidR="008E1B31" w:rsidRDefault="00000000">
      <w:pPr>
        <w:spacing w:after="160" w:line="320" w:lineRule="auto"/>
        <w:jc w:val="both"/>
      </w:pPr>
      <w:r>
        <w:lastRenderedPageBreak/>
        <w:t xml:space="preserve">The eighth commitment is the single most important consistency guarantee in the framework. For each (node, variable type, commodity, timestamp), exactly one of the following holds: the variable is </w:t>
      </w:r>
      <w:r>
        <w:rPr>
          <w:b/>
          <w:bCs/>
        </w:rPr>
        <w:t>observed</w:t>
      </w:r>
      <w:r>
        <w:t xml:space="preserve">, meaning it is bound to a time series and the time series value is the authoritative value at that resolution; or the variable is </w:t>
      </w:r>
      <w:r>
        <w:rPr>
          <w:b/>
          <w:bCs/>
        </w:rPr>
        <w:t>derived</w:t>
      </w:r>
      <w:r>
        <w:t>, meaning it is bound to a formula and its value is computed from other variables. A variable cannot be both. A variable cannot be neither.</w:t>
      </w:r>
    </w:p>
    <w:p w14:paraId="36BCFBA6" w14:textId="77777777" w:rsidR="008E1B31" w:rsidRDefault="00000000">
      <w:pPr>
        <w:spacing w:after="160" w:line="320" w:lineRule="auto"/>
        <w:jc w:val="both"/>
      </w:pPr>
      <w:r>
        <w:t>The alternative is post-hoc validation: allow any combination of bindings, and run a reconciliation pass after the fact to detect double-counted attributions. Post-hoc validation has the same defects in every domain it appears in. It detects the problem only after the data has propagated downstream; it requires an expensive scan over the entire data set; it produces warnings rather than rejections; and it admits the temptation to silence the warnings rather than fix the underlying assignment. Schema-level enforcement, by contrast, makes the inconsistent state unrepresentable. The relevant CHECK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36BCFBAE" w14:textId="77777777" w:rsidR="008E1B31" w:rsidRDefault="00000000">
      <w:pPr>
        <w:spacing w:after="160" w:line="320" w:lineRule="auto"/>
        <w:jc w:val="both"/>
      </w:pPr>
      <w:r>
        <w:lastRenderedPageBreak/>
        <w:t xml:space="preserve">The ninth commitment governs the treatment of flows that are real but unobserved. At many junction nodes in a real network, flows split or merge in ways that public data does not directly measure. The Permian basin produces approximately 4,300 </w:t>
      </w:r>
      <w:proofErr w:type="spellStart"/>
      <w:r>
        <w:t>kbd</w:t>
      </w:r>
      <w:proofErr w:type="spellEnd"/>
      <w:r>
        <w:t xml:space="preserve"> of crude; that volume fans out across three origin terminals (Midland, Wink, Crane), each routing onward through multiple pipelines (Gray Oak, Cactus II, EPIC, Wink-to-Webster, and others), each of which terminates at one of several Gulf Coast destinations. The total flowing out of Permian is observed; the total arriving at each destination is observed; the per-pipeline split is not.</w:t>
      </w:r>
    </w:p>
    <w:p w14:paraId="36BCFBAF" w14:textId="77777777" w:rsidR="008E1B31" w:rsidRDefault="00000000">
      <w:pPr>
        <w:spacing w:after="160" w:line="320" w:lineRule="auto"/>
        <w:jc w:val="both"/>
      </w:pPr>
      <w:r>
        <w:t xml:space="preserve">The framework treats the unobserved per-edge flows as </w:t>
      </w:r>
      <w:r>
        <w:rPr>
          <w:b/>
          <w:bCs/>
        </w:rPr>
        <w:t>latent</w:t>
      </w:r>
      <w:r>
        <w:t>: declared variables with a known structural role and an unknown value. The mass balance constraint at the junction (total outflow equals total inflow plus production minus consumption) still applies; it becomes a constraint that the latent variables must collectively satisfy. The alternative — assigning per-pipeline values via heuristic rules such as proportional capacity weighting — has the seductive virtue of producing complete data. The alternative is rejected because the heuristic values are not data; they are guesses that downstream consumers cannot distinguish from real measurements.</w:t>
      </w:r>
    </w:p>
    <w:p w14:paraId="36BCFBB0" w14:textId="77777777" w:rsidR="008E1B31" w:rsidRDefault="00000000">
      <w:pPr>
        <w:spacing w:after="160" w:line="320" w:lineRule="auto"/>
        <w:jc w:val="both"/>
      </w:pPr>
      <w:r>
        <w:t xml:space="preserve">Latent variables are first-class entities in the resolved table. They appear with </w:t>
      </w:r>
      <w:r>
        <w:rPr>
          <w:rFonts w:ascii="Consolas" w:eastAsia="Consolas" w:hAnsi="Consolas" w:cs="Consolas"/>
        </w:rPr>
        <w:t>value = NULL</w:t>
      </w:r>
      <w:r>
        <w:t xml:space="preserve"> and </w:t>
      </w:r>
      <w:r>
        <w:rPr>
          <w:rFonts w:ascii="Consolas" w:eastAsia="Consolas" w:hAnsi="Consolas" w:cs="Consolas"/>
        </w:rPr>
        <w:t>source = 'latent'</w:t>
      </w:r>
      <w:r>
        <w:t xml:space="preserve">, distinguishing them from </w:t>
      </w:r>
      <w:r>
        <w:rPr>
          <w:rFonts w:ascii="Consolas" w:eastAsia="Consolas" w:hAnsi="Consolas" w:cs="Consolas"/>
        </w:rPr>
        <w:t>unresolved</w:t>
      </w:r>
      <w:r>
        <w:t xml:space="preserve"> rows (which represent a resolver failure and should never occur in a healthy run). Downstream consumers can therefore distinguish unknown-by-design from unknown-by-failure. The natural consumer for the latent variables is a linear programming model, treated in Chapter 8: the </w:t>
      </w:r>
      <w:proofErr w:type="spellStart"/>
      <w:r>
        <w:t>latents</w:t>
      </w:r>
      <w:proofErr w:type="spellEnd"/>
      <w:r>
        <w:t xml:space="preserve"> become decision variables, the mass balance constraints become equality rows in the LP, and the resulting system has a well-posed solution under standard optimisation objectives.</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36BCFBB2" w14:textId="77777777" w:rsidR="008E1B31" w:rsidRDefault="00000000">
      <w:pPr>
        <w:spacing w:after="160" w:line="32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A second example concerns the Bakken cross-state midstream. The North Dakota and Montana gathering systems are operated commercially as a single pool by Hess, Crestwood, and Energy Transfer, with crude moving between the two states in both directions depending on takeaway capacity. Public data does not publish the per-direction flow. The framework models this as a bidirectional pipeline node pipe_bakken_xstate carrying four flow variables — two inflows and two outflows, one per direction at each gathering — all latent. The mass-balance constraint at the connector is preserved by pipeline-type defaults (P = C = ΔS = B = 0, so ΣI = ΣO). The connector is declared as a constituent of the inter-PADD aggregate outflows on both sides, so future per-operator gathering telemetry lands on these variables without any topological change.</w:t>
      </w:r>
    </w:p>
    <w:p w14:paraId="36BCFBB3" w14:textId="77777777" w:rsidR="008E1B31" w:rsidRDefault="00000000">
      <w:pPr>
        <w:pStyle w:val="Heading2"/>
      </w:pPr>
      <w:r>
        <w:t>4.10 Axiom 6: Bidirectional flows as separate directed edges</w:t>
      </w:r>
    </w:p>
    <w:p w14:paraId="36BCFBB4" w14:textId="77777777" w:rsidR="008E1B31" w:rsidRDefault="00000000">
      <w:pPr>
        <w:spacing w:after="160" w:line="320" w:lineRule="auto"/>
        <w:jc w:val="both"/>
      </w:pPr>
      <w:r>
        <w:t>The tenth commitment is that each direction of a reversible or bidirectional connection between two nodes is modelled as a separate directed edge, each with its own flow variable. The zero-flow convention from Axiom 2 handles the inactive direction at any given moment.</w:t>
      </w:r>
    </w:p>
    <w:p w14:paraId="36BCFBB5" w14:textId="77777777" w:rsidR="008E1B31" w:rsidRDefault="00000000">
      <w:pPr>
        <w:spacing w:after="160" w:line="320" w:lineRule="auto"/>
        <w:jc w:val="both"/>
      </w:pPr>
      <w:r>
        <w:lastRenderedPageBreak/>
        <w:t xml:space="preserve">The alternative is a single undirected edge with a signed flow variable: positive in one direction, negative in the other. This is the more compact representation in terms of variables defined, and it appears in some optimisation models for transportation networks. The reason this thesis rejects it is operational: a south-bound flow on </w:t>
      </w:r>
      <w:proofErr w:type="spellStart"/>
      <w:r>
        <w:t>Capline</w:t>
      </w:r>
      <w:proofErr w:type="spellEnd"/>
      <w:r>
        <w:t xml:space="preserve"> (Patoka to St. James, delivering crude into Gulf Coast refining) and a north-bound flow on the same pipeline (St. James to Patoka, delivering crude into mid-continent storage) are physically distinct operations with different tariff structures, different congestion patterns, different operator commitments, and different downstream consumers. Conflating them under a single signed variable obscures these differences.</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6BCFBC3" w14:textId="77777777" w:rsidR="008E1B31" w:rsidRDefault="00000000">
      <w:pPr>
        <w:pStyle w:val="Heading2"/>
      </w:pPr>
      <w:r>
        <w:t>4.11 Summary</w:t>
      </w:r>
    </w:p>
    <w:p w14:paraId="36BCFBC4" w14:textId="77777777" w:rsidR="008E1B31" w:rsidRDefault="00000000">
      <w:pPr>
        <w:spacing w:after="160" w:line="320" w:lineRule="auto"/>
        <w:jc w:val="both"/>
      </w:pPr>
      <w:r>
        <w:t>The axioms and corollaries together specify what the framework is and what it is not. The framework is asset-centric, single-source-of-truth, schema-enforced, multi-resolution, and explicit about its unknowns. It is not a forecasting system, not a flow-allocation heuristic, and not an attempt to clean noisy data into a single best estimate. The six axioms are the primitive commitments of the design; the four corollaries are the properties that fall out of those commitments once the variables collection is properly populated. The two earlier passes that proposed an eleventh and twelfth principle — the canonical sum rule and the latent/unresolved distinction — have been relocated to the resolver chapter (Section 6.7) and the dispatch rule reference (Annex C), where they more naturally belong as descriptions of resolver behaviour rather than architectural commitments.</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r>
        <w:t xml:space="preserve">In practical terms, an early framing of the work included a separate object called a "coverage contract" that recorded which level of resolution was authoritative for each subsystem under a given scenario. As the implementation matured, it became clear that the coverage contract was mechanically identical to the assignment table tagged with a </w:t>
      </w:r>
      <w:proofErr w:type="spellStart"/>
      <w:r>
        <w:rPr>
          <w:rFonts w:ascii="Consolas" w:eastAsia="Consolas" w:hAnsi="Consolas" w:cs="Consolas"/>
        </w:rPr>
        <w:t>scenario_id</w:t>
      </w:r>
      <w:proofErr w:type="spellEnd"/>
      <w:r>
        <w:t xml:space="preserve">. The choice of authoritative level for each variable is exactly the per-variable selection of a time series binding or a formula binding. No separate object was needed; the principle was </w:t>
      </w:r>
      <w:proofErr w:type="gramStart"/>
      <w:r>
        <w:t>preserved,</w:t>
      </w:r>
      <w:proofErr w:type="gramEnd"/>
      <w:r>
        <w:t xml:space="preserve">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36BCFBCD" w14:textId="77777777" w:rsidR="008E1B31" w:rsidRDefault="00000000">
      <w:pPr>
        <w:spacing w:after="160" w:line="320" w:lineRule="auto"/>
        <w:jc w:val="both"/>
      </w:pPr>
      <w:proofErr w:type="spellStart"/>
      <w:proofErr w:type="spellEnd"/>
      <w:proofErr w:type="spellStart"/>
      <w:proofErr w:type="spellEnd"/>
      <w:proofErr w:type="spellStart"/>
      <w:proofErr w:type="spellEnd"/>
      <w:proofErr w:type="spellStart"/>
      <w:proofErr w:type="gramStart"/>
      <w:proofErr w:type="spellEnd"/>
      <w:proofErr w:type="gramEnd"/>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proofErr w:type="spellStart"/>
      <w:proofErr w:type="spellEnd"/>
      <w:proofErr w:type="gramStart"/>
      <w:proofErr w:type="gramEnd"/>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36BCFBEF" w14:textId="77777777" w:rsidR="008E1B31" w:rsidRDefault="00000000">
      <w:pPr>
        <w:spacing w:after="160" w:line="320" w:lineRule="auto"/>
        <w:jc w:val="both"/>
      </w:pPr>
      <w:r>
        <w:t>A further family of abstract aggregates is the per-PADD stock decomposition. EIA publishes each PADD's commercial stocks split into two buckets — tank farms and pipelines (series MCRSFP{N}1) and refinery stocks (series MCRRSP{N}1) — plus, for PADD 3, the Strategic Petroleum Reserve. The framework materialises this split as two observational aggregate nodes per PADD (padd{N}_tank_farms_pipelines and padd{N}_refinery_stocks), each TS-bound to the corresponding EIA series, with formula_inputs declaring the physical constituents — named storage hubs and gathering nodes on the tank-farm side, refineries on the refinery-stocks side. Each padd{N}_view.inventory.formula_inputs then lists the two decomposition aggregates (plus spr_total for PADD 3), materialising the EIA stock identity MCRSTP{N} = MCRSFP{N} + MCRRSP{N} (+SPR)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lastRenderedPageBreak/>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proofErr w:type="spellStart"/>
      <w:proofErr w:type="spellEnd"/>
      <w:r>
        <w:t>| balancing_item | B | Reporting residual (Corollary A)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dispatch rule in the resolver (Section 6.4) propagates an observed value on one direction to the unobserved counterpart.</w:t>
      </w:r>
    </w:p>
    <w:p w14:paraId="36BCFC05" w14:textId="77777777" w:rsidR="008E1B31" w:rsidRDefault="00000000">
      <w:pPr>
        <w:spacing w:after="160" w:line="320" w:lineRule="auto"/>
        <w:jc w:val="both"/>
      </w:pPr>
      <w:proofErr w:type="spellStart"/>
      <w:proofErr w:type="spellEnd"/>
      <w:proofErr w:type="spellStart"/>
      <w:proofErr w:type="gramStart"/>
      <w:proofErr w:type="spellEnd"/>
      <w:proofErr w:type="spellStart"/>
      <w:proofErr w:type="gramEnd"/>
      <w:proofErr w:type="spellEnd"/>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lastRenderedPageBreak/>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20"/>
          <w:szCs w:val="20"/>
        </w:rPr>
        <w:t>usa_view</w:t>
      </w:r>
      <w:proofErr w:type="spellEnd"/>
    </w:p>
    <w:p w14:paraId="36BCFC0B" w14:textId="77777777" w:rsidR="008E1B31" w:rsidRDefault="00000000">
      <w:pPr>
        <w:shd w:val="clear" w:color="auto" w:fill="F4F4F4"/>
      </w:pPr>
      <w:r>
        <w:rPr>
          <w:rFonts w:ascii="Consolas" w:eastAsia="Consolas" w:hAnsi="Consolas" w:cs="Consolas"/>
          <w:sz w:val="20"/>
          <w:szCs w:val="20"/>
        </w:rPr>
        <w:t>├── padd1_view</w:t>
      </w:r>
    </w:p>
    <w:p w14:paraId="36BCFC0C" w14:textId="77777777" w:rsidR="008E1B31" w:rsidRDefault="00000000">
      <w:pPr>
        <w:shd w:val="clear" w:color="auto" w:fill="F4F4F4"/>
      </w:pPr>
      <w:r>
        <w:rPr>
          <w:rFonts w:ascii="Consolas" w:eastAsia="Consolas" w:hAnsi="Consolas" w:cs="Consolas"/>
          <w:sz w:val="20"/>
          <w:szCs w:val="20"/>
        </w:rPr>
        <w:t>│   ├── refining districts (RAP, REC)</w:t>
      </w:r>
    </w:p>
    <w:p w14:paraId="36BCFC0D" w14:textId="77777777" w:rsidR="008E1B31" w:rsidRDefault="00000000">
      <w:pPr>
        <w:shd w:val="clear" w:color="auto" w:fill="F4F4F4"/>
      </w:pPr>
      <w:r>
        <w:rPr>
          <w:rFonts w:ascii="Consolas" w:eastAsia="Consolas" w:hAnsi="Consolas" w:cs="Consolas"/>
          <w:sz w:val="20"/>
          <w:szCs w:val="20"/>
        </w:rPr>
        <w:t>│   ├── padd1_imports_agg ← MCRIPP12 − MCRIPP1CA2</w:t>
      </w:r>
    </w:p>
    <w:p w14:paraId="36BCFC0E" w14:textId="77777777" w:rsidR="008E1B31" w:rsidRDefault="00000000">
      <w:pPr>
        <w:shd w:val="clear" w:color="auto" w:fill="F4F4F4"/>
      </w:pPr>
      <w:r>
        <w:rPr>
          <w:rFonts w:ascii="Consolas" w:eastAsia="Consolas" w:hAnsi="Consolas" w:cs="Consolas"/>
          <w:sz w:val="20"/>
          <w:szCs w:val="20"/>
        </w:rPr>
        <w:t>│   ├── padd1_canadian_imports_agg ← MCRIPP1CA2</w:t>
      </w:r>
    </w:p>
    <w:p w14:paraId="36BCFC0F" w14:textId="77777777" w:rsidR="008E1B31" w:rsidRDefault="00000000">
      <w:pPr>
        <w:shd w:val="clear" w:color="auto" w:fill="F4F4F4"/>
      </w:pPr>
      <w:r>
        <w:rPr>
          <w:rFonts w:ascii="Consolas" w:eastAsia="Consolas" w:hAnsi="Consolas" w:cs="Consolas"/>
          <w:sz w:val="20"/>
          <w:szCs w:val="20"/>
        </w:rPr>
        <w:t>│   ├── padd1_exports_agg ← MCREXP12</w:t>
      </w:r>
    </w:p>
    <w:p w14:paraId="36BCFC10" w14:textId="77777777" w:rsidR="008E1B31" w:rsidRDefault="00000000">
      <w:pPr>
        <w:shd w:val="clear" w:color="auto" w:fill="F4F4F4"/>
      </w:pPr>
      <w:r>
        <w:rPr>
          <w:rFonts w:ascii="Consolas" w:eastAsia="Consolas" w:hAnsi="Consolas" w:cs="Consolas"/>
          <w:sz w:val="20"/>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20"/>
          <w:szCs w:val="20"/>
        </w:rPr>
        <w:t>│   └── padd1_other (residual)</w:t>
      </w:r>
    </w:p>
    <w:p w14:paraId="36BCFC12" w14:textId="77777777" w:rsidR="008E1B31" w:rsidRDefault="00000000">
      <w:pPr>
        <w:shd w:val="clear" w:color="auto" w:fill="F4F4F4"/>
      </w:pPr>
      <w:r>
        <w:rPr>
          <w:rFonts w:ascii="Consolas" w:eastAsia="Consolas" w:hAnsi="Consolas" w:cs="Consolas"/>
          <w:sz w:val="20"/>
          <w:szCs w:val="20"/>
        </w:rPr>
        <w:t>├── padd2_view</w:t>
      </w:r>
    </w:p>
    <w:p w14:paraId="36BCFC13" w14:textId="77777777" w:rsidR="008E1B31" w:rsidRDefault="00000000">
      <w:pPr>
        <w:shd w:val="clear" w:color="auto" w:fill="F4F4F4"/>
      </w:pPr>
      <w:r>
        <w:rPr>
          <w:rFonts w:ascii="Consolas" w:eastAsia="Consolas" w:hAnsi="Consolas" w:cs="Consolas"/>
          <w:sz w:val="20"/>
          <w:szCs w:val="20"/>
        </w:rPr>
        <w:t>│   ├── refining districts (R2A, R2B, R2C)</w:t>
      </w:r>
    </w:p>
    <w:p w14:paraId="36BCFC14"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oklahoma</w:t>
      </w:r>
      <w:proofErr w:type="spellEnd"/>
      <w:r>
        <w:rPr>
          <w:rFonts w:ascii="Consolas" w:eastAsia="Consolas" w:hAnsi="Consolas" w:cs="Consolas"/>
          <w:sz w:val="20"/>
          <w:szCs w:val="20"/>
        </w:rPr>
        <w:t>, padd2_other</w:t>
      </w:r>
    </w:p>
    <w:p w14:paraId="36BCFC15"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cushing_hub</w:t>
      </w:r>
      <w:proofErr w:type="spellEnd"/>
      <w:r>
        <w:rPr>
          <w:rFonts w:ascii="Consolas" w:eastAsia="Consolas" w:hAnsi="Consolas" w:cs="Consolas"/>
          <w:sz w:val="20"/>
          <w:szCs w:val="20"/>
        </w:rPr>
        <w:t xml:space="preserve"> (with three operator sub-terminals), </w:t>
      </w:r>
      <w:proofErr w:type="spellStart"/>
      <w:r>
        <w:rPr>
          <w:rFonts w:ascii="Consolas" w:eastAsia="Consolas" w:hAnsi="Consolas" w:cs="Consolas"/>
          <w:sz w:val="20"/>
          <w:szCs w:val="20"/>
        </w:rPr>
        <w:t>patoka_hub</w:t>
      </w:r>
      <w:proofErr w:type="spellEnd"/>
    </w:p>
    <w:p w14:paraId="36BCFC16"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bakken_nd_gathering</w:t>
      </w:r>
      <w:proofErr w:type="spellEnd"/>
      <w:r>
        <w:rPr>
          <w:rFonts w:ascii="Consolas" w:eastAsia="Consolas" w:hAnsi="Consolas" w:cs="Consolas"/>
          <w:sz w:val="20"/>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20"/>
          <w:szCs w:val="20"/>
        </w:rPr>
        <w:t>│   ├── padd2_canadian_imports_agg ← MCRIPP2CA2</w:t>
      </w:r>
    </w:p>
    <w:p w14:paraId="36BCFC18" w14:textId="77777777" w:rsidR="008E1B31" w:rsidRDefault="00000000">
      <w:pPr>
        <w:shd w:val="clear" w:color="auto" w:fill="F4F4F4"/>
      </w:pPr>
      <w:r>
        <w:rPr>
          <w:rFonts w:ascii="Consolas" w:eastAsia="Consolas" w:hAnsi="Consolas" w:cs="Consolas"/>
          <w:sz w:val="20"/>
          <w:szCs w:val="20"/>
        </w:rPr>
        <w:t>│   ├── padd2_exports_agg ← MCREXP22</w:t>
      </w:r>
    </w:p>
    <w:p w14:paraId="36BCFC19" w14:textId="77777777" w:rsidR="008E1B31" w:rsidRDefault="00000000">
      <w:pPr>
        <w:shd w:val="clear" w:color="auto" w:fill="F4F4F4"/>
      </w:pPr>
      <w:r>
        <w:rPr>
          <w:rFonts w:ascii="Consolas" w:eastAsia="Consolas" w:hAnsi="Consolas" w:cs="Consolas"/>
          <w:sz w:val="20"/>
          <w:szCs w:val="20"/>
        </w:rPr>
        <w:t>│   └── inter_padd_2_to</w:t>
      </w:r>
      <w:proofErr w:type="gramStart"/>
      <w:r>
        <w:rPr>
          <w:rFonts w:ascii="Consolas" w:eastAsia="Consolas" w:hAnsi="Consolas" w:cs="Consolas"/>
          <w:sz w:val="20"/>
          <w:szCs w:val="20"/>
        </w:rPr>
        <w:t>_{</w:t>
      </w:r>
      <w:proofErr w:type="gramEnd"/>
      <w:r>
        <w:rPr>
          <w:rFonts w:ascii="Consolas" w:eastAsia="Consolas" w:hAnsi="Consolas" w:cs="Consolas"/>
          <w:sz w:val="20"/>
          <w:szCs w:val="20"/>
        </w:rPr>
        <w:t>1,3,</w:t>
      </w:r>
      <w:proofErr w:type="gramStart"/>
      <w:r>
        <w:rPr>
          <w:rFonts w:ascii="Consolas" w:eastAsia="Consolas" w:hAnsi="Consolas" w:cs="Consolas"/>
          <w:sz w:val="20"/>
          <w:szCs w:val="20"/>
        </w:rPr>
        <w:t>4}_</w:t>
      </w:r>
      <w:proofErr w:type="spellStart"/>
      <w:proofErr w:type="gramEnd"/>
      <w:r>
        <w:rPr>
          <w:rFonts w:ascii="Consolas" w:eastAsia="Consolas" w:hAnsi="Consolas" w:cs="Consolas"/>
          <w:sz w:val="20"/>
          <w:szCs w:val="20"/>
        </w:rPr>
        <w:t>agg</w:t>
      </w:r>
      <w:proofErr w:type="spellEnd"/>
      <w:r>
        <w:rPr>
          <w:rFonts w:ascii="Consolas" w:eastAsia="Consolas" w:hAnsi="Consolas" w:cs="Consolas"/>
          <w:sz w:val="20"/>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20"/>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20"/>
          <w:szCs w:val="20"/>
        </w:rPr>
        <w:t>└── (boundary nodes sit outside the partition):</w:t>
      </w:r>
    </w:p>
    <w:p w14:paraId="36BCFC1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foreign_supply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canadian_oil_sands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foreign_export_destination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spr_total</w:t>
      </w:r>
      <w:proofErr w:type="spellEnd"/>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w:t>
      </w:r>
      <w:r>
        <w:lastRenderedPageBreak/>
        <w:t xml:space="preserve">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collapsed; the storage report is at hub level |</w:t>
      </w:r>
    </w:p>
    <w:p w14:paraId="36BCFC2B" w14:textId="77777777" w:rsidR="008E1B31" w:rsidRDefault="00000000">
      <w:pPr>
        <w:spacing w:after="160" w:line="320" w:lineRule="auto"/>
        <w:jc w:val="both"/>
      </w:pPr>
      <w:r>
        <w:t>| Houston exports | export aggregate | Facility sub-terminals collapsed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36BCFC32" w14:textId="77777777" w:rsidR="008E1B31" w:rsidRDefault="00000000">
      <w:pPr>
        <w:spacing w:after="160" w:line="320" w:lineRule="auto"/>
        <w:jc w:val="both"/>
      </w:pPr>
      <w:r>
        <w:rPr>
          <w:b/>
          <w:bCs/>
        </w:rPr>
        <w:lastRenderedPageBreak/>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five phases:</w:t>
      </w:r>
    </w:p>
    <w:p w14:paraId="36BCFC5E"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load(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deps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sort</w:t>
      </w:r>
    </w:p>
    <w:p w14:paraId="36BCFC5F" w14:textId="77777777" w:rsidR="008E1B31" w:rsidRDefault="00000000">
      <w:pPr>
        <w:shd w:val="clear" w:color="auto" w:fill="F4F4F4"/>
      </w:pPr>
      <w:r>
        <w:rPr>
          <w:rFonts w:ascii="Consolas" w:eastAsia="Consolas" w:hAnsi="Consolas" w:cs="Consolas"/>
          <w:sz w:val="20"/>
          <w:szCs w:val="20"/>
        </w:rPr>
        <w:t xml:space="preserve">DB ────────► assignments ──────► deps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xml:space="preserve"> ────────►</w:t>
      </w:r>
    </w:p>
    <w:p w14:paraId="36BCFC60" w14:textId="77777777" w:rsidR="008E1B31" w:rsidRDefault="00000000">
      <w:pPr>
        <w:shd w:val="clear" w:color="auto" w:fill="F4F4F4"/>
      </w:pPr>
      <w:r>
        <w:rPr>
          <w:rFonts w:ascii="Consolas" w:eastAsia="Consolas" w:hAnsi="Consolas" w:cs="Consolas"/>
          <w:sz w:val="20"/>
          <w:szCs w:val="20"/>
        </w:rPr>
        <w:t xml:space="preserve">                                                      │</w:t>
      </w:r>
    </w:p>
    <w:p w14:paraId="36BCFC61" w14:textId="77777777" w:rsidR="008E1B31" w:rsidRDefault="00000000">
      <w:pPr>
        <w:shd w:val="clear" w:color="auto" w:fill="F4F4F4"/>
      </w:pPr>
      <w:r>
        <w:rPr>
          <w:rFonts w:ascii="Consolas" w:eastAsia="Consolas" w:hAnsi="Consolas" w:cs="Consolas"/>
          <w:sz w:val="20"/>
          <w:szCs w:val="20"/>
        </w:rPr>
        <w:t xml:space="preserve">                                                      ▼</w:t>
      </w:r>
    </w:p>
    <w:p w14:paraId="36BCFC62" w14:textId="77777777" w:rsidR="008E1B31" w:rsidRDefault="00000000">
      <w:pPr>
        <w:shd w:val="clear" w:color="auto" w:fill="F4F4F4"/>
      </w:pPr>
      <w:r>
        <w:rPr>
          <w:rFonts w:ascii="Consolas" w:eastAsia="Consolas" w:hAnsi="Consolas" w:cs="Consolas"/>
          <w:sz w:val="20"/>
          <w:szCs w:val="20"/>
        </w:rPr>
        <w:t xml:space="preserve">                                            dispatch loop (rules </w:t>
      </w:r>
      <w:proofErr w:type="gramStart"/>
      <w:r>
        <w:rPr>
          <w:rFonts w:ascii="Consolas" w:eastAsia="Consolas" w:hAnsi="Consolas" w:cs="Consolas"/>
          <w:sz w:val="20"/>
          <w:szCs w:val="20"/>
        </w:rPr>
        <w:t>1..</w:t>
      </w:r>
      <w:proofErr w:type="gramEnd"/>
      <w:r>
        <w:rPr>
          <w:rFonts w:ascii="Consolas" w:eastAsia="Consolas" w:hAnsi="Consolas" w:cs="Consolas"/>
          <w:sz w:val="20"/>
          <w:szCs w:val="20"/>
        </w:rPr>
        <w:t>9)</w:t>
      </w:r>
    </w:p>
    <w:p w14:paraId="36BCFC63" w14:textId="77777777" w:rsidR="008E1B31" w:rsidRDefault="00000000">
      <w:pPr>
        <w:shd w:val="clear" w:color="auto" w:fill="F4F4F4"/>
      </w:pPr>
      <w:r>
        <w:rPr>
          <w:rFonts w:ascii="Consolas" w:eastAsia="Consolas" w:hAnsi="Consolas" w:cs="Consolas"/>
          <w:sz w:val="20"/>
          <w:szCs w:val="20"/>
        </w:rPr>
        <w:t xml:space="preserve">                                                      │</w:t>
      </w:r>
    </w:p>
    <w:p w14:paraId="36BCFC64" w14:textId="77777777" w:rsidR="008E1B31" w:rsidRDefault="00000000">
      <w:pPr>
        <w:shd w:val="clear" w:color="auto" w:fill="F4F4F4"/>
      </w:pPr>
      <w:r>
        <w:rPr>
          <w:rFonts w:ascii="Consolas" w:eastAsia="Consolas" w:hAnsi="Consolas" w:cs="Consolas"/>
          <w:sz w:val="20"/>
          <w:szCs w:val="20"/>
        </w:rPr>
        <w:lastRenderedPageBreak/>
        <w:t xml:space="preserve">                                                      ▼</w:t>
      </w:r>
    </w:p>
    <w:p w14:paraId="36BCFC65" w14:textId="77777777" w:rsidR="008E1B31" w:rsidRDefault="00000000">
      <w:pPr>
        <w:shd w:val="clear" w:color="auto" w:fill="F4F4F4"/>
      </w:pPr>
      <w:r>
        <w:rPr>
          <w:rFonts w:ascii="Consolas" w:eastAsia="Consolas" w:hAnsi="Consolas" w:cs="Consolas"/>
          <w:sz w:val="20"/>
          <w:szCs w:val="20"/>
        </w:rPr>
        <w:t xml:space="preserve">                                      persist to </w:t>
      </w:r>
      <w:proofErr w:type="spellStart"/>
      <w:r>
        <w:rPr>
          <w:rFonts w:ascii="Consolas" w:eastAsia="Consolas" w:hAnsi="Consolas" w:cs="Consolas"/>
          <w:sz w:val="20"/>
          <w:szCs w:val="20"/>
        </w:rPr>
        <w:t>scenario_resolved_values</w:t>
      </w:r>
      <w:proofErr w:type="spellEnd"/>
    </w:p>
    <w:p w14:paraId="36BCFC66" w14:textId="77777777" w:rsidR="008E1B31" w:rsidRDefault="00000000">
      <w:pPr>
        <w:spacing w:after="120"/>
      </w:pPr>
      <w:r>
        <w:rPr>
          <w:sz w:val="12"/>
          <w:szCs w:val="12"/>
        </w:rPr>
        <w:t xml:space="preserve"> </w:t>
      </w:r>
    </w:p>
    <w:p w14:paraId="36BCFC67" w14:textId="77777777" w:rsidR="008E1B31" w:rsidRDefault="00000000">
      <w:pPr>
        <w:spacing w:after="160" w:line="320" w:lineRule="auto"/>
        <w:jc w:val="both"/>
      </w:pPr>
      <w:r>
        <w:t>Each phase has a single concern, isolated from the others. The dispatch loop never reads from the database; the loader never evaluates formulas; the topological sort never produces values. Mistakes in any one phase are diagnosed by inspecting that phase's single concern.</w:t>
      </w:r>
    </w:p>
    <w:p w14:paraId="36BCFC68" w14:textId="77777777" w:rsidR="008E1B31" w:rsidRDefault="00000000">
      <w:pPr>
        <w:spacing w:after="160" w:line="320" w:lineRule="auto"/>
        <w:jc w:val="both"/>
      </w:pPr>
      <w:r>
        <w:t xml:space="preserve">A common framing of the resolver is that it starts from "production nodes with P observed and outflow equal to production". That is a special case, not the rule. The actual starting points are the leaves of the dependency DAG — every variable with no upstream dependency. There are two categories of leaf. First, </w:t>
      </w:r>
      <w:r>
        <w:rPr>
          <w:b/>
          <w:bCs/>
        </w:rPr>
        <w:t>observed variables</w:t>
      </w:r>
      <w:r>
        <w:t xml:space="preserve">: any variable with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time-series lookup is the ground truth; no other rule contributes to its value. Second, </w:t>
      </w:r>
      <w:r>
        <w:rPr>
          <w:b/>
          <w:bCs/>
        </w:rPr>
        <w:t>structural zeros</w:t>
      </w:r>
      <w:r>
        <w:t xml:space="preserve">: any variable with </w:t>
      </w:r>
      <w:r>
        <w:rPr>
          <w:rFonts w:ascii="Consolas" w:eastAsia="Consolas" w:hAnsi="Consolas" w:cs="Consolas"/>
        </w:rPr>
        <w:t>formula = '0'</w:t>
      </w:r>
      <w:r>
        <w:t xml:space="preserve">. These come from </w:t>
      </w:r>
      <w:proofErr w:type="spellStart"/>
      <w:r>
        <w:rPr>
          <w:rFonts w:ascii="Consolas" w:eastAsia="Consolas" w:hAnsi="Consolas" w:cs="Consolas"/>
        </w:rPr>
        <w:t>node_type_default_formulas</w:t>
      </w:r>
      <w:proofErr w:type="spellEnd"/>
      <w:r>
        <w:t xml:space="preserve"> — a pipeline's P, C, ΔS, and B are zero by physical construction; a refinery's outflow is zero (refineries consume crude, they do not return it). No upstream variable contributes to a structural zero either.</w:t>
      </w:r>
    </w:p>
    <w:p w14:paraId="36BCFC69" w14:textId="77777777" w:rsidR="008E1B31" w:rsidRDefault="00000000">
      <w:pPr>
        <w:spacing w:after="160" w:line="320" w:lineRule="auto"/>
        <w:jc w:val="both"/>
      </w:pPr>
      <w:r>
        <w:t>Everything else is derived from these leaves through the topologically ordered dispatch loop. The propagation is bottom-up: an alias needs its target resolved first; a sum needs its inputs; a closure needs the inventory delta and the flows. The topological sort guarantees that each variable is visited only after its dependencies are.</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Rules are tried in priority order. The first rule that succeeds produces a value and short-circuits the rest. The unresolved fallback (the last rule) should fire zero times in a healthy run.</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Building the dependency graph</w:t>
      </w:r>
    </w:p>
    <w:p w14:paraId="36BCFC87" w14:textId="77777777" w:rsidR="008E1B31" w:rsidRDefault="00000000">
      <w:pPr>
        <w:spacing w:after="160" w:line="320" w:lineRule="auto"/>
        <w:jc w:val="both"/>
      </w:pPr>
      <w:r>
        <w:t xml:space="preserve">The function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walks every assignment and produces a </w:t>
      </w:r>
      <w:proofErr w:type="gramStart"/>
      <w:r>
        <w:t xml:space="preserve">dictionary </w:t>
      </w:r>
      <w:r>
        <w:rPr>
          <w:rFonts w:ascii="Consolas" w:eastAsia="Consolas" w:hAnsi="Consolas" w:cs="Consolas"/>
        </w:rPr>
        <w:t>deps[variable]</w:t>
      </w:r>
      <w:proofErr w:type="gramEnd"/>
      <w:r>
        <w:t xml:space="preserve"> containing the set of upstream variable IDs for that variable. The set must be acyclic so that the topological sorter can produce a valid evaluation order. Three sources of dependencies contribute to the dictionary:</w:t>
      </w:r>
    </w:p>
    <w:p w14:paraId="36BCFC88" w14:textId="77777777" w:rsidR="008E1B31" w:rsidRDefault="00000000">
      <w:pPr>
        <w:spacing w:after="160" w:line="320" w:lineRule="auto"/>
        <w:jc w:val="both"/>
      </w:pPr>
      <w:r>
        <w:t xml:space="preserve">First, </w:t>
      </w:r>
      <w:r>
        <w:rPr>
          <w:b/>
          <w:bCs/>
        </w:rPr>
        <w:t>formula inputs.</w:t>
      </w:r>
      <w:r>
        <w:t xml:space="preserve"> Every variable ID listed in </w:t>
      </w:r>
      <w:proofErr w:type="spellStart"/>
      <w:r>
        <w:rPr>
          <w:rFonts w:ascii="Consolas" w:eastAsia="Consolas" w:hAnsi="Consolas" w:cs="Consolas"/>
        </w:rPr>
        <w:t>formula_inputs</w:t>
      </w:r>
      <w:proofErr w:type="spellEnd"/>
      <w:r>
        <w:t xml:space="preserve"> that exists in the assignment set becomes a dependency. This handles all sum, alias, and arithmetic formulas.</w:t>
      </w:r>
    </w:p>
    <w:p w14:paraId="36BCFC89" w14:textId="77777777" w:rsidR="008E1B31" w:rsidRDefault="00000000">
      <w:pPr>
        <w:spacing w:after="160" w:line="320" w:lineRule="auto"/>
        <w:jc w:val="both"/>
      </w:pPr>
      <w:r>
        <w:lastRenderedPageBreak/>
        <w:t xml:space="preserve">Second, </w:t>
      </w:r>
      <w:r>
        <w:rPr>
          <w:b/>
          <w:bCs/>
        </w:rPr>
        <w:t>fan-out at the same node.</w:t>
      </w:r>
      <w:r>
        <w:t xml:space="preserve"> When a variable's formula is a sum over outflows, the variable depends on every outflow variable at the same node, except itself. This is the only case where a dependency is inferred rather than declared.</w:t>
      </w:r>
    </w:p>
    <w:p w14:paraId="36BCFC8A" w14:textId="77777777" w:rsidR="008E1B31" w:rsidRDefault="00000000">
      <w:pPr>
        <w:spacing w:after="160" w:line="320" w:lineRule="auto"/>
        <w:jc w:val="both"/>
      </w:pPr>
      <w:r>
        <w:t xml:space="preserve">Third, </w:t>
      </w:r>
      <w:r>
        <w:rPr>
          <w:b/>
          <w:bCs/>
        </w:rPr>
        <w:t>reverse-mirror dependency, hoisted above the early-continue path.</w:t>
      </w:r>
      <w:r>
        <w:t xml:space="preserve"> When a variable is latent and its paired direction is resolved, the paired direction is added as a dependency. Two cycle-avoidance gates protect this addition. The paired side must not itself be plain latent (else neither side has a value); and the paired side must not already alias from us (else a two-node cycle forms). The second gate, called </w:t>
      </w:r>
      <w:proofErr w:type="spellStart"/>
      <w:r>
        <w:rPr>
          <w:rFonts w:ascii="Consolas" w:eastAsia="Consolas" w:hAnsi="Consolas" w:cs="Consolas"/>
        </w:rPr>
        <w:t>paired_aliases_us</w:t>
      </w:r>
      <w:proofErr w:type="spellEnd"/>
      <w:r>
        <w:t xml:space="preserve">, is the result of the </w:t>
      </w:r>
      <w:proofErr w:type="gramStart"/>
      <w:r>
        <w:t>ninth-pass</w:t>
      </w:r>
      <w:proofErr w:type="gramEnd"/>
      <w:r>
        <w:t xml:space="preserve"> debugging episode described below.</w:t>
      </w:r>
    </w:p>
    <w:p w14:paraId="36BCFC8B" w14:textId="77777777" w:rsidR="008E1B31" w:rsidRDefault="00000000">
      <w:pPr>
        <w:spacing w:after="160" w:line="320" w:lineRule="auto"/>
        <w:jc w:val="both"/>
      </w:pPr>
      <w:r>
        <w:t xml:space="preserve">Cycle gates matter because the topological sort raises a </w:t>
      </w:r>
      <w:proofErr w:type="spellStart"/>
      <w:r>
        <w:rPr>
          <w:rFonts w:ascii="Consolas" w:eastAsia="Consolas" w:hAnsi="Consolas" w:cs="Consolas"/>
        </w:rPr>
        <w:t>CycleError</w:t>
      </w:r>
      <w:proofErr w:type="spellEnd"/>
      <w:r>
        <w:t xml:space="preserve"> on the first cycle it encounters. The resolver tolerates many alias-and-mirror patterns precisely because of these gates; the cost is that a few subtle conditions in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need to be read together rather than in isolation.</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r>
        <w:t xml:space="preserve">| L3b | </w:t>
      </w:r>
      <w:proofErr w:type="spellStart"/>
      <w:r>
        <w:t>v_node_status</w:t>
      </w:r>
      <w:proofErr w:type="spellEnd"/>
      <w:r>
        <w:t xml:space="preserve"> | L1 | The per-(scenario, node) status from Section 4.5: authoritative, derived, or collapsed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36BCFCA7" w14:textId="77777777" w:rsidR="008E1B31" w:rsidRDefault="00000000">
      <w:pPr>
        <w:pStyle w:val="Heading2"/>
      </w:pPr>
      <w:r>
        <w:t>6.10 Last-observation-carried-forward</w:t>
      </w:r>
    </w:p>
    <w:p w14:paraId="36BCFCAA" w14:textId="77777777" w:rsidR="008E1B31" w:rsidRDefault="00000000">
      <w:pPr>
        <w:spacing w:after="160" w:line="320" w:lineRule="auto"/>
        <w:jc w:val="both"/>
      </w:pPr>
      <w:r>
        <w:t>The resolver implements a temporal convention as part of rule 1 (observed). EIA's monthly publications represent either the average daily rate over a calendar month (for flow quantities) or the end-of-period stock (for inventory quantities). Between publication dates, the value applies to every subsequent observation date until a new observation arrives. The resolver implements this as last-observation-carried-forward (LOCF): at each evaluation date, the most recent time-series value at or before that date is the resolved value. Dates earlier than the first observation receive no row.</w:t>
      </w:r>
    </w:p>
    <w:p w14:paraId="36BCFCAA" w14:textId="77777777" w:rsidR="008E1B31" w:rsidRDefault="00000000">
      <w:pPr>
        <w:spacing w:after="160" w:line="320" w:lineRule="auto"/>
        <w:jc w:val="both"/>
      </w:pPr>
      <w:r>
        <w:t>LOCF is recorded in the audit trail through the formula_used column on scenario_resolved_values. Fresh observations carry formula_used = NULL; carried-forward rows record the source date as formula_used = ‘locf(YYYY-MM-DD)’. Downstream consumers can therefore distinguish freshly published values from carried-over ones, and a frequency-gap audit can flag long LOCF runs against the expected publication cadence — a useful signal that a series has lapsed without a fresh release.</w:t>
      </w:r>
    </w:p>
    <w:p w14:paraId="36BCFCAA" w14:textId="77777777" w:rsidR="008E1B31" w:rsidRDefault="00000000">
      <w:pPr>
        <w:spacing w:after="160" w:line="320" w:lineRule="auto"/>
        <w:jc w:val="both"/>
      </w:pPr>
      <w:r>
        <w:t>LOCF can surface honest inconsistencies in the data when two series with different temporal horizons feed the same residual. A live example in the implementation is montana_other.production, defined as montana_state.production minus bakken_mt.production. The state-level series MCRFPMT2 ends earlier than the STEO basin forecast COPRBK; LOCF holds Montana flat while Bakken-MT continues forecasting upward, and the residual goes negative for the months between the state-data horizon and the STEO horizon. This is not a bug in the resolver but the framework being honest about a real divergence between source publications. The framework's response is to flag such patterns through the v_resolution_anomalies view, which tags long LOCF runs and negative derived values as low-severity anomalies for review.</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r>
        <w:t xml:space="preserve">The first claim is structural and is enforced at the database schema level rather than verified after the fact. For each (scenario, variable, commodity, timestamp), exactly one of the following holds: the variable is bound to a time series, or the variable is bound to a formula. A variable cannot be both. A variable cannot be neither. The CHECK constraint on </w:t>
      </w:r>
      <w:proofErr w:type="spellStart"/>
      <w:r>
        <w:rPr>
          <w:rFonts w:ascii="Consolas" w:eastAsia="Consolas" w:hAnsi="Consolas" w:cs="Consolas"/>
        </w:rPr>
        <w:t>variable_assignments</w:t>
      </w:r>
      <w:proofErr w:type="spellEnd"/>
      <w:r>
        <w:t xml:space="preserve">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36BCFCD5" w14:textId="77777777" w:rsidR="008E1B31" w:rsidRDefault="00000000">
      <w:pPr>
        <w:spacing w:after="160" w:line="320" w:lineRule="auto"/>
        <w:jc w:val="both"/>
      </w:pPr>
      <w:r>
        <w:t>The audit distinguishes two failure modes for a partition row. The first is where every declared constituent has a value and the sum disagrees with the observed parent: a genuine inconsistency in the underlying data. The second is where one or more constituents are missing or latent: an honest gap in coverage, where the sum is necessarily incomplete and the comparison cannot be made. The framework reports only the first case as a true inconsistency; the second is reported as partial_coverage. Without external knowledge, the framework cannot distinguish ‘the partition is wrong’ from ‘the partition is incomplete’, so it does not apply the inconsistent label and reports every non-conforming row as partial_coverage. The user interface further classifies these rows as red (when every constituent is present and the gap exceeds tolerance) or yellow (when at least one constituent is missing or latent and the gap is unverifiable). At the current build, no row is classified red at the USA-or-PADD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proofErr w:type="spellStart"/>
      <w:proofErr w:type="spellEnd"/>
      <w:proofErr w:type="spellStart"/>
      <w:proofErr w:type="spellEnd"/>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g, t). At the USA aggregate, B is itself time-series-observed (the EIA MCRUA series), so its value at every date is an independently published quantity. The framework's mass balance therefore reduces, at the 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 xml:space="preserve">In a perfectly consistent framework — one in which every flow at every level is observed without error, every stock is reported precisely, and every measurement is timed identically — </w:t>
      </w:r>
      <w:r>
        <w:lastRenderedPageBreak/>
        <w:t>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proofErr w:type="spellStart"/>
      <w:proofErr w:type="spellEnd"/>
      <w:r>
        <w:t>The framework as committed supports the four consistency claims above. A fifth, cross-scenario consistency, would require a second scenario binding the same underlying time series at a different resolution and checking that aggregate values agree where the two scenarios overlap. The schema and the resolver are constructed to admit such a test without modification, but executing it is left to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lastRenderedPageBreak/>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 schema-level single attribution, partition closure, per-node mass balance, and observed-versus-closure B — with a fifth (cross-scenario consistency) admissible by construction and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proofErr w:type="spellStart"/>
      <w:proofErr w:type="spellEnd"/>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proofErr w:type="spellStart"/>
      <w:proofErr w:type="spellEnd"/>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proofErr w:type="spellStart"/>
      <w:proofErr w:type="spellEnd"/>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that earlier framings of the thesis prioritised — and concludes that the framework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the GNN forecasting work that earlier framings of the thesis prioritised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earlier framing of this thesis envisaged a temporal graph neural network as the central contribution, with the asset-centric representation as supporting infrastructure. The current framing inverts the priority: the representation is the contribution, and forecasting is a downstream consumer that the framework is designed to support. The inversion is more than a presentational choice; it reflects an honest assessment of where the work's value lies. The representation is novel; the GNN architectures that would consume it are well-established; the gap in the existing literature is at the representational layer, not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proofErr w:type="spellStart"/>
      <w:proofErr w:type="spellEnd"/>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argument's conclusion is that the framework is not only LP-ready but also GNN-ready, in the strong sense that no schema modification would be required to consume the framework's output for forecasting. What would be required is the modelling work — choosing an architecture, a training/validation/test split, a target variable, an evaluation metric, and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The framework admits several extensions without schema modification. The most immediate downstream consumer is a temporal graph neural network for forecasting flows, stocks, or deviations from historical means: the framework supplies the node feature matrix, the fixed adjacency, and the conservation constraint that standard architectures (GCN, GAT, TGN, TGAT) require. Beyond forecasting, the schema admits per-grade decomposition by treating commodity as a further dimension on variables; a weekly companion scenario built on EIA's Weekly Petroleum Status Report; a North American extension once Canadian production data is bound; and analogous representations for natural gas, electricity, or refined-product networks whose physical structure shares the asset-centric, multi-resolution character of crude oil. Productionisation — robust pipelines, monitoring, access control — is engineering work compatible with the architecture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is more principled, more extensible, and better suited to the physical structure of the crude-oil supply chain. The crude-oil network is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making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C94AF" w14:textId="77777777" w:rsidR="004D1315" w:rsidRDefault="004D1315">
      <w:r>
        <w:separator/>
      </w:r>
    </w:p>
  </w:endnote>
  <w:endnote w:type="continuationSeparator" w:id="0">
    <w:p w14:paraId="66F3F787" w14:textId="77777777" w:rsidR="004D1315" w:rsidRDefault="004D1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DCE98" w14:textId="77777777" w:rsidR="004D1315" w:rsidRDefault="004D1315">
      <w:r>
        <w:separator/>
      </w:r>
    </w:p>
  </w:footnote>
  <w:footnote w:type="continuationSeparator" w:id="0">
    <w:p w14:paraId="19D6C354" w14:textId="77777777" w:rsidR="004D1315" w:rsidRDefault="004D1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8E1B31"/>
    <w:rsid w:val="00A971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115</Pages>
  <Words>37929</Words>
  <Characters>212407</Characters>
  <Application>Microsoft Office Word</Application>
  <DocSecurity>0</DocSecurity>
  <Lines>3482</Lines>
  <Paragraphs>1360</Paragraphs>
  <ScaleCrop>false</ScaleCrop>
  <Company/>
  <LinksUpToDate>false</LinksUpToDate>
  <CharactersWithSpaces>248976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2</cp:revision>
  <dcterms:created xsi:type="dcterms:W3CDTF">2026-05-15T15:36:00Z</dcterms:created>
  <dcterms:modified xsi:type="dcterms:W3CDTF">2026-05-15T23:07:00Z</dcterms:modified>
</cp:coreProperties>
</file>