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Physical assets are represented as nodes with their own inventory and mass-balance structure. The topology remains stable over time, with zero-flow edges representing inactivity rather than disappearance. All nodes follow a common mass-balance equation with an explicit balancing item.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single attribution is enforced through a CHECK constraint.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Earlier versions of the project treated a temporal graph neural network as the central modelling contribution, with the schema playing a supporting role. The current thesis reverses that emphasis: the schema is the contribution, while forecasting is treated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node, regardless of type, satisfies the same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The framework defines three states. A node is authoritative if at least one of its variables is TS-bound. It is derived if no variable is TS-bound but at least one resolves to a non-zero value via formula. It is collapsed if every variable on the node is '0' or 'latent()'.</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 xml:space="preserve">The first claim is structural and is enforced at the database schema level rather than verified after the fact. For each (scenario, variable, commodity, timestamp), exactly one of the following holds: the variable is bound to a time series, or the variable is bound to a formula. A variable cannot be both. A variable cannot be neither. The CHECK constraint on </w:t>
      </w:r>
      <w:proofErr w:type="spellStart"/>
      <w:r>
        <w:rPr>
          <w:rFonts w:ascii="Consolas" w:eastAsia="Consolas" w:hAnsi="Consolas" w:cs="Consolas"/>
        </w:rPr>
        <w:t>variable_assignments</w:t>
      </w:r>
      <w:proofErr w:type="spellEnd"/>
      <w:r>
        <w:t xml:space="preserve">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that earlier framings of the thesis prioritised — and concludes that the framework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the GNN forecasting work that earlier framings of the thesis prioritised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earlier framing of this thesis envisaged a temporal graph neural network as the central contribution, with the asset-centric representation as supporting infrastructure. The current framing inverts the priority: the representation is the contribution, and forecasting is a downstream consumer that the framework is designed to support. The inversion is more than a presentational choice; it reflects an honest assessment of where the work's value lies. The representation is novel; the GNN architectures that would consume it are well-established; the gap in the existing literature is at the representational layer, not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