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Physical assets are represented as nodes with their own inventory and mass-balance structure. The topology remains stable over time, with zero-flow edges representing inactivity rather than disappearance. All nodes follow a common mass-balance equation with an explicit balancing item.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Earlier versions of the project treated a temporal graph neural network as the central modelling contribution, with the schema playing a supporting role. The current thesis reverses that emphasis: the schema is the contribution, while forecasting is treated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node, regardless of type, satisfies the same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The framework defines three states. A node is authoritative if at least one of its variables is TS-bound. It is derived if no variable is TS-bound but at least one resolves to a non-zero value via formula. It is collapsed if every variable on the node is '0' or 'latent()'.</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