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87034EA" w14:textId="77777777" w:rsidR="00964724" w:rsidRDefault="00964724">
      <w:pPr>
        <w:spacing w:after="200" w:line="316" w:lineRule="auto"/>
        <w:jc w:val="both"/>
        <w:rPr>
          <w:kern w:val="2"/>
          <w14:ligatures w14:val="standardContextual"/>
        </w:rPr>
      </w:pPr>
      <w:r>
        <w:t>Crude oil logistics networks are difficult to represent in a consistent way. Public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dependent on assumptions that are not always made explicit.</w:t>
      </w:r>
    </w:p>
    <w:p w14:paraId="5D924B45" w14:textId="77777777" w:rsidR="00964724" w:rsidRDefault="00964724">
      <w:pPr>
        <w:spacing w:after="200" w:line="316" w:lineRule="auto"/>
        <w:jc w:val="both"/>
        <w:rPr>
          <w:kern w:val="2"/>
          <w14:ligatures w14:val="standardContextual"/>
        </w:rPr>
      </w:pPr>
      <w:r>
        <w:t>This thesis develops and tests an asset-centric temporal graph schema designed for that setting. The framework is organised around six axioms and their corollaries. An asset is the framework's primitive; nodes are how assets appear in a graph, with each node binding to exactly one asset. Assets are flagged as physical (real, named entities with capacity, geography, and flow edges) or abstract (aggregation views over the physical layer with no edges of their own). Physical assets carry their own inventory and mass-balance structure. The topology remains stable over time, with zero-flow edges representing inactivity rather than disappearance. All nodes follow a common mass-balance equation with an explicit balancing item. Edges and aggregation links are derived from a single variables table, which acts as the system's source of truth. 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are declared on a separate column and do not count as a second source. Structurally real but unobserved flows are treated as latent rather than filled with heuristic estimates. Bidirectional movements are represented as separate directed edges, sum-type formulas are canonical, and latent values are distinguished from unresolved ones so that uncertainty is not hidden inside apparently complete data.</w:t>
      </w:r>
    </w:p>
    <w:p w14:paraId="1279A69E" w14:textId="77777777" w:rsidR="00964724" w:rsidRDefault="00964724">
      <w:pPr>
        <w:spacing w:after="200" w:line="316" w:lineRule="auto"/>
        <w:jc w:val="both"/>
        <w:rPr>
          <w:kern w:val="2"/>
          <w14:ligatures w14:val="standardContextual"/>
        </w:rPr>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553DCE1A" w14:textId="77777777" w:rsidR="00964724" w:rsidRDefault="00964724">
      <w:pPr>
        <w:spacing w:after="200" w:line="316" w:lineRule="auto"/>
        <w:jc w:val="both"/>
        <w:rPr>
          <w:kern w:val="2"/>
          <w14:ligatures w14:val="standardContextual"/>
        </w:rPr>
      </w:pPr>
      <w:r>
        <w:t xml:space="preserve">The thesis then shows how the framework can be used in practice. A small linear programme reads the resolved data tensor, treats latent variables as decision variables, and translates the framework's mass-balance and capacity relations into LP constraints. Applied to the Permian fan-out problem, the LP solves in under a second and produces a meaningful allocation of flows. This only works because the framework already guarantees the upstream </w:t>
      </w:r>
      <w:r>
        <w:lastRenderedPageBreak/>
        <w:t xml:space="preserve">conditions the LP depends </w:t>
      </w:r>
      <w:proofErr w:type="gramStart"/>
      <w:r>
        <w:t>on:</w:t>
      </w:r>
      <w:proofErr w:type="gramEnd"/>
      <w:r>
        <w:t xml:space="preserve"> single attribution, partition closure, and a schema-enforced source of truth. The same data structure can also support graph neural network forecasting without requiring schema changes, and that direction is outlined as future work together with other possible extensions.</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77777777" w:rsidR="00964724" w:rsidRDefault="00964724">
      <w:pPr>
        <w:spacing w:after="200" w:line="316" w:lineRule="auto"/>
        <w:jc w:val="both"/>
        <w:rPr>
          <w:kern w:val="2"/>
          <w14:ligatures w14:val="standardContextual"/>
        </w:rPr>
      </w:pPr>
      <w:r>
        <w:t>Finally, I would like to thank my friends, family, and colleagues at 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77777777" w:rsidR="00964724" w:rsidRDefault="00964724">
      <w:pPr>
        <w:spacing w:after="160" w:line="316" w:lineRule="auto"/>
        <w:jc w:val="both"/>
        <w:rPr>
          <w:kern w:val="2"/>
          <w14:ligatures w14:val="standardContextual"/>
        </w:rPr>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42ED5243" w14:textId="77777777" w:rsidR="00964724" w:rsidRDefault="00964724">
      <w:pPr>
        <w:spacing w:after="160" w:line="316" w:lineRule="auto"/>
        <w:jc w:val="both"/>
        <w:rPr>
          <w:kern w:val="2"/>
          <w14:ligatures w14:val="standardContextual"/>
        </w:rPr>
      </w:pPr>
      <w:r>
        <w:t xml:space="preserve">What makes this system difficult to model is that the physical layer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w:t>
      </w:r>
      <w:proofErr w:type="gramStart"/>
      <w:r>
        <w:t>particular throughput</w:t>
      </w:r>
      <w:proofErr w:type="gramEnd"/>
      <w:r>
        <w:t xml:space="preserve"> ranges and crude slates, and moving outside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517551A9" w14:textId="77777777"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minus 37 USD per barrel was a highly visible reminder of that constraint.</w:t>
      </w:r>
    </w:p>
    <w:p w14:paraId="1590E33A" w14:textId="77777777"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refinery—produces data that reflects its current state.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w:t>
      </w:r>
      <w:proofErr w:type="gramStart"/>
      <w:r>
        <w:t>time-varying</w:t>
      </w:r>
      <w:proofErr w:type="gramEnd"/>
      <w:r>
        <w:t>. A disruption at an upstream production site does not stay local for long; it propagates downstream through pipelines and storage nodes, with effects shaped by routing options, transit times, and operating priorities.</w:t>
      </w:r>
    </w:p>
    <w:p w14:paraId="073DFE75" w14:textId="77777777" w:rsidR="006E3777" w:rsidRDefault="006E3777">
      <w:pPr>
        <w:spacing w:after="160" w:line="316" w:lineRule="auto"/>
        <w:jc w:val="both"/>
        <w:rPr>
          <w:kern w:val="2"/>
          <w14:ligatures w14:val="standardContextual"/>
        </w:rPr>
      </w:pPr>
      <w:r>
        <w:lastRenderedPageBreak/>
        <w:t>The main modelling tools used to study systems like this usually fall into two broad groups. One group is rooted in operations research, including linear programming, mixed-integer programming, and stochastic optimisation. These approaches are mathematically rigorous and very useful for strategic design and tactical planning, but they often rely on simplified representations that leave out much of the operational detail visible in the real network.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 xml:space="preserve">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77777777"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Public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20641955" w14:textId="77777777" w:rsidR="006E3777" w:rsidRDefault="006E3777">
      <w:pPr>
        <w:spacing w:after="160" w:line="316" w:lineRule="auto"/>
        <w:jc w:val="both"/>
        <w:rPr>
          <w:kern w:val="2"/>
          <w14:ligatures w14:val="standardContextual"/>
        </w:rPr>
      </w:pPr>
      <w:r>
        <w:t xml:space="preserve">Anyone who has worked with public energy data will recognise the practitioner workflow that fills this gap. Analysts often maintain Excel workbooks or </w:t>
      </w:r>
      <w:proofErr w:type="gramStart"/>
      <w:r>
        <w:t>pandas</w:t>
      </w:r>
      <w:proofErr w:type="gramEnd"/>
      <w:r>
        <w:t xml:space="preserve"> notebooks where production, consumption, flows, and stocks for each PADD are loaded from EIA series, reconciled through </w:t>
      </w:r>
      <w:r>
        <w:lastRenderedPageBreak/>
        <w:t>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spacing w:after="160" w:line="320" w:lineRule="auto"/>
        <w:jc w:val="both"/>
        <w:pBdr>
          <w:top w:val="single" w:sz="12" w:space="8" w:color="406090"/>
          <w:left w:val="single" w:sz="12" w:space="8" w:color="406090"/>
          <w:bottom w:val="single" w:sz="12" w:space="8" w:color="406090"/>
          <w:right w:val="single" w:sz="12" w:space="8" w:color="406090"/>
        </w:pBdr>
        <w:shd w:val="clear" w:color="auto" w:fill="EAF1F8"/>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w:t>
      </w:r>
      <w:proofErr w:type="gramStart"/>
      <w:r>
        <w:t>-(</w:t>
      </w:r>
      <w:proofErr w:type="gramEnd"/>
      <w:r>
        <w:t>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t>1.4 Scope and delimitations</w:t>
      </w:r>
    </w:p>
    <w:p w14:paraId="05A43D87" w14:textId="77777777" w:rsidR="006E3777" w:rsidRDefault="006E3777">
      <w:pPr>
        <w:spacing w:after="160" w:line="319" w:lineRule="auto"/>
        <w:jc w:val="both"/>
        <w:rPr>
          <w:kern w:val="2"/>
          <w14:ligatures w14:val="standardContextual"/>
        </w:rPr>
      </w:pPr>
      <w:r>
        <w:t xml:space="preserve">This research focuses on the representational framework and its first downstream consumer. The asset graph is built at the level of named physical assets wherever public data allows, with PADD-level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w:t>
      </w:r>
      <w:r>
        <w:lastRenderedPageBreak/>
        <w:t>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05A43D87" w14:textId="77777777"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 PADD,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05A43D87" w14:textId="77777777"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PADD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5A43D87" w14:textId="77777777" w:rsidR="006E3777" w:rsidRDefault="006E3777">
      <w:pPr>
        <w:spacing w:after="160" w:line="319" w:lineRule="auto"/>
        <w:jc w:val="both"/>
        <w:rPr>
          <w:kern w:val="2"/>
          <w14:ligatures w14:val="standardContextual"/>
        </w:rPr>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000000">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w:t>
      </w:r>
      <w:proofErr w:type="gramStart"/>
      <w:r>
        <w:t>-(</w:t>
      </w:r>
      <w:proofErr w:type="gramEnd"/>
      <w:r>
        <w:t>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when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 xml:space="preserve">On the uncertainty side, Ribas, Hamacher, and Street (2010) develop stochastic programming models for integrated oil-chain planning under uncertainty in demand, production, and prices. Lima, </w:t>
      </w:r>
      <w:proofErr w:type="spellStart"/>
      <w:r>
        <w:t>Relvas</w:t>
      </w:r>
      <w:proofErr w:type="spellEnd"/>
      <w:r>
        <w:t>, and Barbosa-</w:t>
      </w:r>
      <w:proofErr w:type="spellStart"/>
      <w:r>
        <w:t>Póvoa</w:t>
      </w:r>
      <w:proofErr w:type="spellEnd"/>
      <w:r>
        <w:t xml:space="preserve">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w:t>
      </w:r>
      <w:proofErr w:type="gramStart"/>
      <w:r>
        <w:t>actually available</w:t>
      </w:r>
      <w:proofErr w:type="gramEnd"/>
      <w:r>
        <w:t>.</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 xml:space="preserve">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w:t>
      </w:r>
      <w:proofErr w:type="gramStart"/>
      <w:r>
        <w:t>actually supports</w:t>
      </w:r>
      <w:proofErr w:type="gramEnd"/>
      <w:r>
        <w:t>.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 xml:space="preserve">The use of graph data models in commodity networks specifically—as distinct from more general supply chain applications—is relatively recent. Kosasih and </w:t>
      </w:r>
      <w:proofErr w:type="spellStart"/>
      <w:r>
        <w:t>Brintrup</w:t>
      </w:r>
      <w:proofErr w:type="spellEnd"/>
      <w:r>
        <w:t xml:space="preserve"> (2022) show that GNN-based methods can predict hidden links in supply chain networks, revealing dependencies that aggregate-level data tends to miss. Wasi et al. (2024) introduce </w:t>
      </w:r>
      <w:proofErr w:type="spellStart"/>
      <w:r>
        <w:t>SupplyGraph</w:t>
      </w:r>
      <w:proofErr w:type="spellEnd"/>
      <w:r>
        <w:t>,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 xml:space="preserve">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w:t>
      </w:r>
      <w:proofErr w:type="gramStart"/>
      <w:r>
        <w:t>contribution in its own right</w:t>
      </w:r>
      <w:proofErr w:type="gramEnd"/>
      <w:r>
        <w:t xml:space="preserve">. </w:t>
      </w:r>
      <w:proofErr w:type="spellStart"/>
      <w:r>
        <w:t>SupplyGraph</w:t>
      </w:r>
      <w:proofErr w:type="spellEnd"/>
      <w:r>
        <w:t xml:space="preserve">, for example, is structured around production lines and demand centres in </w:t>
      </w:r>
      <w:proofErr w:type="gramStart"/>
      <w:r>
        <w:t>a fast-moving consumer-goods</w:t>
      </w:r>
      <w:proofErr w:type="gramEnd"/>
      <w:r>
        <w:t xml:space="preserve">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 xml:space="preserve">Behind these applied studies sits a broader graph representation learning literature. Foundational work on random-walk embeddings (Perozzi et al., 2014; Grover and Leskovec, 2016; Tang et al., 2015) and on graph neural networks more directly (Kipf and Welling, 2017; </w:t>
      </w:r>
      <w:proofErr w:type="spellStart"/>
      <w:r>
        <w:t>Veličković</w:t>
      </w:r>
      <w:proofErr w:type="spellEnd"/>
      <w:r>
        <w:t xml:space="preserve">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05A43D87"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05A43D87" w14:textId="77777777" w:rsidR="006E3777" w:rsidRDefault="006E3777">
      <w:pPr>
        <w:spacing w:after="160" w:line="319" w:lineRule="auto"/>
        <w:jc w:val="both"/>
        <w:rPr>
          <w:kern w:val="2"/>
          <w14:ligatures w14:val="standardContextual"/>
        </w:rPr>
      </w:pPr>
      <w:r>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 xml:space="preserve">The workflow built around these series is familiar across trading firms, consultancies, and integrated oil companies, and it is the immediate practical context for this thesis. Analysts typically maintain spreadsheets or </w:t>
      </w:r>
      <w:proofErr w:type="gramStart"/>
      <w:r>
        <w:t>pandas</w:t>
      </w:r>
      <w:proofErr w:type="gramEnd"/>
      <w:r>
        <w:t xml:space="preserve">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w:t>
      </w:r>
      <w:r>
        <w:lastRenderedPageBreak/>
        <w:t>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05A43D87" w14:textId="77777777" w:rsidR="006E3777" w:rsidRDefault="006E3777">
      <w:pPr>
        <w:spacing w:after="160" w:line="319" w:lineRule="auto"/>
        <w:jc w:val="both"/>
        <w:rPr>
          <w:kern w:val="2"/>
          <w14:ligatures w14:val="standardContextual"/>
        </w:rPr>
      </w:pPr>
      <w:r>
        <w:t>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77777777" w:rsidR="006E3777" w:rsidRDefault="006E3777">
      <w:pPr>
        <w:spacing w:after="160" w:line="319" w:lineRule="auto"/>
        <w:jc w:val="both"/>
        <w:rPr>
          <w:kern w:val="2"/>
          <w14:ligatures w14:val="standardContextual"/>
        </w:rPr>
      </w:pPr>
      <w:r>
        <w:t xml:space="preserve">Taken together, the three streams reviewed above point to a clear gap. The petroleum supply chain optimisation literature offers mathematical </w:t>
      </w:r>
      <w:proofErr w:type="gramStart"/>
      <w:r>
        <w:t>rigour, but</w:t>
      </w:r>
      <w:proofErr w:type="gramEnd"/>
      <w:r>
        <w:t xml:space="preserve"> usually works with network abstractions that leave out both operational detail and the multi-resolution structure of the data. The graph data models literature offers increasingly powerful methods for relational and temporal </w:t>
      </w:r>
      <w:proofErr w:type="gramStart"/>
      <w:r>
        <w:t>learning, but</w:t>
      </w:r>
      <w:proofErr w:type="gramEnd"/>
      <w:r>
        <w:t xml:space="preserve"> tends to assume that the upstream representation is already clean and well formed. The energy statistics literature shows how the data is </w:t>
      </w:r>
      <w:proofErr w:type="gramStart"/>
      <w:r>
        <w:t>actually published</w:t>
      </w:r>
      <w:proofErr w:type="gramEnd"/>
      <w:r>
        <w:t xml:space="preserve"> and used, yet the workflow that connects those publications to downstream models remains largely ad hoc and difficult to audit or extend.</w:t>
      </w:r>
    </w:p>
    <w:p w14:paraId="36BCFB49" w14:textId="77777777" w:rsidR="008E1B31" w:rsidRDefault="00000000">
      <w:pPr>
        <w:spacing w:after="160" w:line="320" w:lineRule="auto"/>
        <w:jc w:val="both"/>
      </w:pPr>
      <w:r>
        <w:t>The gap, stated precisely, is the absence of an upstream representation that:</w:t>
      </w:r>
    </w:p>
    <w:p w14:paraId="03D60528" w14:textId="77777777" w:rsidR="006E3777" w:rsidRDefault="006E3777">
      <w:pPr>
        <w:spacing w:after="160" w:line="319" w:lineRule="auto"/>
        <w:jc w:val="both"/>
        <w:rPr>
          <w:kern w:val="2"/>
          <w14:ligatures w14:val="standardContextual"/>
        </w:rPr>
      </w:pPr>
      <w:r>
        <w:t>Stated more precisely, what is missing is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77777777" w:rsidR="006E3777" w:rsidRDefault="006E3777">
      <w:pPr>
        <w:spacing w:after="160" w:line="319" w:lineRule="auto"/>
        <w:jc w:val="both"/>
        <w:rPr>
          <w:kern w:val="2"/>
          <w14:ligatures w14:val="standardContextual"/>
        </w:rPr>
      </w:pPr>
      <w:r>
        <w:t xml:space="preserve">This thesis addresses that gap through the asset-centric temporal graph schema developed in Chapter 4, the implementation described in Chapter 5, the resolver presented in Chapter 6, the consistency guarantees demonstrated in Chapter 7, and the linear-programming consumer developed in Chapter 8. Graph neural network consumers are not implemented </w:t>
      </w:r>
      <w:r>
        <w:lastRenderedPageBreak/>
        <w:t>here, but their role as a natural next step is discussed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w:t>
      </w:r>
      <w:proofErr w:type="spellStart"/>
      <w:r>
        <w:t>Suezmax</w:t>
      </w:r>
      <w:proofErr w:type="spellEnd"/>
      <w:r>
        <w:t>,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w:t>
      </w:r>
      <w:proofErr w:type="spellStart"/>
      <w:r>
        <w:t>kbd</w:t>
      </w:r>
      <w:proofErr w:type="spellEnd"/>
      <w:r>
        <w:t xml:space="preserve">, while the largest Gulf Coast sites exceed 600 </w:t>
      </w:r>
      <w:proofErr w:type="spellStart"/>
      <w:r>
        <w:t>kbd</w:t>
      </w:r>
      <w:proofErr w:type="spellEnd"/>
      <w:r>
        <w:t>.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 xml:space="preserve">The U.S. Energy Information Administration organises petroleum statistics around five Petroleum Administration for </w:t>
      </w:r>
      <w:proofErr w:type="spellStart"/>
      <w:r>
        <w:t>Defense</w:t>
      </w:r>
      <w:proofErr w:type="spellEnd"/>
      <w:r>
        <w:t xml:space="preserve"> Districts, or PADDs. These districts were created during the Second World War for fuel rationing and distribution purposes, but they have remained the dominant geographic structure for U.S. petroleum reporting ever since. The five PADDs group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25F7A09" w14:textId="77777777"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w:t>
      </w:r>
      <w:r>
        <w:lastRenderedPageBreak/>
        <w:t>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05A43D87" w14:textId="77777777" w:rsidR="006E3777" w:rsidRDefault="006E3777">
      <w:pPr>
        <w:spacing w:after="160" w:line="319" w:lineRule="auto"/>
        <w:jc w:val="both"/>
        <w:rPr>
          <w:kern w:val="2"/>
          <w14:ligatures w14:val="standardContextual"/>
        </w:rPr>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05A43D87" w14:textId="77777777" w:rsidR="006E3777" w:rsidRDefault="006E3777">
      <w:pPr>
        <w:spacing w:after="160" w:line="319" w:lineRule="auto"/>
        <w:jc w:val="both"/>
        <w:rPr>
          <w:kern w:val="2"/>
          <w14:ligatures w14:val="standardContextual"/>
        </w:rPr>
      </w:pPr>
      <w:r>
        <w:t>| Region | Typical crude | API gravity (°) | Sulphur | Notes |</w:t>
      </w:r>
    </w:p>
    <w:p w14:paraId="05A43D87" w14:textId="77777777" w:rsidR="006E3777" w:rsidRDefault="006E3777">
      <w:pPr>
        <w:spacing w:after="160" w:line="319" w:lineRule="auto"/>
        <w:jc w:val="both"/>
        <w:rPr>
          <w:kern w:val="2"/>
          <w14:ligatures w14:val="standardContextual"/>
        </w:rPr>
      </w:pPr>
      <w:r>
        <w:t>|—|—|—|—|—|</w:t>
      </w:r>
    </w:p>
    <w:p w14:paraId="05A43D87" w14:textId="77777777" w:rsidR="006E3777" w:rsidRDefault="006E3777">
      <w:pPr>
        <w:spacing w:after="160" w:line="319" w:lineRule="auto"/>
        <w:jc w:val="both"/>
        <w:rPr>
          <w:kern w:val="2"/>
          <w14:ligatures w14:val="standardContextual"/>
        </w:rPr>
      </w:pPr>
      <w:r>
        <w:t>| Permian (TX/NM) | WTI / WTI Midland | 38–42 | Sweet (~0.4%) | Largest US producer; benchmark grade |</w:t>
      </w:r>
    </w:p>
    <w:p w14:paraId="05A43D87" w14:textId="77777777" w:rsidR="006E3777" w:rsidRDefault="006E3777">
      <w:pPr>
        <w:spacing w:after="160" w:line="319" w:lineRule="auto"/>
        <w:jc w:val="both"/>
        <w:rPr>
          <w:kern w:val="2"/>
          <w14:ligatures w14:val="standardContextual"/>
        </w:rPr>
      </w:pPr>
      <w:r>
        <w:t>| Bakken (ND/MT) | Bakken Light | ~42 | Sweet (~0.2%) | Light tight oil |</w:t>
      </w:r>
    </w:p>
    <w:p w14:paraId="05A43D87" w14:textId="77777777" w:rsidR="006E3777" w:rsidRDefault="006E3777">
      <w:pPr>
        <w:spacing w:after="160" w:line="319" w:lineRule="auto"/>
        <w:jc w:val="both"/>
        <w:rPr>
          <w:kern w:val="2"/>
          <w14:ligatures w14:val="standardContextual"/>
        </w:rPr>
      </w:pPr>
      <w:r>
        <w:t>| Eagle Ford (TX) | Eagle Ford Light + condensate | 40–65 | Sweet | Light to very light / condensate |</w:t>
      </w:r>
    </w:p>
    <w:p w14:paraId="05A43D87" w14:textId="77777777" w:rsidR="006E3777" w:rsidRDefault="006E3777">
      <w:pPr>
        <w:spacing w:after="160" w:line="319" w:lineRule="auto"/>
        <w:jc w:val="both"/>
        <w:rPr>
          <w:kern w:val="2"/>
          <w14:ligatures w14:val="standardContextual"/>
        </w:rPr>
      </w:pPr>
      <w:r>
        <w:t>| Gulf of America | Mars, Poseidon, Thunder Horse blends | 28–33 | Medium-sour | Offshore deepwater |</w:t>
      </w:r>
    </w:p>
    <w:p w14:paraId="05A43D87" w14:textId="77777777" w:rsidR="006E3777" w:rsidRDefault="006E3777">
      <w:pPr>
        <w:spacing w:after="160" w:line="319" w:lineRule="auto"/>
        <w:jc w:val="both"/>
        <w:rPr>
          <w:kern w:val="2"/>
          <w14:ligatures w14:val="standardContextual"/>
        </w:rPr>
      </w:pPr>
      <w:r>
        <w:t>| Alaska North Slope | ANS | ~31 | Medium-sour (~0.9%) | Pipeline to TAPS / Valdez |</w:t>
      </w:r>
    </w:p>
    <w:p w14:paraId="05A43D87" w14:textId="77777777" w:rsidR="006E3777" w:rsidRDefault="006E3777">
      <w:pPr>
        <w:spacing w:after="160" w:line="319" w:lineRule="auto"/>
        <w:jc w:val="both"/>
        <w:rPr>
          <w:kern w:val="2"/>
          <w14:ligatures w14:val="standardContextual"/>
        </w:rPr>
      </w:pPr>
      <w:r>
        <w:t>| California (onshore) | Various heavy grades | 13–25 | Sour | Demands cokers / hydrocrackers |</w:t>
      </w:r>
    </w:p>
    <w:p w14:paraId="05A43D87" w14:textId="77777777" w:rsidR="006E3777" w:rsidRDefault="006E3777">
      <w:pPr>
        <w:spacing w:after="160" w:line="319" w:lineRule="auto"/>
        <w:jc w:val="both"/>
        <w:rPr>
          <w:kern w:val="2"/>
          <w14:ligatures w14:val="standardContextual"/>
        </w:rPr>
      </w:pPr>
      <w:r>
        <w:t>| Oklahoma (conv.) | WTI-like / regional | ~38 | Sweet | Mature conventional |</w:t>
      </w:r>
    </w:p>
    <w:p w14:paraId="05A43D87" w14:textId="77777777" w:rsidR="006E3777" w:rsidRDefault="006E3777">
      <w:pPr>
        <w:spacing w:after="160" w:line="319" w:lineRule="auto"/>
        <w:jc w:val="both"/>
        <w:rPr>
          <w:kern w:val="2"/>
          <w14:ligatures w14:val="standardContextual"/>
        </w:rPr>
      </w:pPr>
      <w:r>
        <w:t>| Wyoming / Rockies | Mixed (light to heavy) | varies | Mixed | Rockies aggregator at Guernsey hub |</w:t>
      </w:r>
    </w:p>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 xml:space="preserve">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w:t>
      </w:r>
      <w:proofErr w:type="gramStart"/>
      <w:r>
        <w:t>observed</w:t>
      </w:r>
      <w:proofErr w:type="gramEnd"/>
      <w:r>
        <w:t xml:space="preserve">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lastRenderedPageBreak/>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w:t>
      </w:r>
      <w:proofErr w:type="gramStart"/>
      <w:r>
        <w:t>final destination</w:t>
      </w:r>
      <w:proofErr w:type="gramEnd"/>
      <w:r>
        <w:t xml:space="preserve"> of those exports is usually reported at country level rather than terminal-destination level. This creates another multi-resolution mismatch: the physical exit point is known at one level, while the destination pattern is known only at a </w:t>
      </w:r>
      <w:proofErr w:type="gramStart"/>
      <w:r>
        <w:t>coarser</w:t>
      </w:r>
      <w:proofErr w:type="gramEnd"/>
      <w:r>
        <w:t xml:space="preserve"> one.</w:t>
      </w:r>
    </w:p>
    <w:p w14:paraId="36BCFB6F" w14:textId="77777777" w:rsidR="008E1B31" w:rsidRDefault="00000000">
      <w:pPr>
        <w:pStyle w:val="Heading2"/>
      </w:pPr>
      <w:r>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lastRenderedPageBreak/>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 xml:space="preserve">Taken together, the physical and reporting structure described above leads to a </w:t>
      </w:r>
      <w:proofErr w:type="gramStart"/>
      <w:r>
        <w:t>fairly specific</w:t>
      </w:r>
      <w:proofErr w:type="gramEnd"/>
      <w:r>
        <w:t xml:space="preserve">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 xml:space="preserve">These requirements are not optional add-ons. They follow directly from the way the system operates and from the way the data is </w:t>
      </w:r>
      <w:proofErr w:type="gramStart"/>
      <w:r>
        <w:t>actually published</w:t>
      </w:r>
      <w:proofErr w:type="gramEnd"/>
      <w:r>
        <w:t>.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77777777" w:rsidR="00BD3161" w:rsidRDefault="00BD3161">
      <w:pPr>
        <w:spacing w:after="160" w:line="319" w:lineRule="auto"/>
        <w:jc w:val="both"/>
        <w:rPr>
          <w:kern w:val="2"/>
          <w14:ligatures w14:val="standardContextual"/>
        </w:rPr>
      </w:pPr>
      <w:r>
        <w:t xml:space="preserve">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I first state the rule, then explain the alternative that was considered seriously during </w:t>
      </w:r>
      <w:proofErr w:type="gramStart"/>
      <w:r>
        <w:t>design, and</w:t>
      </w:r>
      <w:proofErr w:type="gramEnd"/>
      <w:r>
        <w:t xml:space="preserve"> finally discuss what that choice allows the framework to do.</w:t>
      </w:r>
    </w:p>
    <w:p w14:paraId="24E7C1A9" w14:textId="77777777" w:rsidR="00BD3161" w:rsidRDefault="00BD3161">
      <w:pPr>
        <w:spacing w:after="160" w:line="319" w:lineRule="auto"/>
        <w:jc w:val="both"/>
        <w:rPr>
          <w:kern w:val="2"/>
          <w14:ligatures w14:val="standardContextual"/>
        </w:rPr>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36BCFB7E" w14:textId="77777777" w:rsidR="008E1B31" w:rsidRDefault="00000000">
      <w:pPr>
        <w:pStyle w:val="Heading2"/>
      </w:pPr>
      <w:r>
        <w:t>4.1 Axiom 1: Asset-centric representation</w:t>
      </w:r>
    </w:p>
    <w:p w14:paraId="25BA68AB" w14:textId="77777777" w:rsidR="00BD3161" w:rsidRDefault="00BD3161">
      <w:pPr>
        <w:spacing w:after="160" w:line="319" w:lineRule="auto"/>
        <w:jc w:val="both"/>
        <w:rPr>
          <w:kern w:val="2"/>
          <w14:ligatures w14:val="standardContextual"/>
        </w:rPr>
      </w:pPr>
      <w:r>
        <w:t>The first design commitment is that every physical asset in the network is represented as a node with its own inventory and mass balance. Pipelines, vessels, terminals, refineries, gathering systems, and storage hubs are therefore treated as first-class nodes rather than as properties attached to the edges between locations.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lastRenderedPageBreak/>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36BCFB84" w14:textId="77777777" w:rsidR="008E1B31" w:rsidRDefault="00000000">
      <w:pPr>
        <w:pStyle w:val="Heading2"/>
      </w:pPr>
      <w:r>
        <w:t>4.2 Axiom 2: Stable topology via zero-flow edges</w:t>
      </w:r>
    </w:p>
    <w:p w14:paraId="4F1DB721" w14:textId="77777777" w:rsidR="00BD3161" w:rsidRDefault="00BD3161">
      <w:pPr>
        <w:spacing w:after="160" w:line="319" w:lineRule="auto"/>
        <w:jc w:val="both"/>
        <w:rPr>
          <w:kern w:val="2"/>
          <w14:ligatures w14:val="standardContextual"/>
        </w:rPr>
      </w:pPr>
      <w:r>
        <w:t>The second commitment is that the graph's adjacency matrix remains fixed over time.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 xml:space="preserve">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w:t>
      </w:r>
      <w:proofErr w:type="spellStart"/>
      <w:r>
        <w:t>GraphSAGE</w:t>
      </w:r>
      <w:proofErr w:type="spellEnd"/>
      <w:r>
        <w:t>,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lastRenderedPageBreak/>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node, regardless of type, satisfies the same mass-balance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 xml:space="preserve">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w:t>
      </w:r>
      <w:r>
        <w:lastRenderedPageBreak/>
        <w:t>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77777777" w:rsidR="00BD3161" w:rsidRDefault="00BD3161">
      <w:pPr>
        <w:spacing w:after="160" w:line="319" w:lineRule="auto"/>
        <w:jc w:val="both"/>
        <w:rPr>
          <w:kern w:val="2"/>
          <w14:ligatures w14:val="standardContextual"/>
        </w:rPr>
      </w:pPr>
      <w:r>
        <w:t>The fourth commitment is that edges, partition links, and node status are all derived from the variables collection.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structure and then reconciling it later. Formula-implies-relation removes that duplication. If the variables collection is internally consistent, the structural views derived from it are consistent as well.</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lastRenderedPageBreak/>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proofErr w:type="spellStart"/>
      <w:r>
        <w:rPr>
          <w:rFonts w:ascii="Consolas" w:hAnsi="Consolas"/>
        </w:rPr>
        <w:t>variableassignments</w:t>
      </w:r>
      <w:proofErr w:type="spellEnd"/>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77777777" w:rsidR="00BD3161" w:rsidRDefault="00BD3161">
      <w:pPr>
        <w:spacing w:after="160" w:line="319" w:lineRule="auto"/>
        <w:jc w:val="both"/>
        <w:rPr>
          <w:kern w:val="2"/>
          <w14:ligatures w14:val="standardContextual"/>
        </w:rPr>
      </w:pPr>
      <w:r>
        <w:t xml:space="preserve">In the two-layer model, data improvements mainly change the </w:t>
      </w:r>
      <w:proofErr w:type="spellStart"/>
      <w:r>
        <w:rPr>
          <w:rFonts w:ascii="Consolas" w:hAnsi="Consolas"/>
        </w:rPr>
        <w:t>variableassignments</w:t>
      </w:r>
      <w:proofErr w:type="spellEnd"/>
      <w:r>
        <w:t xml:space="preserve"> table. The persistent asset graph stays in place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r>
        <w:rPr>
          <w:b/>
          <w:bCs/>
        </w:rPr>
        <w:t>Example.</w:t>
      </w:r>
      <w:r>
        <w:t xml:space="preserv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w:t>
      </w:r>
      <w:proofErr w:type="spellStart"/>
      <w:r>
        <w:rPr>
          <w:rFonts w:ascii="Consolas" w:eastAsia="Consolas" w:hAnsi="Consolas" w:cs="Consolas"/>
        </w:rPr>
        <w:t>variable_assignments</w:t>
      </w:r>
      <w:proofErr w:type="spellEnd"/>
      <w:r>
        <w:t xml:space="preserve">. The refineries' status under the scenario flips from collapsed to authoritative automatically through </w:t>
      </w:r>
      <w:proofErr w:type="spellStart"/>
      <w:r>
        <w:rPr>
          <w:rFonts w:ascii="Consolas" w:eastAsia="Consolas" w:hAnsi="Consolas" w:cs="Consolas"/>
        </w:rPr>
        <w:t>v_node_status</w:t>
      </w:r>
      <w:proofErr w:type="spellEnd"/>
      <w:r>
        <w:t>. No code outside the assignment table changes.</w:t>
      </w:r>
    </w:p>
    <w:p w14:paraId="36BCFB9B" w14:textId="77777777" w:rsidR="008E1B31" w:rsidRDefault="00000000">
      <w:pPr>
        <w:pStyle w:val="Heading2"/>
      </w:pPr>
      <w:r>
        <w:t>4.6 Corollary B: Physical layer and observational aggregation layer</w:t>
      </w:r>
    </w:p>
    <w:p w14:paraId="75F69BC3" w14:textId="77777777" w:rsidR="00BD3161" w:rsidRDefault="00BD3161">
      <w:pPr>
        <w:spacing w:after="160" w:line="319" w:lineRule="auto"/>
        <w:jc w:val="both"/>
        <w:rPr>
          <w:kern w:val="2"/>
          <w14:ligatures w14:val="standardContextual"/>
        </w:rPr>
      </w:pPr>
      <w:r>
        <w:t>The next commitment is to keep the physical layer of the graph separate from the observational aggregation layer. 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7777777" w:rsidR="00BD3161" w:rsidRDefault="00BD3161">
      <w:pPr>
        <w:spacing w:after="160" w:line="319" w:lineRule="auto"/>
        <w:jc w:val="both"/>
        <w:rPr>
          <w:kern w:val="2"/>
          <w14:ligatures w14:val="standardContextual"/>
        </w:rPr>
      </w:pPr>
      <w:r>
        <w:lastRenderedPageBreak/>
        <w:t xml:space="preserve">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w:t>
      </w:r>
      <w:proofErr w:type="gramStart"/>
      <w:r>
        <w:t>thing in itself, or</w:t>
      </w:r>
      <w:proofErr w:type="gramEnd"/>
      <w:r>
        <w:t xml:space="preserve"> is it an aggregation over underlying pipelines? In this framework, the answer is explicit. PADD-level flows are derived from the physical or aggregate nodes that </w:t>
      </w:r>
      <w:proofErr w:type="gramStart"/>
      <w:r>
        <w:t>actually carry</w:t>
      </w:r>
      <w:proofErr w:type="gramEnd"/>
      <w:r>
        <w:t xml:space="preserve"> them; PADD-level production and consumption are likewise derived from the relevant assets beneath them.</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07913DB1" w14:textId="77777777" w:rsidR="00BD3161" w:rsidRDefault="00BD3161">
      <w:pPr>
        <w:spacing w:after="160" w:line="319" w:lineRule="auto"/>
        <w:jc w:val="both"/>
        <w:rPr>
          <w:kern w:val="2"/>
          <w14:ligatures w14:val="standardContextual"/>
        </w:rPr>
      </w:pPr>
      <w:r>
        <w:t>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the data—is precisely the kind of mistake this principle is intended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w:t>
      </w:r>
      <w:r>
        <w:lastRenderedPageBreak/>
        <w:t>basin) without being co-located in geography (Permian-TX is in Texas, Permian-NM is in New Mexico). The two metadata systems are independent.</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A" w14:textId="77777777" w:rsidR="008E1B31" w:rsidRDefault="00000000">
      <w:pPr>
        <w:spacing w:after="160" w:line="320" w:lineRule="auto"/>
        <w:jc w:val="both"/>
      </w:pPr>
      <w:r>
        <w:t>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The time series gives the value; the constituents drive the cross-check; the two typically agree to within rounding tolerance.</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w:t>
      </w:r>
      <w:r>
        <w:lastRenderedPageBreak/>
        <w:t>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77777777" w:rsidR="00BD3161" w:rsidRDefault="00BD3161">
      <w:pPr>
        <w:spacing w:after="160" w:line="319" w:lineRule="auto"/>
        <w:jc w:val="both"/>
        <w:rPr>
          <w:kern w:val="2"/>
          <w14:ligatures w14:val="standardContextual"/>
        </w:rPr>
      </w:pPr>
      <w:r>
        <w:t xml:space="preserve">The next commitment concerns </w:t>
      </w:r>
      <w:proofErr w:type="gramStart"/>
      <w:r>
        <w:t>flows</w:t>
      </w:r>
      <w:proofErr w:type="gramEnd"/>
      <w:r>
        <w:t xml:space="preserve"> that are physically real but not directly observed. In many junctions, crude splits or merges across routes in ways that public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734820DF" w14:textId="77777777" w:rsidR="008E1B31" w:rsidRDefault="00000000">
      <w:pPr>
        <w:spacing w:after="160" w:line="320" w:lineRule="auto"/>
        <w:jc w:val="both"/>
      </w:pPr>
      <w:r>
        <w:t xml:space="preserve">A second example concerns the Bakken cross-state midstream. Hess, Crestwood and Energy Transfer operate the North Dakota and Montana gathering systems as a single commercial </w:t>
      </w:r>
      <w:r>
        <w:lastRenderedPageBreak/>
        <w:t>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36BCFBB3" w14:textId="77777777" w:rsidR="008E1B31" w:rsidRDefault="00000000">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 xml:space="preserve">The obvious alternative is a single undirected edge with a signed flow, positive in one direction and negative in the other. That is more compact, and some optimisation models use it. The reason it is rejected here is operational rather than mathematical. A south-bound movement on </w:t>
      </w:r>
      <w:proofErr w:type="spellStart"/>
      <w:r>
        <w:t>Capline</w:t>
      </w:r>
      <w:proofErr w:type="spellEnd"/>
      <w:r>
        <w:t xml:space="preserv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12212A2" w14:textId="77777777" w:rsidR="008E1B31" w:rsidRDefault="00000000">
      <w:pPr>
        <w:pStyle w:val="Heading2"/>
      </w:pPr>
      <w:r>
        <w:t>4.11 Corollary D-bis: Last-observation-carried-forward</w:t>
      </w:r>
    </w:p>
    <w:p w14:paraId="36BCFBC4" w14:textId="77777777" w:rsidR="008E1B31" w:rsidRDefault="00000000">
      <w:pPr>
        <w:spacing w:after="160" w:line="320" w:lineRule="auto"/>
        <w:jc w:val="both"/>
      </w:pPr>
      <w:r>
        <w:t xml:space="preserve">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w:t>
      </w:r>
      <w:r>
        <w:lastRenderedPageBreak/>
        <w:t>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59FF4388" w14:textId="77777777" w:rsidR="008E1B31" w:rsidRDefault="00000000">
      <w:pPr>
        <w:pStyle w:val="Heading2"/>
      </w:pPr>
      <w:r>
        <w:t>4.12 Corollary E: Node status as a view</w:t>
      </w:r>
    </w:p>
    <w:p w14:paraId="30CE988A" w14:textId="77777777" w:rsidR="008E1B31" w:rsidRDefault="00000000">
      <w:pPr>
        <w:spacing w:after="160" w:line="320" w:lineRule="auto"/>
        <w:jc w:val="both"/>
      </w:pPr>
      <w:r>
        <w:t>A node's status in the active scenario follows mechanically from its variables' assignments and does not need a separate column on the nodes table. The framework defines three states. A node is authoritative if at least one of its variables is TS-bound. It is derived if no variable is TS-bound but at least one resolves to a non-zero value via formula. It is collapsed if every variable on the node is '0' or 'latent()'.</w:t>
      </w:r>
    </w:p>
    <w:p w14:paraId="00BEC1B3" w14:textId="77777777" w:rsidR="008E1B31" w:rsidRDefault="00000000">
      <w:pPr>
        <w:spacing w:after="160" w:line="320" w:lineRule="auto"/>
        <w:jc w:val="both"/>
      </w:pPr>
      <w:r>
        <w:t>The view v_node_status materialises the status by reading variable_assignments and emitting one row per (scenario, node). An earlier version of the schema carried a nodes.starter_status column populated by hand at load time. The twelfth implementation pass retired it. Under Axiom 3, a node's status is derivable rather than primary data, and a hand-populated column is a second source of truth waiting to drift out of step with the assignments that should determine it.</w:t>
      </w:r>
    </w:p>
    <w:p w14:paraId="3119A228" w14:textId="77777777" w:rsidR="008E1B31" w:rsidRDefault="00000000">
      <w:pPr>
        <w:spacing w:after="160" w:line="320" w:lineRule="auto"/>
        <w:jc w:val="both"/>
      </w:pPr>
      <w:r>
        <w:t>The same logic applies to other node attributes that are derivable from variables. The set of inflows and outflows comes from the relational variables (v_flow_edges). The partition role comes from formula_inputs (v_partition_tree). The per-variable-type aggregates at a date come from resolved values (v_node_pcisob). Each appears as a view rather than as a stored column. The architectural commitment, under Axiom 3, is that any derivable property is computed once, in one place, and consumed identically by renderers, audits, and downstream models.</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lastRenderedPageBreak/>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r>
        <w:t xml:space="preserve">In practical terms, an early framing of the work included a separate object called a "coverage contract" that recorded which level of resolution was authoritative for each subsystem under a given scenario. As the implementation matured, it became clear that the coverage contract was mechanically identical to the assignment table tagged with a </w:t>
      </w:r>
      <w:proofErr w:type="spellStart"/>
      <w:r>
        <w:rPr>
          <w:rFonts w:ascii="Consolas" w:eastAsia="Consolas" w:hAnsi="Consolas" w:cs="Consolas"/>
        </w:rPr>
        <w:t>scenario_id</w:t>
      </w:r>
      <w:proofErr w:type="spellEnd"/>
      <w:r>
        <w:t xml:space="preserve">. The choice of authoritative level for each variable is exactly the per-variable selection of a time series binding or a formula binding. No separate object was needed; the principle was </w:t>
      </w:r>
      <w:proofErr w:type="gramStart"/>
      <w:r>
        <w:t>preserved,</w:t>
      </w:r>
      <w:proofErr w:type="gramEnd"/>
      <w:r>
        <w:t xml:space="preserve">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lastRenderedPageBreak/>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w:t>
      </w:r>
      <w:r>
        <w:lastRenderedPageBreak/>
        <w:t>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20"/>
          <w:szCs w:val="20"/>
        </w:rPr>
        <w:t>usa_view</w:t>
      </w:r>
      <w:proofErr w:type="spellEnd"/>
    </w:p>
    <w:p w14:paraId="36BCFC0B" w14:textId="77777777" w:rsidR="008E1B31" w:rsidRDefault="00000000">
      <w:pPr>
        <w:shd w:val="clear" w:color="auto" w:fill="F4F4F4"/>
      </w:pPr>
      <w:r>
        <w:rPr>
          <w:rFonts w:ascii="Consolas" w:eastAsia="Consolas" w:hAnsi="Consolas" w:cs="Consolas"/>
          <w:sz w:val="20"/>
          <w:szCs w:val="20"/>
        </w:rPr>
        <w:t>├── padd1_view</w:t>
      </w:r>
    </w:p>
    <w:p w14:paraId="36BCFC0C" w14:textId="77777777" w:rsidR="008E1B31" w:rsidRDefault="00000000">
      <w:pPr>
        <w:shd w:val="clear" w:color="auto" w:fill="F4F4F4"/>
      </w:pPr>
      <w:r>
        <w:rPr>
          <w:rFonts w:ascii="Consolas" w:eastAsia="Consolas" w:hAnsi="Consolas" w:cs="Consolas"/>
          <w:sz w:val="20"/>
          <w:szCs w:val="20"/>
        </w:rPr>
        <w:t>│   ├── refining districts (RAP, REC)</w:t>
      </w:r>
    </w:p>
    <w:p w14:paraId="36BCFC0D" w14:textId="77777777" w:rsidR="008E1B31" w:rsidRDefault="00000000">
      <w:pPr>
        <w:shd w:val="clear" w:color="auto" w:fill="F4F4F4"/>
      </w:pPr>
      <w:r>
        <w:rPr>
          <w:rFonts w:ascii="Consolas" w:eastAsia="Consolas" w:hAnsi="Consolas" w:cs="Consolas"/>
          <w:sz w:val="20"/>
          <w:szCs w:val="20"/>
        </w:rPr>
        <w:t>│   ├── padd1_imports_agg ← MCRIPP12 − MCRIPP1CA2</w:t>
      </w:r>
    </w:p>
    <w:p w14:paraId="36BCFC0E" w14:textId="77777777" w:rsidR="008E1B31" w:rsidRDefault="00000000">
      <w:pPr>
        <w:shd w:val="clear" w:color="auto" w:fill="F4F4F4"/>
      </w:pPr>
      <w:r>
        <w:rPr>
          <w:rFonts w:ascii="Consolas" w:eastAsia="Consolas" w:hAnsi="Consolas" w:cs="Consolas"/>
          <w:sz w:val="20"/>
          <w:szCs w:val="20"/>
        </w:rPr>
        <w:t>│   ├── padd1_canadian_imports_agg ← MCRIPP1CA2</w:t>
      </w:r>
    </w:p>
    <w:p w14:paraId="36BCFC0F" w14:textId="77777777" w:rsidR="008E1B31" w:rsidRDefault="00000000">
      <w:pPr>
        <w:shd w:val="clear" w:color="auto" w:fill="F4F4F4"/>
      </w:pPr>
      <w:r>
        <w:rPr>
          <w:rFonts w:ascii="Consolas" w:eastAsia="Consolas" w:hAnsi="Consolas" w:cs="Consolas"/>
          <w:sz w:val="20"/>
          <w:szCs w:val="20"/>
        </w:rPr>
        <w:t>│   ├── padd1_exports_agg ← MCREXP12</w:t>
      </w:r>
    </w:p>
    <w:p w14:paraId="36BCFC10" w14:textId="77777777" w:rsidR="008E1B31" w:rsidRDefault="00000000">
      <w:pPr>
        <w:shd w:val="clear" w:color="auto" w:fill="F4F4F4"/>
      </w:pPr>
      <w:r>
        <w:rPr>
          <w:rFonts w:ascii="Consolas" w:eastAsia="Consolas" w:hAnsi="Consolas" w:cs="Consolas"/>
          <w:sz w:val="20"/>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20"/>
          <w:szCs w:val="20"/>
        </w:rPr>
        <w:t>│   └── padd1_other (residual)</w:t>
      </w:r>
    </w:p>
    <w:p w14:paraId="36BCFC12" w14:textId="77777777" w:rsidR="008E1B31" w:rsidRDefault="00000000">
      <w:pPr>
        <w:shd w:val="clear" w:color="auto" w:fill="F4F4F4"/>
      </w:pPr>
      <w:r>
        <w:rPr>
          <w:rFonts w:ascii="Consolas" w:eastAsia="Consolas" w:hAnsi="Consolas" w:cs="Consolas"/>
          <w:sz w:val="20"/>
          <w:szCs w:val="20"/>
        </w:rPr>
        <w:t>├── padd2_view</w:t>
      </w:r>
    </w:p>
    <w:p w14:paraId="36BCFC13" w14:textId="77777777" w:rsidR="008E1B31" w:rsidRDefault="00000000">
      <w:pPr>
        <w:shd w:val="clear" w:color="auto" w:fill="F4F4F4"/>
      </w:pPr>
      <w:r>
        <w:rPr>
          <w:rFonts w:ascii="Consolas" w:eastAsia="Consolas" w:hAnsi="Consolas" w:cs="Consolas"/>
          <w:sz w:val="20"/>
          <w:szCs w:val="20"/>
        </w:rPr>
        <w:t>│   ├── refining districts (R2A, R2B, R2C)</w:t>
      </w:r>
    </w:p>
    <w:p w14:paraId="36BCFC14"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oklahoma</w:t>
      </w:r>
      <w:proofErr w:type="spellEnd"/>
      <w:r>
        <w:rPr>
          <w:rFonts w:ascii="Consolas" w:eastAsia="Consolas" w:hAnsi="Consolas" w:cs="Consolas"/>
          <w:sz w:val="20"/>
          <w:szCs w:val="20"/>
        </w:rPr>
        <w:t>, padd2_other</w:t>
      </w:r>
    </w:p>
    <w:p w14:paraId="36BCFC15"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cushing_hub</w:t>
      </w:r>
      <w:proofErr w:type="spellEnd"/>
      <w:r>
        <w:rPr>
          <w:rFonts w:ascii="Consolas" w:eastAsia="Consolas" w:hAnsi="Consolas" w:cs="Consolas"/>
          <w:sz w:val="20"/>
          <w:szCs w:val="20"/>
        </w:rPr>
        <w:t xml:space="preserve"> (with three operator sub-terminals), </w:t>
      </w:r>
      <w:proofErr w:type="spellStart"/>
      <w:r>
        <w:rPr>
          <w:rFonts w:ascii="Consolas" w:eastAsia="Consolas" w:hAnsi="Consolas" w:cs="Consolas"/>
          <w:sz w:val="20"/>
          <w:szCs w:val="20"/>
        </w:rPr>
        <w:t>patoka_hub</w:t>
      </w:r>
      <w:proofErr w:type="spellEnd"/>
    </w:p>
    <w:p w14:paraId="36BCFC16"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bakken_nd_gathering</w:t>
      </w:r>
      <w:proofErr w:type="spellEnd"/>
      <w:r>
        <w:rPr>
          <w:rFonts w:ascii="Consolas" w:eastAsia="Consolas" w:hAnsi="Consolas" w:cs="Consolas"/>
          <w:sz w:val="20"/>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20"/>
          <w:szCs w:val="20"/>
        </w:rPr>
        <w:t>│   ├── padd2_canadian_imports_agg ← MCRIPP2CA2</w:t>
      </w:r>
    </w:p>
    <w:p w14:paraId="36BCFC18" w14:textId="77777777" w:rsidR="008E1B31" w:rsidRDefault="00000000">
      <w:pPr>
        <w:shd w:val="clear" w:color="auto" w:fill="F4F4F4"/>
      </w:pPr>
      <w:r>
        <w:rPr>
          <w:rFonts w:ascii="Consolas" w:eastAsia="Consolas" w:hAnsi="Consolas" w:cs="Consolas"/>
          <w:sz w:val="20"/>
          <w:szCs w:val="20"/>
        </w:rPr>
        <w:t>│   ├── padd2_exports_agg ← MCREXP22</w:t>
      </w:r>
    </w:p>
    <w:p w14:paraId="36BCFC19" w14:textId="77777777" w:rsidR="008E1B31" w:rsidRDefault="00000000">
      <w:pPr>
        <w:shd w:val="clear" w:color="auto" w:fill="F4F4F4"/>
      </w:pPr>
      <w:r>
        <w:rPr>
          <w:rFonts w:ascii="Consolas" w:eastAsia="Consolas" w:hAnsi="Consolas" w:cs="Consolas"/>
          <w:sz w:val="20"/>
          <w:szCs w:val="20"/>
        </w:rPr>
        <w:t>│   └── inter_padd_2_to</w:t>
      </w:r>
      <w:proofErr w:type="gramStart"/>
      <w:r>
        <w:rPr>
          <w:rFonts w:ascii="Consolas" w:eastAsia="Consolas" w:hAnsi="Consolas" w:cs="Consolas"/>
          <w:sz w:val="20"/>
          <w:szCs w:val="20"/>
        </w:rPr>
        <w:t>_{</w:t>
      </w:r>
      <w:proofErr w:type="gramEnd"/>
      <w:r>
        <w:rPr>
          <w:rFonts w:ascii="Consolas" w:eastAsia="Consolas" w:hAnsi="Consolas" w:cs="Consolas"/>
          <w:sz w:val="20"/>
          <w:szCs w:val="20"/>
        </w:rPr>
        <w:t>1,3,</w:t>
      </w:r>
      <w:proofErr w:type="gramStart"/>
      <w:r>
        <w:rPr>
          <w:rFonts w:ascii="Consolas" w:eastAsia="Consolas" w:hAnsi="Consolas" w:cs="Consolas"/>
          <w:sz w:val="20"/>
          <w:szCs w:val="20"/>
        </w:rPr>
        <w:t>4}_</w:t>
      </w:r>
      <w:proofErr w:type="spellStart"/>
      <w:proofErr w:type="gramEnd"/>
      <w:r>
        <w:rPr>
          <w:rFonts w:ascii="Consolas" w:eastAsia="Consolas" w:hAnsi="Consolas" w:cs="Consolas"/>
          <w:sz w:val="20"/>
          <w:szCs w:val="20"/>
        </w:rPr>
        <w:t>agg</w:t>
      </w:r>
      <w:proofErr w:type="spellEnd"/>
      <w:r>
        <w:rPr>
          <w:rFonts w:ascii="Consolas" w:eastAsia="Consolas" w:hAnsi="Consolas" w:cs="Consolas"/>
          <w:sz w:val="20"/>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20"/>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20"/>
          <w:szCs w:val="20"/>
        </w:rPr>
        <w:t>└── (boundary nodes sit outside the partition):</w:t>
      </w:r>
    </w:p>
    <w:p w14:paraId="36BCFC1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foreign_supply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canadian_oil_sands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foreign_export_destination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spr_total</w:t>
      </w:r>
      <w:proofErr w:type="spellEnd"/>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 xml:space="preserve">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w:t>
      </w:r>
      <w:r>
        <w:lastRenderedPageBreak/>
        <w:t>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collapsed; the storage report is at hub level |</w:t>
      </w:r>
    </w:p>
    <w:p w14:paraId="36BCFC2B" w14:textId="77777777" w:rsidR="008E1B31" w:rsidRDefault="00000000">
      <w:pPr>
        <w:spacing w:after="160" w:line="320" w:lineRule="auto"/>
        <w:jc w:val="both"/>
      </w:pPr>
      <w:r>
        <w:t>| Houston exports | export aggregate | Facility sub-terminals collapsed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lastRenderedPageBreak/>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36BCFC32" w14:textId="77777777" w:rsidR="008E1B31" w:rsidRDefault="00000000">
      <w:pPr>
        <w:spacing w:after="160" w:line="320" w:lineRule="auto"/>
        <w:jc w:val="both"/>
      </w:pPr>
      <w:r>
        <w:rPr>
          <w:b/>
          <w:bCs/>
        </w:rPr>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five phases:</w:t>
      </w:r>
    </w:p>
    <w:p w14:paraId="36BCFC5E"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load(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build_</w:t>
      </w:r>
      <w:proofErr w:type="gramStart"/>
      <w:r>
        <w:rPr>
          <w:rFonts w:ascii="Consolas" w:eastAsia="Consolas" w:hAnsi="Consolas" w:cs="Consolas"/>
          <w:sz w:val="20"/>
          <w:szCs w:val="20"/>
        </w:rPr>
        <w:t>deps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topo</w:t>
      </w:r>
      <w:proofErr w:type="spellEnd"/>
      <w:r>
        <w:rPr>
          <w:rFonts w:ascii="Consolas" w:eastAsia="Consolas" w:hAnsi="Consolas" w:cs="Consolas"/>
          <w:sz w:val="20"/>
          <w:szCs w:val="20"/>
        </w:rPr>
        <w:t xml:space="preserve"> sort</w:t>
      </w:r>
    </w:p>
    <w:p w14:paraId="36BCFC5F" w14:textId="77777777" w:rsidR="008E1B31" w:rsidRDefault="00000000">
      <w:pPr>
        <w:shd w:val="clear" w:color="auto" w:fill="F4F4F4"/>
      </w:pPr>
      <w:r>
        <w:rPr>
          <w:rFonts w:ascii="Consolas" w:eastAsia="Consolas" w:hAnsi="Consolas" w:cs="Consolas"/>
          <w:sz w:val="20"/>
          <w:szCs w:val="20"/>
        </w:rPr>
        <w:t xml:space="preserve">DB ────────► assignments ──────► deps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xml:space="preserve"> ────────►</w:t>
      </w:r>
    </w:p>
    <w:p w14:paraId="36BCFC60" w14:textId="77777777" w:rsidR="008E1B31" w:rsidRDefault="00000000">
      <w:pPr>
        <w:shd w:val="clear" w:color="auto" w:fill="F4F4F4"/>
      </w:pPr>
      <w:r>
        <w:rPr>
          <w:rFonts w:ascii="Consolas" w:eastAsia="Consolas" w:hAnsi="Consolas" w:cs="Consolas"/>
          <w:sz w:val="20"/>
          <w:szCs w:val="20"/>
        </w:rPr>
        <w:t xml:space="preserve">                                                      │</w:t>
      </w:r>
    </w:p>
    <w:p w14:paraId="36BCFC61" w14:textId="77777777" w:rsidR="008E1B31" w:rsidRDefault="00000000">
      <w:pPr>
        <w:shd w:val="clear" w:color="auto" w:fill="F4F4F4"/>
      </w:pPr>
      <w:r>
        <w:rPr>
          <w:rFonts w:ascii="Consolas" w:eastAsia="Consolas" w:hAnsi="Consolas" w:cs="Consolas"/>
          <w:sz w:val="20"/>
          <w:szCs w:val="20"/>
        </w:rPr>
        <w:t xml:space="preserve">                                                      ▼</w:t>
      </w:r>
    </w:p>
    <w:p w14:paraId="36BCFC62" w14:textId="77777777" w:rsidR="008E1B31" w:rsidRDefault="00000000">
      <w:pPr>
        <w:shd w:val="clear" w:color="auto" w:fill="F4F4F4"/>
      </w:pPr>
      <w:r>
        <w:rPr>
          <w:rFonts w:ascii="Consolas" w:eastAsia="Consolas" w:hAnsi="Consolas" w:cs="Consolas"/>
          <w:sz w:val="20"/>
          <w:szCs w:val="20"/>
        </w:rPr>
        <w:t xml:space="preserve">                                            dispatch loop (rules </w:t>
      </w:r>
      <w:proofErr w:type="gramStart"/>
      <w:r>
        <w:rPr>
          <w:rFonts w:ascii="Consolas" w:eastAsia="Consolas" w:hAnsi="Consolas" w:cs="Consolas"/>
          <w:sz w:val="20"/>
          <w:szCs w:val="20"/>
        </w:rPr>
        <w:t>1..</w:t>
      </w:r>
      <w:proofErr w:type="gramEnd"/>
      <w:r>
        <w:rPr>
          <w:rFonts w:ascii="Consolas" w:eastAsia="Consolas" w:hAnsi="Consolas" w:cs="Consolas"/>
          <w:sz w:val="20"/>
          <w:szCs w:val="20"/>
        </w:rPr>
        <w:t>9)</w:t>
      </w:r>
    </w:p>
    <w:p w14:paraId="36BCFC63" w14:textId="77777777" w:rsidR="008E1B31" w:rsidRDefault="00000000">
      <w:pPr>
        <w:shd w:val="clear" w:color="auto" w:fill="F4F4F4"/>
      </w:pPr>
      <w:r>
        <w:rPr>
          <w:rFonts w:ascii="Consolas" w:eastAsia="Consolas" w:hAnsi="Consolas" w:cs="Consolas"/>
          <w:sz w:val="20"/>
          <w:szCs w:val="20"/>
        </w:rPr>
        <w:t xml:space="preserve">                                                      │</w:t>
      </w:r>
    </w:p>
    <w:p w14:paraId="36BCFC64" w14:textId="77777777" w:rsidR="008E1B31" w:rsidRDefault="00000000">
      <w:pPr>
        <w:shd w:val="clear" w:color="auto" w:fill="F4F4F4"/>
      </w:pPr>
      <w:r>
        <w:rPr>
          <w:rFonts w:ascii="Consolas" w:eastAsia="Consolas" w:hAnsi="Consolas" w:cs="Consolas"/>
          <w:sz w:val="20"/>
          <w:szCs w:val="20"/>
        </w:rPr>
        <w:lastRenderedPageBreak/>
        <w:t xml:space="preserve">                                                      ▼</w:t>
      </w:r>
    </w:p>
    <w:p w14:paraId="36BCFC65" w14:textId="77777777" w:rsidR="008E1B31" w:rsidRDefault="00000000">
      <w:pPr>
        <w:shd w:val="clear" w:color="auto" w:fill="F4F4F4"/>
      </w:pPr>
      <w:r>
        <w:rPr>
          <w:rFonts w:ascii="Consolas" w:eastAsia="Consolas" w:hAnsi="Consolas" w:cs="Consolas"/>
          <w:sz w:val="20"/>
          <w:szCs w:val="20"/>
        </w:rPr>
        <w:t xml:space="preserve">                                      persist to </w:t>
      </w:r>
      <w:proofErr w:type="spellStart"/>
      <w:r>
        <w:rPr>
          <w:rFonts w:ascii="Consolas" w:eastAsia="Consolas" w:hAnsi="Consolas" w:cs="Consolas"/>
          <w:sz w:val="20"/>
          <w:szCs w:val="20"/>
        </w:rPr>
        <w:t>scenario_resolved_values</w:t>
      </w:r>
      <w:proofErr w:type="spellEnd"/>
    </w:p>
    <w:p w14:paraId="36BCFC66" w14:textId="77777777" w:rsidR="008E1B31" w:rsidRDefault="00000000">
      <w:pPr>
        <w:spacing w:after="120"/>
      </w:pPr>
      <w:r>
        <w:rPr>
          <w:sz w:val="12"/>
          <w:szCs w:val="12"/>
        </w:rPr>
        <w:t xml:space="preserve"> </w:t>
      </w:r>
    </w:p>
    <w:p w14:paraId="36BCFC67" w14:textId="77777777" w:rsidR="008E1B31" w:rsidRDefault="00000000">
      <w:pPr>
        <w:spacing w:after="160" w:line="320" w:lineRule="auto"/>
        <w:jc w:val="both"/>
      </w:pPr>
      <w:r>
        <w:t>Each phase has a single concern, isolated from the others. The dispatch loop never reads from the database; the loader never evaluates formulas; the topological sort never produces values. Mistakes in any one phase are diagnosed by inspecting that phase's single concern.</w:t>
      </w:r>
    </w:p>
    <w:p w14:paraId="36BCFC68" w14:textId="77777777" w:rsidR="008E1B31" w:rsidRDefault="00000000">
      <w:pPr>
        <w:spacing w:after="160" w:line="320" w:lineRule="auto"/>
        <w:jc w:val="both"/>
      </w:pPr>
      <w:r>
        <w:t xml:space="preserve">A common framing of the resolver is that it starts from "production nodes with P observed and outflow equal to production". That is a special case, not the rule. The actual starting points are the leaves of the dependency DAG — every variable with no upstream dependency. There are two categories of leaf. First, </w:t>
      </w:r>
      <w:r>
        <w:rPr>
          <w:b/>
          <w:bCs/>
        </w:rPr>
        <w:t>observed variables</w:t>
      </w:r>
      <w:r>
        <w:t xml:space="preserve">: any variable with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time-series lookup is the ground truth; no other rule contributes to its value. Second, </w:t>
      </w:r>
      <w:r>
        <w:rPr>
          <w:b/>
          <w:bCs/>
        </w:rPr>
        <w:t>structural zeros</w:t>
      </w:r>
      <w:r>
        <w:t xml:space="preserve">: any variable with </w:t>
      </w:r>
      <w:r>
        <w:rPr>
          <w:rFonts w:ascii="Consolas" w:eastAsia="Consolas" w:hAnsi="Consolas" w:cs="Consolas"/>
        </w:rPr>
        <w:t>formula = '0'</w:t>
      </w:r>
      <w:r>
        <w:t xml:space="preserve">. These come from </w:t>
      </w:r>
      <w:proofErr w:type="spellStart"/>
      <w:r>
        <w:rPr>
          <w:rFonts w:ascii="Consolas" w:eastAsia="Consolas" w:hAnsi="Consolas" w:cs="Consolas"/>
        </w:rPr>
        <w:t>node_type_default_formulas</w:t>
      </w:r>
      <w:proofErr w:type="spellEnd"/>
      <w:r>
        <w:t xml:space="preserve"> — a pipeline's P, C, ΔS, and B are zero by physical construction; a refinery's outflow is zero (refineries consume crude, they do not return it). No upstream variable contributes to a structural zero either.</w:t>
      </w:r>
    </w:p>
    <w:p w14:paraId="36BCFC69" w14:textId="77777777" w:rsidR="008E1B31" w:rsidRDefault="00000000">
      <w:pPr>
        <w:spacing w:after="160" w:line="320" w:lineRule="auto"/>
        <w:jc w:val="both"/>
      </w:pPr>
      <w:r>
        <w:t>Everything else is derived from these leaves through the topologically ordered dispatch loop. The propagation is bottom-up: an alias needs its target resolved first; a sum needs its inputs; a closure needs the inventory delta and the flows. The topological sort guarantees that each variable is visited only after its dependencies are.</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Rules are tried in priority order. The first rule that succeeds produces a value and short-circuits the rest. The unresolved fallback (the last rule) should fire zero times in a healthy run.</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Building the dependency graph</w:t>
      </w:r>
    </w:p>
    <w:p w14:paraId="36BCFC87" w14:textId="77777777" w:rsidR="008E1B31" w:rsidRDefault="00000000">
      <w:pPr>
        <w:spacing w:after="160" w:line="320" w:lineRule="auto"/>
        <w:jc w:val="both"/>
      </w:pPr>
      <w:r>
        <w:t xml:space="preserve">The function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walks every assignment and produces a </w:t>
      </w:r>
      <w:proofErr w:type="gramStart"/>
      <w:r>
        <w:t xml:space="preserve">dictionary </w:t>
      </w:r>
      <w:r>
        <w:rPr>
          <w:rFonts w:ascii="Consolas" w:eastAsia="Consolas" w:hAnsi="Consolas" w:cs="Consolas"/>
        </w:rPr>
        <w:t>deps[variable]</w:t>
      </w:r>
      <w:proofErr w:type="gramEnd"/>
      <w:r>
        <w:t xml:space="preserve"> containing the set of upstream variable IDs for that variable. The set must be acyclic so that the topological sorter can produce a valid evaluation order. Three sources of dependencies contribute to the dictionary:</w:t>
      </w:r>
    </w:p>
    <w:p w14:paraId="36BCFC88" w14:textId="77777777" w:rsidR="008E1B31" w:rsidRDefault="00000000">
      <w:pPr>
        <w:spacing w:after="160" w:line="320" w:lineRule="auto"/>
        <w:jc w:val="both"/>
      </w:pPr>
      <w:r>
        <w:t xml:space="preserve">First, </w:t>
      </w:r>
      <w:r>
        <w:rPr>
          <w:b/>
          <w:bCs/>
        </w:rPr>
        <w:t>formula inputs.</w:t>
      </w:r>
      <w:r>
        <w:t xml:space="preserve"> Every variable ID listed in </w:t>
      </w:r>
      <w:proofErr w:type="spellStart"/>
      <w:r>
        <w:rPr>
          <w:rFonts w:ascii="Consolas" w:eastAsia="Consolas" w:hAnsi="Consolas" w:cs="Consolas"/>
        </w:rPr>
        <w:t>formula_inputs</w:t>
      </w:r>
      <w:proofErr w:type="spellEnd"/>
      <w:r>
        <w:t xml:space="preserve"> that exists in the assignment set becomes a dependency. This handles all sum, alias, and arithmetic formulas.</w:t>
      </w:r>
    </w:p>
    <w:p w14:paraId="36BCFC89" w14:textId="77777777" w:rsidR="008E1B31" w:rsidRDefault="00000000">
      <w:pPr>
        <w:spacing w:after="160" w:line="320" w:lineRule="auto"/>
        <w:jc w:val="both"/>
      </w:pPr>
      <w:r>
        <w:lastRenderedPageBreak/>
        <w:t xml:space="preserve">Second, </w:t>
      </w:r>
      <w:r>
        <w:rPr>
          <w:b/>
          <w:bCs/>
        </w:rPr>
        <w:t>fan-out at the same node.</w:t>
      </w:r>
      <w:r>
        <w:t xml:space="preserve"> When a variable's formula is a sum over outflows, the variable depends on every outflow variable at the same node, except itself. This is the only case where a dependency is inferred rather than declared.</w:t>
      </w:r>
    </w:p>
    <w:p w14:paraId="36BCFC8A" w14:textId="77777777" w:rsidR="008E1B31" w:rsidRDefault="00000000">
      <w:pPr>
        <w:spacing w:after="160" w:line="320" w:lineRule="auto"/>
        <w:jc w:val="both"/>
      </w:pPr>
      <w:r>
        <w:t xml:space="preserve">Third, </w:t>
      </w:r>
      <w:r>
        <w:rPr>
          <w:b/>
          <w:bCs/>
        </w:rPr>
        <w:t>reverse-mirror dependency, hoisted above the early-continue path.</w:t>
      </w:r>
      <w:r>
        <w:t xml:space="preserve"> When a variable is latent and its paired direction is resolved, the paired direction is added as a dependency. Two cycle-avoidance gates protect this addition. The paired side must not itself be plain latent (else neither side has a value); and the paired side must not already alias from us (else a two-node cycle forms). The second gate, called </w:t>
      </w:r>
      <w:proofErr w:type="spellStart"/>
      <w:r>
        <w:rPr>
          <w:rFonts w:ascii="Consolas" w:eastAsia="Consolas" w:hAnsi="Consolas" w:cs="Consolas"/>
        </w:rPr>
        <w:t>paired_aliases_us</w:t>
      </w:r>
      <w:proofErr w:type="spellEnd"/>
      <w:r>
        <w:t xml:space="preserve">, is the result of the </w:t>
      </w:r>
      <w:proofErr w:type="gramStart"/>
      <w:r>
        <w:t>ninth-pass</w:t>
      </w:r>
      <w:proofErr w:type="gramEnd"/>
      <w:r>
        <w:t xml:space="preserve"> debugging episode described below.</w:t>
      </w:r>
    </w:p>
    <w:p w14:paraId="36BCFC8B" w14:textId="77777777" w:rsidR="008E1B31" w:rsidRDefault="00000000">
      <w:pPr>
        <w:spacing w:after="160" w:line="320" w:lineRule="auto"/>
        <w:jc w:val="both"/>
      </w:pPr>
      <w:r>
        <w:t xml:space="preserve">Cycle gates matter because the topological sort raises a </w:t>
      </w:r>
      <w:proofErr w:type="spellStart"/>
      <w:r>
        <w:rPr>
          <w:rFonts w:ascii="Consolas" w:eastAsia="Consolas" w:hAnsi="Consolas" w:cs="Consolas"/>
        </w:rPr>
        <w:t>CycleError</w:t>
      </w:r>
      <w:proofErr w:type="spellEnd"/>
      <w:r>
        <w:t xml:space="preserve"> on the first cycle it encounters. The resolver tolerates many alias-and-mirror patterns precisely because of these gates; the cost is that a few subtle conditions in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need to be read together rather than in isolation.</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r>
        <w:t xml:space="preserve">| L3b | </w:t>
      </w:r>
      <w:proofErr w:type="spellStart"/>
      <w:r>
        <w:t>v_node_status</w:t>
      </w:r>
      <w:proofErr w:type="spellEnd"/>
      <w:r>
        <w:t xml:space="preserve"> | L1 | The per-(scenario, node) status from Section 4.5: authoritative, derived, or collapsed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At each evaluation date the resolver looks up the most recent time-series value at or before that date and returns it as the resolved value.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A live example illustrates Corollary D-bis at work. The variable montana_other.production is defined as montana_state.production minus bakken_mt.production. The state-level series MCRFPMT2 ends earlier than the STEO basin forecast COPRBK. LOCF holds Montana flat from MCRFPMT2's last observation onward while Bakken-MT keeps forecasting upward, and the residual goes negative for the months between the two horizons. This is not a resolver bug; it is the framework registering a real divergence between source publications. The v_resolution_anomalies view tags the pattern as a low-severity anomaly for review.</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proofErr w:type="spellStart"/>
      <w:proofErr w:type="spellEnd"/>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xml:space="preserve">,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w:t>
      </w:r>
      <w:r>
        <w:lastRenderedPageBreak/>
        <w:t>Status Report, a North American extension once Canadian production data is bound, and analogous representations for natural gas, electricity, or refined-product networks whose physical structure shares the asset-centric, multi-resolution character of crude oil. Productionisation is a separate kind of work: pipelines, monitoring, and access control are engineering tasks compatible with the framework but outside the research contribution of this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2EB8" w14:textId="77777777" w:rsidR="00A8663C" w:rsidRDefault="00A8663C">
      <w:r>
        <w:separator/>
      </w:r>
    </w:p>
  </w:endnote>
  <w:endnote w:type="continuationSeparator" w:id="0">
    <w:p w14:paraId="2BF4BC61" w14:textId="77777777" w:rsidR="00A8663C" w:rsidRDefault="00A86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0A771" w14:textId="77777777" w:rsidR="00A8663C" w:rsidRDefault="00A8663C">
      <w:r>
        <w:separator/>
      </w:r>
    </w:p>
  </w:footnote>
  <w:footnote w:type="continuationSeparator" w:id="0">
    <w:p w14:paraId="2F5BE3A1" w14:textId="77777777" w:rsidR="00A8663C" w:rsidRDefault="00A86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6E3777"/>
    <w:rsid w:val="008E1B31"/>
    <w:rsid w:val="00964724"/>
    <w:rsid w:val="00A8663C"/>
    <w:rsid w:val="00A9717A"/>
    <w:rsid w:val="00BD3161"/>
    <w:rsid w:val="00EA7A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114</Pages>
  <Words>37908</Words>
  <Characters>211906</Characters>
  <Application>Microsoft Office Word</Application>
  <DocSecurity>0</DocSecurity>
  <Lines>3473</Lines>
  <Paragraphs>1350</Paragraphs>
  <ScaleCrop>false</ScaleCrop>
  <Company/>
  <LinksUpToDate>false</LinksUpToDate>
  <CharactersWithSpaces>248464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5</cp:revision>
  <dcterms:created xsi:type="dcterms:W3CDTF">2026-05-15T15:36:00Z</dcterms:created>
  <dcterms:modified xsi:type="dcterms:W3CDTF">2026-05-16T17:34:00Z</dcterms:modified>
</cp:coreProperties>
</file>