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Eagle Ford crude production as part of the Texas state series with a Texas/Eagle Ford disaggregation in some releases. At the aggregate level, the basin variable eagle_ford.production is TS-observed via the published series; at the physical level, eagle_ford_tx.production is the same value (single-state basin) and is declared in eagle_ford.production.formula_inputs as the lone constituent. The CHECK constraint allows one of the two to be TS-bound and the other formula-bound; the cross-check view v_aggregation_consistency then reports the comparison rather than treating the pair as double-counting.</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