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000000">
      <w:pPr>
        <w:spacing w:before="1440" w:after="120"/>
        <w:jc w:val="center"/>
        <w:rPr>
          <w:lang w:val="pt-BR"/>
        </w:rPr>
      </w:pPr>
      <w:r w:rsidRPr="00A9717A">
        <w:rPr>
          <w:b/>
          <w:bCs/>
          <w:sz w:val="28"/>
          <w:szCs w:val="28"/>
          <w:lang w:val="pt-BR"/>
        </w:rPr>
        <w:t>NOVA Information Management School</w:t>
      </w:r>
    </w:p>
    <w:p w14:paraId="36BCFAFA" w14:textId="77777777" w:rsidR="008E1B31" w:rsidRPr="00A9717A" w:rsidRDefault="00000000">
      <w:pPr>
        <w:spacing w:after="1440"/>
        <w:jc w:val="center"/>
        <w:rPr>
          <w:lang w:val="pt-BR"/>
        </w:rPr>
      </w:pPr>
      <w:r w:rsidRPr="00A9717A">
        <w:rPr>
          <w:sz w:val="24"/>
          <w:szCs w:val="24"/>
          <w:lang w:val="pt-BR"/>
        </w:rPr>
        <w:t>Universidade Nova de Lisboa</w:t>
      </w:r>
    </w:p>
    <w:p w14:paraId="36BCFAFB" w14:textId="77777777" w:rsidR="008E1B31" w:rsidRPr="00A9717A" w:rsidRDefault="00000000">
      <w:pPr>
        <w:rPr>
          <w:lang w:val="pt-BR"/>
        </w:rPr>
      </w:pPr>
      <w:r w:rsidRPr="00A9717A">
        <w:rPr>
          <w:sz w:val="24"/>
          <w:szCs w:val="24"/>
          <w:lang w:val="pt-BR"/>
        </w:rPr>
        <w:t xml:space="preserve"> </w:t>
      </w:r>
    </w:p>
    <w:p w14:paraId="36BCFAFC" w14:textId="77777777" w:rsidR="008E1B31" w:rsidRPr="00A9717A" w:rsidRDefault="00000000">
      <w:pPr>
        <w:rPr>
          <w:lang w:val="pt-BR"/>
        </w:rPr>
      </w:pPr>
      <w:r w:rsidRPr="00A9717A">
        <w:rPr>
          <w:sz w:val="24"/>
          <w:szCs w:val="24"/>
          <w:lang w:val="pt-BR"/>
        </w:rPr>
        <w:t xml:space="preserve"> </w:t>
      </w:r>
    </w:p>
    <w:p w14:paraId="36BCFAFD" w14:textId="77777777" w:rsidR="008E1B31" w:rsidRDefault="00000000">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000000">
      <w:r>
        <w:rPr>
          <w:sz w:val="24"/>
          <w:szCs w:val="24"/>
        </w:rPr>
        <w:t xml:space="preserve"> </w:t>
      </w:r>
    </w:p>
    <w:p w14:paraId="36BCFAFF" w14:textId="77777777" w:rsidR="008E1B31" w:rsidRDefault="00000000">
      <w:pPr>
        <w:spacing w:after="1440"/>
        <w:jc w:val="center"/>
      </w:pPr>
      <w:r>
        <w:rPr>
          <w:i/>
          <w:iCs/>
          <w:sz w:val="24"/>
          <w:szCs w:val="24"/>
        </w:rPr>
        <w:t>Master Thesis in Information Management Systems</w:t>
      </w:r>
    </w:p>
    <w:p w14:paraId="36BCFB00" w14:textId="77777777" w:rsidR="008E1B31" w:rsidRDefault="00000000">
      <w:r>
        <w:rPr>
          <w:sz w:val="24"/>
          <w:szCs w:val="24"/>
        </w:rPr>
        <w:t xml:space="preserve"> </w:t>
      </w:r>
    </w:p>
    <w:p w14:paraId="36BCFB01" w14:textId="77777777" w:rsidR="008E1B31" w:rsidRDefault="00000000">
      <w:r>
        <w:rPr>
          <w:sz w:val="24"/>
          <w:szCs w:val="24"/>
        </w:rPr>
        <w:t xml:space="preserve"> </w:t>
      </w:r>
    </w:p>
    <w:p w14:paraId="36BCFB02" w14:textId="77777777" w:rsidR="008E1B31" w:rsidRPr="00A9717A" w:rsidRDefault="00000000">
      <w:pPr>
        <w:spacing w:after="120"/>
        <w:jc w:val="center"/>
        <w:rPr>
          <w:lang w:val="pt-BR"/>
        </w:rPr>
      </w:pPr>
      <w:r w:rsidRPr="00A9717A">
        <w:rPr>
          <w:b/>
          <w:bCs/>
          <w:sz w:val="26"/>
          <w:szCs w:val="26"/>
          <w:lang w:val="pt-BR"/>
        </w:rPr>
        <w:t>Pedro Porfírio</w:t>
      </w:r>
    </w:p>
    <w:p w14:paraId="36BCFB03" w14:textId="77777777" w:rsidR="008E1B31" w:rsidRPr="00A9717A" w:rsidRDefault="00000000">
      <w:pPr>
        <w:spacing w:after="480"/>
        <w:jc w:val="center"/>
        <w:rPr>
          <w:lang w:val="pt-BR"/>
        </w:rPr>
      </w:pPr>
      <w:r w:rsidRPr="00A9717A">
        <w:rPr>
          <w:lang w:val="pt-BR"/>
        </w:rPr>
        <w:t>Student Number: 20241283</w:t>
      </w:r>
    </w:p>
    <w:p w14:paraId="36BCFB04" w14:textId="77777777" w:rsidR="008E1B31" w:rsidRPr="00A9717A" w:rsidRDefault="00000000">
      <w:pPr>
        <w:spacing w:after="1440"/>
        <w:jc w:val="center"/>
        <w:rPr>
          <w:lang w:val="pt-BR"/>
        </w:rPr>
      </w:pPr>
      <w:r w:rsidRPr="00A9717A">
        <w:rPr>
          <w:lang w:val="pt-BR"/>
        </w:rPr>
        <w:t>Supervisor: Professor Flávio Pinheiro</w:t>
      </w:r>
    </w:p>
    <w:p w14:paraId="36BCFB05" w14:textId="77777777" w:rsidR="008E1B31" w:rsidRPr="00A9717A" w:rsidRDefault="00000000">
      <w:pPr>
        <w:rPr>
          <w:lang w:val="pt-BR"/>
        </w:rPr>
      </w:pPr>
      <w:r w:rsidRPr="00A9717A">
        <w:rPr>
          <w:sz w:val="24"/>
          <w:szCs w:val="24"/>
          <w:lang w:val="pt-BR"/>
        </w:rPr>
        <w:t xml:space="preserve"> </w:t>
      </w:r>
    </w:p>
    <w:p w14:paraId="36BCFB06" w14:textId="77777777" w:rsidR="008E1B31" w:rsidRPr="00A9717A" w:rsidRDefault="00000000">
      <w:pPr>
        <w:rPr>
          <w:lang w:val="pt-BR"/>
        </w:rPr>
      </w:pPr>
      <w:r w:rsidRPr="00A9717A">
        <w:rPr>
          <w:sz w:val="24"/>
          <w:szCs w:val="24"/>
          <w:lang w:val="pt-BR"/>
        </w:rPr>
        <w:t xml:space="preserve"> </w:t>
      </w:r>
    </w:p>
    <w:p w14:paraId="36BCFB07" w14:textId="77777777" w:rsidR="008E1B31" w:rsidRPr="00A9717A" w:rsidRDefault="00000000">
      <w:pPr>
        <w:rPr>
          <w:lang w:val="pt-BR"/>
        </w:rPr>
      </w:pPr>
      <w:r w:rsidRPr="00A9717A">
        <w:rPr>
          <w:sz w:val="24"/>
          <w:szCs w:val="24"/>
          <w:lang w:val="pt-BR"/>
        </w:rPr>
        <w:t xml:space="preserve"> </w:t>
      </w:r>
    </w:p>
    <w:p w14:paraId="36BCFB08" w14:textId="77777777" w:rsidR="008E1B31" w:rsidRDefault="00000000">
      <w:pPr>
        <w:jc w:val="center"/>
      </w:pPr>
      <w:r>
        <w:t>May 2026</w:t>
      </w:r>
    </w:p>
    <w:p w14:paraId="36BCFB09" w14:textId="77777777" w:rsidR="008E1B31" w:rsidRDefault="00000000">
      <w:r>
        <w:br w:type="page"/>
      </w:r>
    </w:p>
    <w:p w14:paraId="36BCFB0A" w14:textId="77777777" w:rsidR="008E1B31" w:rsidRDefault="00000000">
      <w:pPr>
        <w:pStyle w:val="Heading1"/>
        <w:spacing w:before="240"/>
        <w:jc w:val="center"/>
      </w:pPr>
      <w:r>
        <w:lastRenderedPageBreak/>
        <w:t>Abstract</w:t>
      </w:r>
    </w:p>
    <w:p w14:paraId="787034EA" w14:textId="77777777" w:rsidR="00964724" w:rsidRDefault="00964724">
      <w:pPr>
        <w:spacing w:after="200" w:line="316" w:lineRule="auto"/>
        <w:jc w:val="both"/>
        <w:rPr>
          <w:kern w:val="2"/>
          <w14:ligatures w14:val="standardContextual"/>
        </w:rPr>
      </w:pPr>
      <w:r>
        <w:t>Crude oil logistics networks are difficult to represent in a consistent way. Public data is published at multiple levels of resolution by different agencies, reporting boundaries do not always match the physical system, some flows are directly observed while others can only be inferred, and the network itself changes over time as pipelines reverse, terminals open, or assets are retired. In practice, analysts often bridge these gaps with spreadsheets or notebooks built around custom allocation rules and residual adjustments. Those workflows can produce useful outputs, but they are usually difficult to audit, hard to reuse, and dependent on assumptions that are not always made explicit.</w:t>
      </w:r>
    </w:p>
    <w:p w14:paraId="5D924B45" w14:textId="77777777" w:rsidR="00964724" w:rsidRDefault="00964724">
      <w:pPr>
        <w:spacing w:after="200" w:line="316" w:lineRule="auto"/>
        <w:jc w:val="both"/>
        <w:rPr>
          <w:kern w:val="2"/>
          <w14:ligatures w14:val="standardContextual"/>
        </w:rPr>
      </w:pPr>
      <w:r>
        <w:t>This thesis develops and tests an asset-centric temporal graph schema designed for that setting. The framework is organised around six axioms and their corollaries. An asset is the framework's primitive; nodes are how assets appear in a graph, with each node binding to exactly one asset. Assets are flagged as physical (real, named entities with capacity, geography, and flow edges) or abstract (aggregation views over the physical layer with no edges of their own). Physical assets carry their own inventory and mass-balance structure. The topology remains stable over time, with zero-flow edges representing inactivity rather than disappearance. Every physical asset follows a common mass-balance equation with an explicit balancing item; abstract assets inherit mass balance as a corollary of aggregation rather than as a separate constraint. Edges and aggregation links are derived from a single variables table, which acts as the system's source of truth. The persistent asset graph is kept separate from scenario-specific assignments, the physical layer is distinguished from the observational aggregation layer, and geography metadata is kept separate from the resolution hierarchy. At schema level, a CHECK constraint enforces single attribution of value: each assignment row binds the variable to one source, a time series or a formula, never both. Aggregation relationships used for cross-checking are declared on a separate column and do not count as a second source. Structurally real but unobserved flows are treated as latent rather than filled with heuristic estimates. Bidirectional movements are represented as separate directed edges, sum-type formulas are canonical, and latent values are distinguished from unresolved ones so that uncertainty is not hidden inside apparently complete data.</w:t>
      </w:r>
    </w:p>
    <w:p w14:paraId="05A43D87" w14:textId="77777777" w:rsidR="006E3777" w:rsidRDefault="006E3777">
      <w:pPr>
        <w:spacing w:after="160" w:line="319" w:lineRule="auto"/>
        <w:jc w:val="both"/>
        <w:rPr>
          <w:kern w:val="2"/>
          <w14:ligatures w14:val="standardContextual"/>
        </w:rPr>
      </w:pPr>
      <w:r>
        <w:t>Each node carries several variables — production, consumption, inflows, outflows, inventory, and a balancing item — and the CHECK constraint applies to each variable's assignment individually, so a node with five variables has five independent assignment decisions in a given scenario. Mass balance is enforced at physical assets only; abstract assets are aggregation views that inherit the equation without introducing a new constraint.</w:t>
      </w:r>
    </w:p>
    <w:p w14:paraId="1279A69E" w14:textId="77777777" w:rsidR="00964724" w:rsidRDefault="00964724">
      <w:pPr>
        <w:spacing w:after="200" w:line="316" w:lineRule="auto"/>
        <w:jc w:val="both"/>
        <w:rPr>
          <w:kern w:val="2"/>
          <w14:ligatures w14:val="standardContextual"/>
        </w:rPr>
      </w:pPr>
      <w:r>
        <w:t>The framework was implemented as a working system composed of a relational database, a deterministic resolver that produces a per-(scenario, variable, observation date) value table, a layered set of views for downstream use, and a full instance of the U.S. crude oil network covering January 2015 to December 2024. The implemented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difference between observed and closure-derived balancing items remains limited in normal periods and rises sharply around major disruption events such as Hurricane Harvey, COVID-19, the Colonial Pipeline shutdown, and the Strategic Petroleum Reserve release.</w:t>
      </w:r>
    </w:p>
    <w:p w14:paraId="553DCE1A" w14:textId="77777777" w:rsidR="00964724" w:rsidRDefault="00964724">
      <w:pPr>
        <w:spacing w:after="200" w:line="316" w:lineRule="auto"/>
        <w:jc w:val="both"/>
        <w:rPr>
          <w:kern w:val="2"/>
          <w14:ligatures w14:val="standardContextual"/>
        </w:rPr>
      </w:pPr>
      <w:r>
        <w:t xml:space="preserve">The thesis then shows how the framework can be used in practice. A small linear programme reads the resolved data tensor, treats latent variables as decision variables, and translates the framework's mass-balance and capacity relations into LP constraints. Applied to the Permian fan-out problem, the LP solves in under a second and produces a meaningful allocation of flows. This only works because the framework already guarantees the upstream </w:t>
      </w:r>
      <w:r>
        <w:lastRenderedPageBreak/>
        <w:t xml:space="preserve">conditions the LP depends </w:t>
      </w:r>
      <w:proofErr w:type="gramStart"/>
      <w:r>
        <w:t>on:</w:t>
      </w:r>
      <w:proofErr w:type="gramEnd"/>
      <w:r>
        <w:t xml:space="preserve"> single attribution, partition closure, and a schema-enforced source of truth. The same data structure can also support graph neural network forecasting without requiring schema changes, and that direction is outlined as future work together with other possible extensions.</w:t>
      </w:r>
    </w:p>
    <w:p w14:paraId="36BCFB0F" w14:textId="77777777" w:rsidR="008E1B31" w:rsidRDefault="00000000">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000000">
      <w:r>
        <w:br w:type="page"/>
      </w:r>
    </w:p>
    <w:p w14:paraId="36BCFB11" w14:textId="77777777" w:rsidR="008E1B31" w:rsidRDefault="00000000">
      <w:pPr>
        <w:pStyle w:val="Heading1"/>
        <w:spacing w:before="240"/>
        <w:jc w:val="center"/>
      </w:pPr>
      <w:r>
        <w:lastRenderedPageBreak/>
        <w:t>Acknowledgements</w:t>
      </w:r>
    </w:p>
    <w:p w14:paraId="216CDA1F" w14:textId="77777777" w:rsidR="00964724" w:rsidRDefault="00964724">
      <w:pPr>
        <w:spacing w:after="200" w:line="316" w:lineRule="auto"/>
        <w:jc w:val="both"/>
        <w:rPr>
          <w:kern w:val="2"/>
          <w14:ligatures w14:val="standardContextual"/>
        </w:rPr>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w:t>
      </w:r>
    </w:p>
    <w:p w14:paraId="02D4E179" w14:textId="77777777" w:rsidR="00964724" w:rsidRDefault="00964724">
      <w:pPr>
        <w:spacing w:after="200" w:line="316" w:lineRule="auto"/>
        <w:jc w:val="both"/>
        <w:rPr>
          <w:kern w:val="2"/>
          <w14:ligatures w14:val="standardContextual"/>
        </w:rPr>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757153E8" w14:textId="77777777" w:rsidR="00964724" w:rsidRDefault="00964724">
      <w:pPr>
        <w:spacing w:after="200" w:line="316" w:lineRule="auto"/>
        <w:jc w:val="both"/>
        <w:rPr>
          <w:kern w:val="2"/>
          <w14:ligatures w14:val="standardContextual"/>
        </w:rPr>
      </w:pPr>
      <w:r>
        <w:t>Finally, I would like to thank my friends, family, and colleagues at NOVA IMS for their patience, encouragement, and support during the writing of this thesis. Many conversations along the way helped shape the work, even when that was not immediately obvious at the time.</w:t>
      </w:r>
    </w:p>
    <w:p w14:paraId="36BCFB15" w14:textId="77777777" w:rsidR="008E1B31" w:rsidRDefault="00000000">
      <w:r>
        <w:br w:type="page"/>
      </w:r>
    </w:p>
    <w:p w14:paraId="36BCFB16" w14:textId="77777777" w:rsidR="008E1B31" w:rsidRDefault="00000000">
      <w:pPr>
        <w:pStyle w:val="Heading1"/>
        <w:pageBreakBefore/>
      </w:pPr>
      <w:r>
        <w:lastRenderedPageBreak/>
        <w:t>1. Introduction</w:t>
      </w:r>
    </w:p>
    <w:p w14:paraId="36BCFB17" w14:textId="77777777" w:rsidR="008E1B31" w:rsidRDefault="00000000">
      <w:pPr>
        <w:pStyle w:val="Heading2"/>
      </w:pPr>
      <w:r>
        <w:t>1.1 Background and motivation</w:t>
      </w:r>
    </w:p>
    <w:p w14:paraId="2B21394E" w14:textId="77777777" w:rsidR="00964724" w:rsidRDefault="00964724">
      <w:pPr>
        <w:spacing w:after="160" w:line="316" w:lineRule="auto"/>
        <w:jc w:val="both"/>
        <w:rPr>
          <w:kern w:val="2"/>
          <w14:ligatures w14:val="standardContextual"/>
        </w:rPr>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p>
    <w:p w14:paraId="42ED5243" w14:textId="77777777" w:rsidR="00964724" w:rsidRDefault="00964724">
      <w:pPr>
        <w:spacing w:after="160" w:line="316" w:lineRule="auto"/>
        <w:jc w:val="both"/>
        <w:rPr>
          <w:kern w:val="2"/>
          <w14:ligatures w14:val="standardContextual"/>
        </w:rPr>
      </w:pPr>
      <w:r>
        <w:t xml:space="preserve">What makes this system difficult to model is that the physical layer cannot react quickly to short-term economic signals. Well output is constrained by geology and reservoir conditions, so large and rapid production changes are technically difficult and expensive to implement (Fattouh, 2011; Ribas, Hamacher, and Street, 2010). Refineries face a similar kind of inertia: they are built for </w:t>
      </w:r>
      <w:proofErr w:type="gramStart"/>
      <w:r>
        <w:t>particular throughput</w:t>
      </w:r>
      <w:proofErr w:type="gramEnd"/>
      <w:r>
        <w:t xml:space="preserve"> ranges and crude slates, and moving outside those ranges can reduce efficiency and affect product quality (Fernandes, </w:t>
      </w:r>
      <w:proofErr w:type="spellStart"/>
      <w:r>
        <w:t>Relvas</w:t>
      </w:r>
      <w:proofErr w:type="spellEnd"/>
      <w:r>
        <w:t>, and Barbosa-</w:t>
      </w:r>
      <w:proofErr w:type="spellStart"/>
      <w:r>
        <w:t>Póvoa</w:t>
      </w:r>
      <w:proofErr w:type="spellEnd"/>
      <w:r>
        <w:t xml:space="preserve">, 2013; Lima, </w:t>
      </w:r>
      <w:proofErr w:type="spellStart"/>
      <w:r>
        <w:t>Relvas</w:t>
      </w:r>
      <w:proofErr w:type="spellEnd"/>
      <w:r>
        <w:t>, and Barbosa-</w:t>
      </w:r>
      <w:proofErr w:type="spellStart"/>
      <w:r>
        <w:t>Póvoa</w:t>
      </w:r>
      <w:proofErr w:type="spellEnd"/>
      <w:r>
        <w:t xml:space="preserve">, 2016). Even changing crude grade is rarely a simple commercial choice, because it may require unit reconfiguration and planned downtime. Transport introduces another layer of delay, as pipelines, ports, and tankers imply transit times measured in days or months (Stopford, 2009; Kazemi and Szmerekovsky, 2015). In practice, meaningful flow changes usually require lead time, capital, and coordination across several parts of the chain (Lima, </w:t>
      </w:r>
      <w:proofErr w:type="spellStart"/>
      <w:r>
        <w:t>Relvas</w:t>
      </w:r>
      <w:proofErr w:type="spellEnd"/>
      <w:r>
        <w:t>, and Barbosa-</w:t>
      </w:r>
      <w:proofErr w:type="spellStart"/>
      <w:r>
        <w:t>Póvoa</w:t>
      </w:r>
      <w:proofErr w:type="spellEnd"/>
      <w:r>
        <w:t>, 2016).</w:t>
      </w:r>
    </w:p>
    <w:p w14:paraId="517551A9" w14:textId="77777777" w:rsidR="00964724" w:rsidRDefault="00964724">
      <w:pPr>
        <w:spacing w:after="160" w:line="316" w:lineRule="auto"/>
        <w:jc w:val="both"/>
        <w:rPr>
          <w:kern w:val="2"/>
          <w14:ligatures w14:val="standardContextual"/>
        </w:rPr>
      </w:pPr>
      <w:r>
        <w:t>Because production and refining cannot adjust quickly, inventories absorb much of the system's short-term imbalance. Tank farms, storage terminals, and strategic petroleum reserves act as buffers between what is produced and what is consumed at a given moment. When stocks are comfortable, shocks can be absorbed with limited price impact. When stocks become tight, concerns about availability tend to push prices upward; when they become excessive, storage costs rise and prices usually soften. Storage also creates a hard physical limit: when usable capacity is effectively full, the marginal barrel has nowhere to go. The April 2020 WTI front-month settlement at minus 37 USD per barrel was a highly visible reminder of that constraint.</w:t>
      </w:r>
    </w:p>
    <w:p w14:paraId="1590E33A" w14:textId="77777777" w:rsidR="006E3777" w:rsidRDefault="006E3777">
      <w:pPr>
        <w:spacing w:after="160" w:line="316" w:lineRule="auto"/>
        <w:jc w:val="both"/>
        <w:rPr>
          <w:kern w:val="2"/>
          <w14:ligatures w14:val="standardContextual"/>
        </w:rPr>
      </w:pPr>
      <w:r>
        <w:t xml:space="preserve">Within that physical system, each operational asset—whether an onshore well, an offshore platform, a gathering system, a pipeline segment, a terminal, or a refinery—produces data that reflects its current state. Production rates, consumption volumes, inflows, outflows, storage levels, and capacity utilisation all change over time in response to internal constraints such as maintenance, equipment limits, and contractual commitments, as well as external shocks such as geopolitics, weather, demand shifts, and price movements. These relationships are not only complex but also </w:t>
      </w:r>
      <w:proofErr w:type="gramStart"/>
      <w:r>
        <w:t>time-varying</w:t>
      </w:r>
      <w:proofErr w:type="gramEnd"/>
      <w:r>
        <w:t>. A disruption at an upstream production site does not stay local for long; it propagates downstream through pipelines and storage nodes, with effects shaped by routing options, transit times, and operating priorities.</w:t>
      </w:r>
    </w:p>
    <w:p w14:paraId="073DFE75" w14:textId="77777777" w:rsidR="006E3777" w:rsidRDefault="006E3777">
      <w:pPr>
        <w:spacing w:after="160" w:line="316" w:lineRule="auto"/>
        <w:jc w:val="both"/>
        <w:rPr>
          <w:kern w:val="2"/>
          <w14:ligatures w14:val="standardContextual"/>
        </w:rPr>
      </w:pPr>
      <w:r>
        <w:lastRenderedPageBreak/>
        <w:t>The main modelling tools used to study systems like this usually fall into two broad groups. One group is rooted in operations research, including linear programming, mixed-integer programming, and stochastic optimisation. These approaches are mathematically rigorous and very useful for strategic design and tactical planning, but they often rely on simplified representations that leave out much of the operational detail visible in the real network. The other group consists of classical time-series methods, such as ARIMA, VAR, and more recent neural forecasting models. These are typically applied to individual variables—refinery throughput, regional inventories, benchmark prices—without explicitly modelling the network structure that links those variables together.</w:t>
      </w:r>
    </w:p>
    <w:p w14:paraId="4B672663" w14:textId="77777777" w:rsidR="006E3777" w:rsidRDefault="006E3777">
      <w:pPr>
        <w:spacing w:after="160" w:line="316" w:lineRule="auto"/>
        <w:jc w:val="both"/>
        <w:rPr>
          <w:kern w:val="2"/>
          <w14:ligatures w14:val="standardContextual"/>
        </w:rPr>
      </w:pPr>
      <w:r>
        <w:t xml:space="preserve">Over the last decade, a third line of research has developed at the intersection of those two traditions. Graph neural networks and graph representation learning offer a way to model systems whose behaviour depends both on local time dynamics and on a broader relational structure. Recent surveys (Wu et al., 2020; Jin et al., 2024) document how quickly this literature has expanded across traffic networks, power systems, and, more recently, supply chains (Kosasih and </w:t>
      </w:r>
      <w:proofErr w:type="spellStart"/>
      <w:r>
        <w:t>Brintrup</w:t>
      </w:r>
      <w:proofErr w:type="spellEnd"/>
      <w:r>
        <w:t>, 2022; Wasi et al., 2024; Ahn et al., 2024). What makes these methods especially relevant here is that they can bring together two aspects of the problem that classical OR and standard time-series approaches often handle separately: the network itself and the temporal behaviour of the variables attached to it.</w:t>
      </w:r>
    </w:p>
    <w:p w14:paraId="126C90AA" w14:textId="77777777" w:rsidR="006E3777" w:rsidRDefault="006E3777">
      <w:pPr>
        <w:spacing w:after="160" w:line="316" w:lineRule="auto"/>
        <w:jc w:val="both"/>
        <w:rPr>
          <w:kern w:val="2"/>
          <w14:ligatures w14:val="standardContextual"/>
        </w:rPr>
      </w:pPr>
      <w:r>
        <w:t>Before any of these modelling approaches can be applied, however, the same upstream question appears: how should the network itself be represented? In the crude oil case, that question is still not well resolved. Public data is released at multiple resolutions by overlapping agencies. Reporting boundaries do not line up neatly with operational ones. Some flows are directly measured, while others can only be inferred from aggregate constraints. Inventories often close only at coarser levels than the production they are supposed to balance against. And the topology changes over time through real events such as pipeline reversals, terminal commissioning, and refinery shutdowns. A representation that can handle these features cleanly would be useful not only for optimisation and forecasting, but also for the analysts who currently connect public data to downstream models through manual workflows.</w:t>
      </w:r>
    </w:p>
    <w:p w14:paraId="36BCFB1F" w14:textId="77777777" w:rsidR="008E1B31" w:rsidRDefault="00000000">
      <w:pPr>
        <w:pStyle w:val="Heading2"/>
      </w:pPr>
      <w:r>
        <w:t>1.2 Problem statement</w:t>
      </w:r>
    </w:p>
    <w:p w14:paraId="514F438F" w14:textId="77777777" w:rsidR="006E3777" w:rsidRDefault="006E3777">
      <w:pPr>
        <w:spacing w:after="160" w:line="316" w:lineRule="auto"/>
        <w:jc w:val="both"/>
        <w:rPr>
          <w:kern w:val="2"/>
          <w14:ligatures w14:val="standardContextual"/>
        </w:rPr>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from the faster-changing data assignments attached to it.</w:t>
      </w:r>
    </w:p>
    <w:p w14:paraId="20641955" w14:textId="77777777" w:rsidR="006E3777" w:rsidRDefault="006E3777">
      <w:pPr>
        <w:spacing w:after="160" w:line="316" w:lineRule="auto"/>
        <w:jc w:val="both"/>
        <w:rPr>
          <w:kern w:val="2"/>
          <w14:ligatures w14:val="standardContextual"/>
        </w:rPr>
      </w:pPr>
      <w:r>
        <w:t xml:space="preserve">Anyone who has worked with public energy data will recognise the practitioner workflow that fills this gap. Analysts often maintain Excel workbooks or </w:t>
      </w:r>
      <w:proofErr w:type="gramStart"/>
      <w:r>
        <w:t>pandas</w:t>
      </w:r>
      <w:proofErr w:type="gramEnd"/>
      <w:r>
        <w:t xml:space="preserve"> notebooks where production, consumption, flows, and stocks for each PADD are loaded from EIA series, reconciled through </w:t>
      </w:r>
      <w:r>
        <w:lastRenderedPageBreak/>
        <w:t>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36BCFB22" w14:textId="77777777" w:rsidR="008E1B31" w:rsidRDefault="00000000">
      <w:pPr>
        <w:spacing w:after="160" w:line="320" w:lineRule="auto"/>
        <w:jc w:val="both"/>
        <w:pBdr>
          <w:top w:val="single" w:sz="12" w:space="8" w:color="406090"/>
          <w:left w:val="single" w:sz="12" w:space="8" w:color="406090"/>
          <w:bottom w:val="single" w:sz="12" w:space="8" w:color="406090"/>
          <w:right w:val="single" w:sz="12" w:space="8" w:color="406090"/>
        </w:pBdr>
        <w:shd w:val="clear" w:color="auto" w:fill="EAF1F8"/>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4862C3C0" w14:textId="77777777" w:rsidR="006E3777" w:rsidRDefault="006E3777">
      <w:pPr>
        <w:spacing w:after="160" w:line="316" w:lineRule="auto"/>
        <w:jc w:val="both"/>
        <w:rPr>
          <w:kern w:val="2"/>
          <w14:ligatures w14:val="standardContextual"/>
        </w:rPr>
      </w:pPr>
      <w:r>
        <w:t>This thesis answers that question by developing, implementing, and validating an asset-centric temporal graph schema organised around six axioms and the corollaries that follow from them, together with a deterministic resolver that produces a single per</w:t>
      </w:r>
      <w:proofErr w:type="gramStart"/>
      <w:r>
        <w:t>-(</w:t>
      </w:r>
      <w:proofErr w:type="gramEnd"/>
      <w:r>
        <w:t>scenario, variable, observation date) value table that downstream consumers can read directly.</w:t>
      </w:r>
    </w:p>
    <w:p w14:paraId="36BCFB24" w14:textId="77777777" w:rsidR="008E1B31" w:rsidRDefault="00000000">
      <w:pPr>
        <w:pStyle w:val="Heading2"/>
      </w:pPr>
      <w:r>
        <w:t>1.3 Research objectives</w:t>
      </w:r>
    </w:p>
    <w:p w14:paraId="78272677" w14:textId="77777777" w:rsidR="006E3777" w:rsidRDefault="006E3777">
      <w:pPr>
        <w:spacing w:after="160" w:line="319" w:lineRule="auto"/>
        <w:jc w:val="both"/>
        <w:rPr>
          <w:kern w:val="2"/>
          <w14:ligatures w14:val="standardContextual"/>
        </w:rPr>
      </w:pPr>
      <w:r>
        <w:t>The research pursues three main objectives:</w:t>
      </w:r>
    </w:p>
    <w:p w14:paraId="7DA2EC5E" w14:textId="77777777" w:rsidR="006E3777" w:rsidRDefault="006E3777">
      <w:pPr>
        <w:spacing w:after="160" w:line="319" w:lineRule="auto"/>
        <w:jc w:val="both"/>
        <w:rPr>
          <w:kern w:val="2"/>
          <w14:ligatures w14:val="standardContextual"/>
        </w:rPr>
      </w:pPr>
      <w:r>
        <w:t xml:space="preserve">To </w:t>
      </w:r>
      <w:r>
        <w:rPr>
          <w:b/>
          <w:bCs/>
        </w:rPr>
        <w:t>design</w:t>
      </w:r>
      <w:r>
        <w:t xml:space="preserve"> 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44BAE62D" w14:textId="77777777" w:rsidR="006E3777" w:rsidRDefault="006E3777">
      <w:pPr>
        <w:spacing w:after="160" w:line="319" w:lineRule="auto"/>
        <w:jc w:val="both"/>
        <w:rPr>
          <w:kern w:val="2"/>
          <w14:ligatures w14:val="standardContextual"/>
        </w:rPr>
      </w:pPr>
      <w:r>
        <w:t xml:space="preserve">To </w:t>
      </w:r>
      <w:r>
        <w:rPr>
          <w:b/>
          <w:bCs/>
        </w:rPr>
        <w:t>implement</w:t>
      </w:r>
      <w:r>
        <w:t xml:space="preserve"> that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201DD33" w14:textId="77777777" w:rsidR="006E3777" w:rsidRDefault="006E3777">
      <w:pPr>
        <w:spacing w:after="160" w:line="319" w:lineRule="auto"/>
        <w:jc w:val="both"/>
        <w:rPr>
          <w:kern w:val="2"/>
          <w14:ligatures w14:val="standardContextual"/>
        </w:rPr>
      </w:pPr>
      <w:r>
        <w:t xml:space="preserve">To </w:t>
      </w:r>
      <w:r>
        <w:rPr>
          <w:b/>
          <w:bCs/>
        </w:rPr>
        <w:t>validate</w:t>
      </w:r>
      <w:r>
        <w:t xml:space="preserve"> the framework by formulating linear programmes that consume its output, showing that the framework's consistency properties are sufficient for non-trivial optimisation tasks, and assessing its readiness for further downstream consumers such as graph neural networks for forecasting, which are left for future work.</w:t>
      </w:r>
    </w:p>
    <w:p w14:paraId="36BCFB29" w14:textId="77777777" w:rsidR="008E1B31" w:rsidRDefault="00000000">
      <w:pPr>
        <w:pStyle w:val="Heading2"/>
      </w:pPr>
      <w:r>
        <w:t>1.4 Scope and delimitations</w:t>
      </w:r>
    </w:p>
    <w:p w14:paraId="05A43D87" w14:textId="77777777" w:rsidR="006E3777" w:rsidRDefault="006E3777">
      <w:pPr>
        <w:spacing w:after="160" w:line="319" w:lineRule="auto"/>
        <w:jc w:val="both"/>
        <w:rPr>
          <w:kern w:val="2"/>
          <w14:ligatures w14:val="standardContextual"/>
        </w:rPr>
      </w:pPr>
      <w:r>
        <w:t xml:space="preserve">This research focuses on the representational framework and its first downstream consumer. The asset graph is built at the level of named physical assets wherever public data allows, with PADD-level residuals used for un-named tail production. The geographic scope is the United States, the temporal resolution is monthly, and the initial implementation treats crude oil as a single commodity grade. The schema is designed to be extendable along all three dimensions—to refined products, to other countries, and to finer temporal granularity—and </w:t>
      </w:r>
      <w:r>
        <w:lastRenderedPageBreak/>
        <w:t>those extension paths are discussed where relevant. Even so, the implemented instance in this thesis is the U.S. monthly crude oil graph from January 2015 to December 2024 inclusive.</w:t>
      </w:r>
    </w:p>
    <w:p w14:paraId="4ADE4A2D" w14:textId="77777777" w:rsidR="006E3777" w:rsidRDefault="006E3777">
      <w:pPr>
        <w:spacing w:after="160" w:line="319" w:lineRule="auto"/>
        <w:jc w:val="both"/>
        <w:rPr>
          <w:kern w:val="2"/>
          <w14:ligatures w14:val="standardContextual"/>
        </w:rPr>
      </w:pPr>
      <w:r>
        <w:t>Two important areas are explicitly outside the scope of the present work and are positioned as future work in Chapter 10. The first is forecasting. Forecasting is treated in this thesis as a downstream use case that the framework is designed to support but does not itself implement. Chapter 10 explains why the framework is ready for forecasting work and outlines what that next step would involve. The second area is production deployment. The implementation developed here is a working research artefact rather than a production system, so issues such as pipeline reliability, user interfaces, monitoring, and access control are left aside.</w:t>
      </w:r>
    </w:p>
    <w:p w14:paraId="05A43D87" w14:textId="77777777" w:rsidR="006E3777" w:rsidRDefault="006E3777">
      <w:pPr>
        <w:spacing w:after="160" w:line="319" w:lineRule="auto"/>
        <w:jc w:val="both"/>
        <w:rPr>
          <w:kern w:val="2"/>
          <w14:ligatures w14:val="standardContextual"/>
        </w:rPr>
      </w:pPr>
      <w:r>
        <w:t>Two pieces of vocabulary used throughout deserve flagging upfront. The framework distinguishes assets from nodes. An asset is a primitive entity: a refinery, a pipeline, a basin, a PADD,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05A43D87" w14:textId="77777777" w:rsidR="006E3777" w:rsidRDefault="006E3777">
      <w:pPr>
        <w:spacing w:after="160" w:line="319" w:lineRule="auto"/>
        <w:jc w:val="both"/>
        <w:rPr>
          <w:kern w:val="2"/>
          <w14:ligatures w14:val="standardContextual"/>
        </w:rPr>
      </w:pPr>
      <w:r>
        <w:t>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the PADD views, basin views, refining-district views, and the stock-decomposition aggregates of Section 5.4) and has no flow edges of its own. Abstract assets exist to host roll-up observations and partition relationships; their relationship to the physical layer is declared through formula_inputs rather than through edges. Mass balance is enforced at every physical asset, and abstract assets inherit it as a corollary (Section 4.3) — they do not introduce a new constraint.</w:t>
      </w:r>
    </w:p>
    <w:p w14:paraId="05A43D87" w14:textId="77777777" w:rsidR="006E3777" w:rsidRDefault="006E3777">
      <w:pPr>
        <w:spacing w:after="160" w:line="319" w:lineRule="auto"/>
        <w:jc w:val="both"/>
        <w:rPr>
          <w:kern w:val="2"/>
          <w14:ligatures w14:val="standardContextual"/>
        </w:rPr>
      </w:pPr>
      <w:r>
        <w:t>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formula and formula_inputs, so a refinery's gasoline production can be defined as a fixed fraction of its consumption of a particular grade (gasoline_P = 0.35 × crude_C of grade X), with the yield coefficients themselves potentially scenario-specific. Both extensions sit on top of the schema as constructed; neither requires structural change.</w:t>
      </w:r>
    </w:p>
    <w:p w14:paraId="36BCFB2C" w14:textId="77777777" w:rsidR="008E1B31" w:rsidRDefault="00000000">
      <w:pPr>
        <w:pStyle w:val="Heading2"/>
      </w:pPr>
      <w:r>
        <w:t>1.5 Thesis structure</w:t>
      </w:r>
    </w:p>
    <w:p w14:paraId="3D812E8D" w14:textId="77777777" w:rsidR="006E3777" w:rsidRDefault="006E3777">
      <w:pPr>
        <w:spacing w:after="160" w:line="319" w:lineRule="auto"/>
        <w:jc w:val="both"/>
        <w:rPr>
          <w:kern w:val="2"/>
          <w14:ligatures w14:val="standardContextual"/>
        </w:rPr>
      </w:pPr>
      <w:r>
        <w:t>The thesis is organised in three parts. Chapters 1 to 3 frame the problem: this introduction, a focused literature review in Chapter 2 that examines the three streams discussed above and identifies the specific gap, and a domain background chapter in Chapter 3 on the U.S. crude oil network, which grounds the design choices that follow in the physical system itself.</w:t>
      </w:r>
    </w:p>
    <w:p w14:paraId="5357D883" w14:textId="77777777" w:rsidR="006E3777" w:rsidRDefault="006E3777">
      <w:pPr>
        <w:spacing w:after="160" w:line="319" w:lineRule="auto"/>
        <w:jc w:val="both"/>
        <w:rPr>
          <w:kern w:val="2"/>
          <w14:ligatures w14:val="standardContextual"/>
        </w:rPr>
      </w:pPr>
      <w:r>
        <w:t>Chapters 4 to 8 develop the main contribution. Chapter 4 sets out the design principles that govern the representation. Chapter 5 translates those principles into a concrete schema and graph-construction process. Chapter 6 describes the resolver that consumes the schema and produces the per</w:t>
      </w:r>
      <w:proofErr w:type="gramStart"/>
      <w:r>
        <w:t>-(</w:t>
      </w:r>
      <w:proofErr w:type="gramEnd"/>
      <w:r>
        <w:t>variable, date) data tensor. Chapter 7 presents the consistency guarantees supported by the framework and the audits used to demonstrate them. Chapter 8 then introduces the linear programme that acts as the first downstream consumer of the resolved data.</w:t>
      </w:r>
    </w:p>
    <w:p w14:paraId="7209FE68" w14:textId="77777777" w:rsidR="006E3777" w:rsidRDefault="006E3777">
      <w:pPr>
        <w:spacing w:after="160" w:line="319" w:lineRule="auto"/>
        <w:jc w:val="both"/>
        <w:rPr>
          <w:kern w:val="2"/>
          <w14:ligatures w14:val="standardContextual"/>
        </w:rPr>
      </w:pPr>
      <w:r>
        <w:t>Chapters 9 and 10 close the thesis. Chapter 9 presents a case study that follows the framework end to end on a concrete scenario. Chapter 10 summarises the contribution, discusses the framework's readiness for graph neural network forecasting as a natural next consumer, and outlines a broader roadmap for future development.</w:t>
      </w:r>
    </w:p>
    <w:p w14:paraId="5CDBFB98" w14:textId="77777777" w:rsidR="006E3777" w:rsidRDefault="006E3777">
      <w:pPr>
        <w:spacing w:after="160" w:line="319" w:lineRule="auto"/>
        <w:jc w:val="both"/>
        <w:rPr>
          <w:kern w:val="2"/>
          <w14:ligatures w14:val="standardContextual"/>
        </w:rPr>
      </w:pPr>
      <w:r>
        <w:t>The annexes provide supporting reference material. Annex A offers a primer on graph neural networks for readers who want to follow the GNN-readiness discussion in Chapter 10 in more detail. Annex B compares asset-centric and location-centric graph representations. Annex C documents the resolver's dispatch rules, and Annex D catalogues the variables included in the starter scenario.</w:t>
      </w:r>
    </w:p>
    <w:p w14:paraId="36BCFB31" w14:textId="77777777" w:rsidR="008E1B31" w:rsidRDefault="00000000">
      <w:pPr>
        <w:pStyle w:val="Heading1"/>
        <w:pageBreakBefore/>
      </w:pPr>
      <w:r>
        <w:lastRenderedPageBreak/>
        <w:t>2. Literature Review</w:t>
      </w:r>
    </w:p>
    <w:p w14:paraId="07765D71" w14:textId="77777777" w:rsidR="006E3777" w:rsidRDefault="006E3777">
      <w:pPr>
        <w:spacing w:after="160" w:line="319" w:lineRule="auto"/>
        <w:jc w:val="both"/>
        <w:rPr>
          <w:kern w:val="2"/>
          <w14:ligatures w14:val="standardContextual"/>
        </w:rPr>
      </w:pPr>
      <w:r>
        <w:t>This thesis sits at the intersection of three research streams: petroleum supply chain optimisation, which has produced many of the dominant tools used to analyse crude oil logistics; graph data models and graph representation learning, which provide the methodological basis for downstream forecasting and relational modelling; and energy statistics conventions, which shape how the underlying public data is published and used in practice. This chapter reviews each stream with a focus on what it contributes and, just as importantly, what it leaves unresolved. It then brings those strands together to clarify the gap that motivates the present work.</w:t>
      </w:r>
    </w:p>
    <w:p w14:paraId="36BCFB33" w14:textId="77777777" w:rsidR="008E1B31" w:rsidRDefault="00000000">
      <w:pPr>
        <w:pStyle w:val="Heading2"/>
      </w:pPr>
      <w:r>
        <w:t>2.1 Petroleum supply chain optimisation</w:t>
      </w:r>
    </w:p>
    <w:p w14:paraId="49A0534A" w14:textId="77777777" w:rsidR="006E3777" w:rsidRDefault="006E3777">
      <w:pPr>
        <w:spacing w:after="160" w:line="319" w:lineRule="auto"/>
        <w:jc w:val="both"/>
        <w:rPr>
          <w:kern w:val="2"/>
          <w14:ligatures w14:val="standardContextual"/>
        </w:rPr>
      </w:pPr>
      <w:r>
        <w:t>The literature on crude oil and refined-product supply chains is extensive and well established. Most contributions fall into one of two broad methodological groups: deterministic mathematical programming, especially mixed-integer linear programming and related formulations, and uncertainty-aware extensions such as stochastic and robust optimisation.</w:t>
      </w:r>
    </w:p>
    <w:p w14:paraId="6DCF7C2E" w14:textId="77777777" w:rsidR="006E3777" w:rsidRDefault="006E3777">
      <w:pPr>
        <w:spacing w:after="160" w:line="319" w:lineRule="auto"/>
        <w:jc w:val="both"/>
        <w:rPr>
          <w:kern w:val="2"/>
          <w14:ligatures w14:val="standardContextual"/>
        </w:rPr>
      </w:pPr>
      <w:r>
        <w:t xml:space="preserve">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and multi-product downstream petroleum supply chains, using the Portuguese network as a case study. Their model captures the facility-location and capacity decisions that distinguish strategic network design from day-to-day planning. Kazemi and </w:t>
      </w:r>
      <w:proofErr w:type="spellStart"/>
      <w:r>
        <w:t>Szmerekovsky</w:t>
      </w:r>
      <w:proofErr w:type="spellEnd"/>
      <w:r>
        <w:t xml:space="preserve"> (2015) extend this line of work to multimodal transportation, showing that the joint treatment of pipeline, rail, marine, and truck transport can materially change the optimal solution when compared with single-mode formulations. </w:t>
      </w:r>
      <w:proofErr w:type="spellStart"/>
      <w:r>
        <w:t>Ghaithan</w:t>
      </w:r>
      <w:proofErr w:type="spellEnd"/>
      <w:r>
        <w:t xml:space="preserve">, Attia, and </w:t>
      </w:r>
      <w:proofErr w:type="spellStart"/>
      <w:r>
        <w:t>Duffuaa</w:t>
      </w:r>
      <w:proofErr w:type="spellEnd"/>
      <w:r>
        <w:t xml:space="preserve"> (2017) move toward tactical planning in an integrated oil and gas setting, formulating a multi-objective optimisation model that balances cost, revenue, and service-level targets in a Saudi Arabian case.</w:t>
      </w:r>
    </w:p>
    <w:p w14:paraId="74361A8B" w14:textId="77777777" w:rsidR="006E3777" w:rsidRDefault="006E3777">
      <w:pPr>
        <w:spacing w:after="160" w:line="319" w:lineRule="auto"/>
        <w:jc w:val="both"/>
        <w:rPr>
          <w:kern w:val="2"/>
          <w14:ligatures w14:val="standardContextual"/>
        </w:rPr>
      </w:pPr>
      <w:r>
        <w:t xml:space="preserve">On the uncertainty side, Ribas, Hamacher, and Street (2010) develop stochastic programming models for integrated oil-chain planning under uncertainty in demand, production, and prices. Lima, </w:t>
      </w:r>
      <w:proofErr w:type="spellStart"/>
      <w:r>
        <w:t>Relvas</w:t>
      </w:r>
      <w:proofErr w:type="spellEnd"/>
      <w:r>
        <w:t>, and Barbosa-</w:t>
      </w:r>
      <w:proofErr w:type="spellStart"/>
      <w:r>
        <w:t>Póvoa</w:t>
      </w:r>
      <w:proofErr w:type="spellEnd"/>
      <w:r>
        <w:t xml:space="preserve"> (2016), in their broad review of downstream oil supply chain management, show how common robust and stochastic formulations have become in this field. One recurring issue in that review is especially relevant here: the level of detail at which optimisation models are built often does not match the level of detail at which real input data is </w:t>
      </w:r>
      <w:proofErr w:type="gramStart"/>
      <w:r>
        <w:t>actually available</w:t>
      </w:r>
      <w:proofErr w:type="gramEnd"/>
      <w:r>
        <w:t>.</w:t>
      </w:r>
    </w:p>
    <w:p w14:paraId="5719DF47" w14:textId="77777777" w:rsidR="006E3777" w:rsidRDefault="006E3777">
      <w:pPr>
        <w:spacing w:after="160" w:line="319" w:lineRule="auto"/>
        <w:jc w:val="both"/>
        <w:rPr>
          <w:kern w:val="2"/>
          <w14:ligatures w14:val="standardContextual"/>
        </w:rPr>
      </w:pPr>
      <w:r>
        <w:t>What these contributions have in common is the level of abstraction at which the network is represented. Nodes are usually large aggregates—refineries, demand centres, production regions—and edges are abstract connections defined in terms of cost, capacity, or lead time. That is entirely appropriate for the strategic and tactical questions these models are meant to answer, such as where to locate capacity or how to allocate supply across regions. It is much less helpful, however, for the separate question of how to represent the system itself in a way that can absorb multi-resolution data and support different types of downstream consumers.</w:t>
      </w:r>
    </w:p>
    <w:p w14:paraId="320D9D16" w14:textId="77777777" w:rsidR="006E3777" w:rsidRDefault="006E3777">
      <w:pPr>
        <w:spacing w:after="160" w:line="319" w:lineRule="auto"/>
        <w:jc w:val="both"/>
        <w:rPr>
          <w:kern w:val="2"/>
          <w14:ligatures w14:val="standardContextual"/>
        </w:rPr>
      </w:pPr>
      <w:r>
        <w:lastRenderedPageBreak/>
        <w:t xml:space="preserve">A related issue is that this literature often treats supply chain modelling and logistics modelling as if they were effectively the same. They are clearly related, but they are not identical. Classical supply chain optimisation is mainly concerned with questions of multi-firm coordination, procurement, facility location, and strategic capacity—how the network should be designed and how commitments should be distributed across firms. Logistics network modelling is closer to the operational layer of a given network: how flows move through fixed assets, where inventories accumulate, and what kinds of consistency the available data </w:t>
      </w:r>
      <w:proofErr w:type="gramStart"/>
      <w:r>
        <w:t>actually supports</w:t>
      </w:r>
      <w:proofErr w:type="gramEnd"/>
      <w:r>
        <w:t>. This thesis belongs to that second tradition. The design choices that follow—asset-centric nodes, stable topology, and schema-level consistency—respond to logistics requirements rather than to the more aggregated concerns of supply chain design.</w:t>
      </w:r>
    </w:p>
    <w:p w14:paraId="36BCFB39" w14:textId="77777777" w:rsidR="008E1B31" w:rsidRDefault="00000000">
      <w:pPr>
        <w:pStyle w:val="Heading2"/>
      </w:pPr>
      <w:r>
        <w:t>2.2 Graph data models for commodity and logistics networks</w:t>
      </w:r>
    </w:p>
    <w:p w14:paraId="75035457" w14:textId="77777777" w:rsidR="006E3777" w:rsidRDefault="006E3777">
      <w:pPr>
        <w:spacing w:after="160" w:line="319" w:lineRule="auto"/>
        <w:jc w:val="both"/>
        <w:rPr>
          <w:kern w:val="2"/>
          <w14:ligatures w14:val="standardContextual"/>
        </w:rPr>
      </w:pPr>
      <w:r>
        <w:t xml:space="preserve">The use of graph data models in commodity networks specifically—as distinct from more general supply chain applications—is relatively recent. Kosasih and </w:t>
      </w:r>
      <w:proofErr w:type="spellStart"/>
      <w:r>
        <w:t>Brintrup</w:t>
      </w:r>
      <w:proofErr w:type="spellEnd"/>
      <w:r>
        <w:t xml:space="preserve"> (2022) show that GNN-based methods can predict hidden links in supply chain networks, revealing dependencies that aggregate-level data tends to miss. Wasi et al. (2024) introduce </w:t>
      </w:r>
      <w:proofErr w:type="spellStart"/>
      <w:r>
        <w:t>SupplyGraph</w:t>
      </w:r>
      <w:proofErr w:type="spellEnd"/>
      <w:r>
        <w:t>, the first benchmark dataset explicitly designed for GNN-based supply chain analytics, with tasks such as demand forecasting, production planning, and product classification. Ahn et al. (2024) develop a probabilistic GNN model for supply and inventory prediction using data from a global consumer-goods company, showing that attention-based graph architectures can improve predictive performance by capturing cascading effects across nodes.</w:t>
      </w:r>
    </w:p>
    <w:p w14:paraId="61EEF33E" w14:textId="77777777" w:rsidR="006E3777" w:rsidRDefault="006E3777">
      <w:pPr>
        <w:spacing w:after="160" w:line="319" w:lineRule="auto"/>
        <w:jc w:val="both"/>
        <w:rPr>
          <w:kern w:val="2"/>
          <w14:ligatures w14:val="standardContextual"/>
        </w:rPr>
      </w:pPr>
      <w:r>
        <w:t xml:space="preserve">These studies are important because they show that graph-based methods can add value in commodity and logistics settings beyond what isolated node-level time-series models usually provide. At the same time, they share a limitation from the perspective of this thesis: each is built around its own application-specific data representation. In other words, the representation is tailored to the task rather than treated as a </w:t>
      </w:r>
      <w:proofErr w:type="gramStart"/>
      <w:r>
        <w:t>contribution in its own right</w:t>
      </w:r>
      <w:proofErr w:type="gramEnd"/>
      <w:r>
        <w:t xml:space="preserve">. </w:t>
      </w:r>
      <w:proofErr w:type="spellStart"/>
      <w:r>
        <w:t>SupplyGraph</w:t>
      </w:r>
      <w:proofErr w:type="spellEnd"/>
      <w:r>
        <w:t xml:space="preserve">, for example, is structured around production lines and demand centres in </w:t>
      </w:r>
      <w:proofErr w:type="gramStart"/>
      <w:r>
        <w:t>a fast-moving consumer-goods</w:t>
      </w:r>
      <w:proofErr w:type="gramEnd"/>
      <w:r>
        <w:t xml:space="preserve"> setting. Its node types, edge meanings, and temporal resolution make sense there, but they do not transfer directly to crude oil logistics.</w:t>
      </w:r>
    </w:p>
    <w:p w14:paraId="5C5B2A31" w14:textId="77777777" w:rsidR="006E3777" w:rsidRDefault="006E3777">
      <w:pPr>
        <w:spacing w:after="160" w:line="319" w:lineRule="auto"/>
        <w:jc w:val="both"/>
        <w:rPr>
          <w:kern w:val="2"/>
          <w14:ligatures w14:val="standardContextual"/>
        </w:rPr>
      </w:pPr>
      <w:r>
        <w:t xml:space="preserve">Behind these applied studies sits a broader graph representation learning literature. Foundational work on random-walk embeddings (Perozzi et al., 2014; Grover and Leskovec, 2016; Tang et al., 2015) and on graph neural networks more directly (Kipf and Welling, 2017; </w:t>
      </w:r>
      <w:proofErr w:type="spellStart"/>
      <w:r>
        <w:t>Veličković</w:t>
      </w:r>
      <w:proofErr w:type="spellEnd"/>
      <w:r>
        <w:t xml:space="preserve"> et al., 2018; Hamilton, Ying, and Leskovec, 2017) established the methodological base that later work builds on. Surveys by Wu et al. (2020) and Jin et al. (2024) provide useful overviews of this rapidly expanding field, with the latter focusing specifically on the interface between graph methods and time-series modelling. Temporal extensions such as TGAT (Xu et al., 2020), TGN (Rossi et al., 2020), and causal anonymous walks (Wang et al., 2021), together with hybrid architectures like DCRNN (Li et al., 2018) and STGCN (Yu, Yin, and Zhu, 2018), make the temporal dimension an explicit part of the modelling framework.</w:t>
      </w:r>
    </w:p>
    <w:p w14:paraId="043D9A3A" w14:textId="77777777" w:rsidR="006E3777" w:rsidRDefault="006E3777">
      <w:pPr>
        <w:spacing w:after="160" w:line="319" w:lineRule="auto"/>
        <w:jc w:val="both"/>
        <w:rPr>
          <w:kern w:val="2"/>
          <w14:ligatures w14:val="standardContextual"/>
        </w:rPr>
      </w:pPr>
      <w:r>
        <w:lastRenderedPageBreak/>
        <w:t>The traffic forecasting literature is particularly relevant to the present work, especially because DCRNN and STGCN have become standard reference models in that area. Traffic networks share several structural features with crude oil logistics networks: a largely stable physical topology, clearly identified nodes, and forecasting targets that depend both on local temporal behaviour and on dependencies that propagate through the network. The comparison is not perfect, but it is close enough to be useful. One of the goals of the framework developed in this thesis is to make that methodological transfer from traffic to commodity logistics possible in a more concrete and principled way. Annex A provides a fuller methodological background for readers who want to follow the GNN-readiness discussion in Chapter 10 more closely.</w:t>
      </w:r>
    </w:p>
    <w:p w14:paraId="05A43D87" w14:textId="77777777" w:rsidR="006E3777" w:rsidRDefault="006E3777">
      <w:pPr>
        <w:spacing w:after="160" w:line="319" w:lineRule="auto"/>
        <w:jc w:val="both"/>
        <w:rPr>
          <w:kern w:val="2"/>
          <w14:ligatures w14:val="standardContextual"/>
        </w:rPr>
      </w:pPr>
      <w:r>
        <w:t>The comparison is informative as much for its differences as for its similarities. Traffic networks carry many independent agents — individual drivers responding to local signals on a second-by-second timescale — while crude oil networks carry few large commercial entities whose flow decisions are negotiated through contracts and nominated weeks in advance. Traffic data is dense, with GPS-derived counts on every monitored road; crude oil data is sparse, with a handful of monthly EIA series defining what is publicly observable. Mass balance in traffic is the conservation of vehicles across an intersection, with no explicit inventory; mass balance in oil is the conservation of barrels at every junction, with substantial inventory carried in tank farms, on vessels, and as line-fill in the pipelines themselves. Several oil pipelines reverse direction over the modelled period (Capline in 2022, Seaway in 2012); equivalent topology changes are rare in traffic networks at any useful temporal granularity. The structural parallel — fixed topology, identified nodes, flows with both local and propagating dependencies — is genuine, but the parallels in data density and operational timescale need to be qualified before traffic-network methods are adopted directly.</w:t>
      </w:r>
    </w:p>
    <w:p w14:paraId="36BCFB3E" w14:textId="77777777" w:rsidR="008E1B31" w:rsidRDefault="00000000">
      <w:pPr>
        <w:pStyle w:val="Heading2"/>
      </w:pPr>
      <w:r>
        <w:t>2.3 Energy statistics conventions and the practitioner workflow</w:t>
      </w:r>
    </w:p>
    <w:p w14:paraId="5DE9957F" w14:textId="77777777" w:rsidR="006E3777" w:rsidRDefault="006E3777">
      <w:pPr>
        <w:spacing w:after="160" w:line="319" w:lineRule="auto"/>
        <w:jc w:val="both"/>
        <w:rPr>
          <w:kern w:val="2"/>
          <w14:ligatures w14:val="standardContextual"/>
        </w:rPr>
      </w:pPr>
      <w:r>
        <w:t>The third stream is less academic in form, but it is closer to the practical problem that motivated this thesis. It concerns the conventions through which energy statistics are published by national and international agencies, and the analytical workflows built around those conventions.</w:t>
      </w:r>
    </w:p>
    <w:p w14:paraId="1C2E54DD" w14:textId="77777777" w:rsidR="006E3777" w:rsidRDefault="006E3777">
      <w:pPr>
        <w:spacing w:after="160" w:line="319" w:lineRule="auto"/>
        <w:jc w:val="both"/>
        <w:rPr>
          <w:kern w:val="2"/>
          <w14:ligatures w14:val="standardContextual"/>
        </w:rPr>
      </w:pPr>
      <w:r>
        <w:t>The U.S. Energy Information Administration publishes a wide range of monthly series covering crude oil production, refining, stocks, trade, and movements between PADDs. These series are organised both by data type and by geographic resolution, ranging from national and PADD-level views to refining districts and, in a few cases, facility-level detail. The same physical quantity often appears at several resolutions at once. U.S.-level production is reported separately from PADD-level production, which is in turn distinct from named-basin production within each PADD. These series do not always reconcile exactly across levels, and the differences usually reflect reporting timing, custody-transfer conventions, or coverage choices rather than simple measurement error.</w:t>
      </w:r>
    </w:p>
    <w:p w14:paraId="05A43D87" w14:textId="77777777" w:rsidR="006E3777" w:rsidRDefault="006E3777">
      <w:pPr>
        <w:spacing w:after="160" w:line="319" w:lineRule="auto"/>
        <w:jc w:val="both"/>
        <w:rPr>
          <w:kern w:val="2"/>
          <w14:ligatures w14:val="standardContextual"/>
        </w:rPr>
      </w:pPr>
      <w:r>
        <w:t>PADD stands for Petroleum Administration for Defense District. The five PADDs were established in 1942 to coordinate wartime petroleum logistics and have remained the primary regional grouping used by EIA ever since: PADD 1 covers the East Coast, PADD 2 the Midwest, PADD 3 the Gulf Coast, PADD 4 the Rocky Mountain region, and PADD 5 the West Coast. EIA reports production, refining, consumption, stocks, and inter-district movements at this resolution. The framework's partition tree uses the same five-district structure as its primary geographic spine.</w:t>
      </w:r>
    </w:p>
    <w:p w14:paraId="58007950" w14:textId="77777777" w:rsidR="006E3777" w:rsidRDefault="006E3777">
      <w:pPr>
        <w:spacing w:after="160" w:line="319" w:lineRule="auto"/>
        <w:jc w:val="both"/>
        <w:rPr>
          <w:kern w:val="2"/>
          <w14:ligatures w14:val="standardContextual"/>
        </w:rPr>
      </w:pPr>
      <w:r>
        <w:t>The International Energy Agency follows a similar pattern at the international level in its monthly Oil Market Report and annual World Energy Balances. Importantly, the IEA retains an explicit balancing item in its supply-demand tables, defined as the residual between observed stock changes and the sum of observed flows. That convention matters here because it treats the residual as information rather than as noise to be hidden. The size and sign of the balancing item indicate where the reporting system is not closing cleanly, and the IEA does not try to make that issue disappear by silently folding it into nearby quantities.</w:t>
      </w:r>
    </w:p>
    <w:p w14:paraId="5A3079E2" w14:textId="77777777" w:rsidR="006E3777" w:rsidRDefault="006E3777">
      <w:pPr>
        <w:spacing w:after="160" w:line="319" w:lineRule="auto"/>
        <w:jc w:val="both"/>
        <w:rPr>
          <w:kern w:val="2"/>
          <w14:ligatures w14:val="standardContextual"/>
        </w:rPr>
      </w:pPr>
      <w:r>
        <w:t xml:space="preserve">The workflow built around these series is familiar across trading firms, consultancies, and integrated oil companies, and it is the immediate practical context for this thesis. Analysts typically maintain spreadsheets or </w:t>
      </w:r>
      <w:proofErr w:type="gramStart"/>
      <w:r>
        <w:t>pandas</w:t>
      </w:r>
      <w:proofErr w:type="gramEnd"/>
      <w:r>
        <w:t xml:space="preserve"> notebooks that ingest EIA and IEA series, reconcile them across resolutions as best they can, and then produce derived quantities such as implied flows, regional balances, or term-structure indicators. The workflow works, in the sense that it produces usable outputs, but it also has well-known weaknesses.</w:t>
      </w:r>
    </w:p>
    <w:p w14:paraId="36BCFB43" w14:textId="77777777" w:rsidR="008E1B31" w:rsidRDefault="00000000">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w:t>
      </w:r>
      <w:r>
        <w:lastRenderedPageBreak/>
        <w:t>Two analysts working on the same underlying data produce different derived quantities because their reconciliation choices differ.</w:t>
      </w:r>
    </w:p>
    <w:p w14:paraId="36BCFB44" w14:textId="77777777" w:rsidR="008E1B31" w:rsidRDefault="00000000">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w:t>
      </w:r>
      <w:proofErr w:type="gramStart"/>
      <w:r>
        <w:t>reverse-engineering</w:t>
      </w:r>
      <w:proofErr w:type="gramEnd"/>
      <w:r>
        <w:t xml:space="preserve"> the workbook. This makes the workflow difficult to audit and difficult to extend.</w:t>
      </w:r>
    </w:p>
    <w:p w14:paraId="36BCFB45" w14:textId="77777777" w:rsidR="008E1B31" w:rsidRDefault="00000000">
      <w:pPr>
        <w:spacing w:after="160" w:line="320" w:lineRule="auto"/>
        <w:jc w:val="both"/>
      </w:pPr>
      <w:r>
        <w:t xml:space="preserve">Third, </w:t>
      </w:r>
      <w:r>
        <w:rPr>
          <w:b/>
          <w:bCs/>
        </w:rPr>
        <w:t xml:space="preserve">multi-resolution mixing is </w:t>
      </w:r>
      <w:proofErr w:type="gramStart"/>
      <w:r>
        <w:rPr>
          <w:b/>
          <w:bCs/>
        </w:rPr>
        <w:t>hand-coded</w:t>
      </w:r>
      <w:proofErr w:type="gramEnd"/>
      <w:r>
        <w:rPr>
          <w:b/>
          <w:bCs/>
        </w:rPr>
        <w:t>.</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05A43D87" w14:textId="77777777" w:rsidR="006E3777" w:rsidRDefault="006E3777">
      <w:pPr>
        <w:spacing w:after="160" w:line="319" w:lineRule="auto"/>
        <w:jc w:val="both"/>
        <w:rPr>
          <w:kern w:val="2"/>
          <w14:ligatures w14:val="standardContextual"/>
        </w:rPr>
      </w:pPr>
      <w:r>
        <w:t>EIA was chosen for this thesis because it is public, free to access, and covers the United States consistently at monthly resolution from 2015 onward. Commercial sources occupy a complementary niche. Providers such as OilX, Genscape, Wood Mackenzie's IIR, and S&amp;P Global Commodity Insights collect higher-frequency and finer-granularity data through satellite imagery, gauge-level sensors, and survey panels, often resolving individual storage-tank levels and per-pipeline flows that public data aggregates away. The framework is designed to consume both. A scenario is defined as a coverage of authoritative bindings, and different scenarios can bind different variables to different sources; a single scenario can also mix public and commercial sources where each is available. The same physical asset graph therefore supports a public-only scenario for reproducibility, a commercial-augmented scenario for accuracy where licensed data is available, and per-source comparison scenarios for assessing where the cheapest data is good enough.</w:t>
      </w:r>
    </w:p>
    <w:p w14:paraId="2917D05D" w14:textId="77777777" w:rsidR="006E3777" w:rsidRDefault="006E3777">
      <w:pPr>
        <w:spacing w:after="160" w:line="319" w:lineRule="auto"/>
        <w:jc w:val="both"/>
        <w:rPr>
          <w:kern w:val="2"/>
          <w14:ligatures w14:val="standardContextual"/>
        </w:rPr>
      </w:pPr>
      <w:r>
        <w:t>Part of the purpose of this thesis is to turn that informal workflow into a structured representation. The axioms and corollaries introduced in Chapter 4 respond directly to the three limitations just described: schema-level single attribution addresses the problem of inconsistent reconciliation, the resolver's audit trail addresses the loss of provenance, and the separation between the persistent graph and scenario-specific state addresses the fragility of hand-coded multi-resolution mixing.</w:t>
      </w:r>
    </w:p>
    <w:p w14:paraId="36BCFB47" w14:textId="77777777" w:rsidR="008E1B31" w:rsidRDefault="00000000">
      <w:pPr>
        <w:pStyle w:val="Heading2"/>
      </w:pPr>
      <w:r>
        <w:t>2.4 Synthesis and the research gap</w:t>
      </w:r>
    </w:p>
    <w:p w14:paraId="3EDB21B0" w14:textId="77777777" w:rsidR="006E3777" w:rsidRDefault="006E3777">
      <w:pPr>
        <w:spacing w:after="160" w:line="319" w:lineRule="auto"/>
        <w:jc w:val="both"/>
        <w:rPr>
          <w:kern w:val="2"/>
          <w14:ligatures w14:val="standardContextual"/>
        </w:rPr>
      </w:pPr>
      <w:r>
        <w:t xml:space="preserve">Taken together, the three streams reviewed above point to a clear gap. The petroleum supply chain optimisation literature offers mathematical </w:t>
      </w:r>
      <w:proofErr w:type="gramStart"/>
      <w:r>
        <w:t>rigour, but</w:t>
      </w:r>
      <w:proofErr w:type="gramEnd"/>
      <w:r>
        <w:t xml:space="preserve"> usually works with network abstractions that leave out both operational detail and the multi-resolution structure of the data. The graph data models literature offers increasingly powerful methods for relational and temporal </w:t>
      </w:r>
      <w:proofErr w:type="gramStart"/>
      <w:r>
        <w:t>learning, but</w:t>
      </w:r>
      <w:proofErr w:type="gramEnd"/>
      <w:r>
        <w:t xml:space="preserve"> tends to assume that the upstream representation is already clean and well formed. The energy statistics literature shows how the data is </w:t>
      </w:r>
      <w:proofErr w:type="gramStart"/>
      <w:r>
        <w:t>actually published</w:t>
      </w:r>
      <w:proofErr w:type="gramEnd"/>
      <w:r>
        <w:t xml:space="preserve"> and used, yet the workflow that connects those publications to downstream models remains largely ad hoc and difficult to audit or extend.</w:t>
      </w:r>
    </w:p>
    <w:p w14:paraId="36BCFB49" w14:textId="77777777" w:rsidR="008E1B31" w:rsidRDefault="00000000">
      <w:pPr>
        <w:spacing w:after="160" w:line="320" w:lineRule="auto"/>
        <w:jc w:val="both"/>
      </w:pPr>
      <w:r>
        <w:t>The gap, stated precisely, is the absence of an upstream representation that:</w:t>
      </w:r>
    </w:p>
    <w:p w14:paraId="03D60528" w14:textId="77777777" w:rsidR="006E3777" w:rsidRDefault="006E3777">
      <w:pPr>
        <w:spacing w:after="160" w:line="319" w:lineRule="auto"/>
        <w:jc w:val="both"/>
        <w:rPr>
          <w:kern w:val="2"/>
          <w14:ligatures w14:val="standardContextual"/>
        </w:rPr>
      </w:pPr>
      <w:r>
        <w:t>Stated more precisely, what is missing is an upstream representation that: (a) admits the multi-resolution structure of public energy data without requiring each downstream consumer to reconcile it independently; (b) enforces single attribution and consistency at schema level rather than through post-hoc checks; (c) preserves the provenance of derived quantities so that any value can be traced back to its sources; (d) can be consumed by both classical optimisation models, such as linear programmes, and modern machine learning models, such as graph neural networks, without structural modification; and (e) exists as a working artefact rather than as an abstract proposal.</w:t>
      </w:r>
    </w:p>
    <w:p w14:paraId="0E9A7AC9" w14:textId="77777777" w:rsidR="006E3777" w:rsidRDefault="006E3777">
      <w:pPr>
        <w:spacing w:after="160" w:line="319" w:lineRule="auto"/>
        <w:jc w:val="both"/>
        <w:rPr>
          <w:kern w:val="2"/>
          <w14:ligatures w14:val="standardContextual"/>
        </w:rPr>
      </w:pPr>
      <w:r>
        <w:t xml:space="preserve">This thesis addresses that gap through the asset-centric temporal graph schema developed in Chapter 4, the implementation described in Chapter 5, the resolver presented in Chapter 6, the consistency guarantees demonstrated in Chapter 7, and the linear-programming consumer developed in Chapter 8. Graph neural network consumers are not implemented </w:t>
      </w:r>
      <w:r>
        <w:lastRenderedPageBreak/>
        <w:t>here, but their role as a natural next step is discussed in Chapter 10, where the argument for the framework's readiness is developed.</w:t>
      </w:r>
    </w:p>
    <w:p w14:paraId="36BCFB4C" w14:textId="77777777" w:rsidR="008E1B31" w:rsidRDefault="00000000">
      <w:pPr>
        <w:pStyle w:val="Heading1"/>
        <w:pageBreakBefore/>
      </w:pPr>
      <w:r>
        <w:lastRenderedPageBreak/>
        <w:t>3. Domain Background: The U.S. Crude Oil Network</w:t>
      </w:r>
    </w:p>
    <w:p w14:paraId="7774F9BF" w14:textId="77777777" w:rsidR="00BD3161" w:rsidRDefault="00BD3161">
      <w:pPr>
        <w:spacing w:after="160" w:line="319" w:lineRule="auto"/>
        <w:jc w:val="both"/>
        <w:rPr>
          <w:kern w:val="2"/>
          <w14:ligatures w14:val="standardContextual"/>
        </w:rPr>
      </w:pPr>
      <w:r>
        <w:t>This chapter describes the physical and informational structure of the U.S. crude oil network at the level needed to make the design choices in later chapters clear. It is not intended as a full overview of the petroleum industry, which would go well beyond the scope of this thesis. Instead, the aim is narrower: to outline the assets, flows, and reporting conventions that the framework must represent. Readers already familiar with the industry may wish to skim parts of the chapter. For readers coming from a methods background, however, the discussion provides the practical context for the design principles introduced in Chapter 4.</w:t>
      </w:r>
    </w:p>
    <w:p w14:paraId="36BCFB4E" w14:textId="77777777" w:rsidR="008E1B31" w:rsidRDefault="00000000">
      <w:pPr>
        <w:pStyle w:val="Heading2"/>
      </w:pPr>
      <w:r>
        <w:t>3.1 The physical layer</w:t>
      </w:r>
    </w:p>
    <w:p w14:paraId="2FAC78D8" w14:textId="77777777" w:rsidR="00BD3161" w:rsidRDefault="00BD3161">
      <w:pPr>
        <w:spacing w:after="160" w:line="319" w:lineRule="auto"/>
        <w:jc w:val="both"/>
        <w:rPr>
          <w:kern w:val="2"/>
          <w14:ligatures w14:val="standardContextual"/>
        </w:rPr>
      </w:pPr>
      <w:r>
        <w:t>At the scale of the United States, the crude oil system can be described in terms of four broad physical layers: upstream production, midstream gathering and transportation, downstream refining, and the storage and export infrastructure that links the domestic network to the international market.</w:t>
      </w:r>
    </w:p>
    <w:p w14:paraId="16CCEEF3" w14:textId="77777777" w:rsidR="00BD3161" w:rsidRDefault="00BD3161">
      <w:pPr>
        <w:spacing w:after="160" w:line="319" w:lineRule="auto"/>
        <w:jc w:val="both"/>
        <w:rPr>
          <w:kern w:val="2"/>
          <w14:ligatures w14:val="standardContextual"/>
        </w:rPr>
      </w:pPr>
      <w:r>
        <w:t xml:space="preserve">The </w:t>
      </w:r>
      <w:r>
        <w:rPr>
          <w:b/>
          <w:bCs/>
        </w:rPr>
        <w:t>upstream layer</w:t>
      </w:r>
      <w:r>
        <w:t xml:space="preserve"> consists of the assets that bring crude oil to the surface. In the U.S. context, these fall into three main categories. The first is onshore conventional production, the historical core of U.S. output, based on wells drilled into permeable reservoirs and produced through natural pressure or artificial lift. The second is offshore production, concentrated in federal waters in the Gulf of America (formerly the Gulf of Mexico), where large fixed and floating platforms operate above sub-sea wells. The third is shale and tight oil production, which reshaped U.S. supply from around 2010 onward through horizontal drilling and hydraulic fracturing. The Permian in Texas and New Mexico, the Bakken in North Dakota and Montana, and the Eagle Ford in Texas are the most important examples, and together they shifted the centre of U.S. production decisively toward these basins.</w:t>
      </w:r>
    </w:p>
    <w:p w14:paraId="1941D796" w14:textId="77777777" w:rsidR="00BD3161" w:rsidRDefault="00BD3161">
      <w:pPr>
        <w:spacing w:after="160" w:line="319" w:lineRule="auto"/>
        <w:jc w:val="both"/>
        <w:rPr>
          <w:kern w:val="2"/>
          <w14:ligatures w14:val="standardContextual"/>
        </w:rPr>
      </w:pPr>
      <w:r>
        <w:t xml:space="preserve">The </w:t>
      </w:r>
      <w:r>
        <w:rPr>
          <w:b/>
          <w:bCs/>
        </w:rPr>
        <w:t>midstream layer</w:t>
      </w:r>
      <w:r>
        <w:t xml:space="preserve"> moves crude from where it is produced to where it is stored, refined, or exported. Gathering systems collect output from many individual wells and convert it into custody-grade volumes suitable for longer-distance transport. From there, trunk pipelines carry crude across hundreds or sometimes thousands of miles between producing regions, hubs, storage terminals, and refining centres. Marine transport handles longer-distance and international movements, especially through the Gulf Coast export system, using vessel classes such as Aframax, </w:t>
      </w:r>
      <w:proofErr w:type="spellStart"/>
      <w:r>
        <w:t>Suezmax</w:t>
      </w:r>
      <w:proofErr w:type="spellEnd"/>
      <w:r>
        <w:t>, and VLCC. Rail and truck move much smaller volumes in aggregate, but they remain important where pipeline coverage is limited, as was particularly visible during the early Bakken expansion before sufficient pipeline capacity was built.</w:t>
      </w:r>
    </w:p>
    <w:p w14:paraId="3FA02CD7" w14:textId="77777777" w:rsidR="00BD3161" w:rsidRDefault="00BD3161">
      <w:pPr>
        <w:spacing w:after="160" w:line="319" w:lineRule="auto"/>
        <w:jc w:val="both"/>
        <w:rPr>
          <w:kern w:val="2"/>
          <w14:ligatures w14:val="standardContextual"/>
        </w:rPr>
      </w:pPr>
      <w:r>
        <w:t xml:space="preserve">The </w:t>
      </w:r>
      <w:r>
        <w:rPr>
          <w:b/>
          <w:bCs/>
        </w:rPr>
        <w:t>storage layer</w:t>
      </w:r>
      <w:r>
        <w:t xml:space="preserve"> sits between midstream and downstream and absorbs much of the system's short-term imbalance. Commercial tank farms at major hubs such as Cushing, Patoka, Houston, St. James, and the LOOP system provide the working storage used by refiners, traders, and pipeline operators. Alongside them sits the Strategic Petroleum Reserve, a set of underground salt-cavern sites on the Gulf Coast that the U.S. government can draw on during major supply disruptions.</w:t>
      </w:r>
    </w:p>
    <w:p w14:paraId="68593F45" w14:textId="77777777" w:rsidR="00BD3161" w:rsidRDefault="00BD3161">
      <w:pPr>
        <w:spacing w:after="160" w:line="319" w:lineRule="auto"/>
        <w:jc w:val="both"/>
        <w:rPr>
          <w:kern w:val="2"/>
          <w14:ligatures w14:val="standardContextual"/>
        </w:rPr>
      </w:pPr>
      <w:r>
        <w:lastRenderedPageBreak/>
        <w:t xml:space="preserve">The </w:t>
      </w:r>
      <w:r>
        <w:rPr>
          <w:b/>
          <w:bCs/>
        </w:rPr>
        <w:t>downstream layer</w:t>
      </w:r>
      <w:r>
        <w:t xml:space="preserve"> is where crude oil is converted into refined products. U.S. refineries number in the low hundreds and are concentrated most heavily in PADD 3 on the Gulf Coast, with smaller but still important clusters in PADD 2, PADD 1, PADD 5, and PADD 4. These refineries differ materially in complexity, capacity, and crude slate. Some smaller plants process less than 50 </w:t>
      </w:r>
      <w:proofErr w:type="spellStart"/>
      <w:r>
        <w:t>kbd</w:t>
      </w:r>
      <w:proofErr w:type="spellEnd"/>
      <w:r>
        <w:t xml:space="preserve">, while the largest Gulf Coast sites exceed 600 </w:t>
      </w:r>
      <w:proofErr w:type="spellStart"/>
      <w:r>
        <w:t>kbd</w:t>
      </w:r>
      <w:proofErr w:type="spellEnd"/>
      <w:r>
        <w:t>. Complexity also varies, commonly summarised through the Nelson Complexity Index, as does the mix of crude grades each refinery is designed to run efficiently. For the purposes of this thesis, the downstream layer marks the point at which crude exits the modelled system and reappears as refined products.</w:t>
      </w:r>
    </w:p>
    <w:p w14:paraId="36BCFB54" w14:textId="77777777" w:rsidR="008E1B31" w:rsidRDefault="00000000">
      <w:pPr>
        <w:spacing w:after="160" w:line="320" w:lineRule="auto"/>
        <w:jc w:val="both"/>
      </w:pPr>
      <w:r>
        <w:t>The figure below shows the physical structure schematically, with arrows indicating the direction of crude flow through the chain.</w:t>
      </w:r>
    </w:p>
    <w:p w14:paraId="36BCFB55" w14:textId="77777777" w:rsidR="008E1B31" w:rsidRDefault="00000000">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000000">
      <w:pPr>
        <w:spacing w:after="240"/>
        <w:jc w:val="center"/>
      </w:pPr>
      <w:r>
        <w:rPr>
          <w:i/>
          <w:iCs/>
          <w:sz w:val="20"/>
          <w:szCs w:val="20"/>
        </w:rPr>
        <w:t>Figure 3.1.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000000">
      <w:pPr>
        <w:pStyle w:val="Heading2"/>
      </w:pPr>
      <w:r>
        <w:lastRenderedPageBreak/>
        <w:t>3.2 The PADD structure</w:t>
      </w:r>
    </w:p>
    <w:p w14:paraId="7B910EC0" w14:textId="77777777" w:rsidR="00BD3161" w:rsidRDefault="00BD3161">
      <w:pPr>
        <w:spacing w:after="160" w:line="319" w:lineRule="auto"/>
        <w:jc w:val="both"/>
        <w:rPr>
          <w:kern w:val="2"/>
          <w14:ligatures w14:val="standardContextual"/>
        </w:rPr>
      </w:pPr>
      <w:r>
        <w:t xml:space="preserve">The U.S. Energy Information Administration organises petroleum statistics around five Petroleum Administration for </w:t>
      </w:r>
      <w:proofErr w:type="spellStart"/>
      <w:r>
        <w:t>Defense</w:t>
      </w:r>
      <w:proofErr w:type="spellEnd"/>
      <w:r>
        <w:t xml:space="preserve"> Districts, or PADDs. These districts were created during the Second World War for fuel rationing and distribution purposes, but they have remained the dominant geographic structure for U.S. petroleum reporting ever since. The five PADDs group states as follows:</w:t>
      </w:r>
    </w:p>
    <w:p w14:paraId="36BCFB59" w14:textId="77777777" w:rsidR="008E1B31" w:rsidRDefault="00000000">
      <w:pPr>
        <w:spacing w:after="160" w:line="320" w:lineRule="auto"/>
        <w:jc w:val="both"/>
      </w:pPr>
      <w:r>
        <w:t>| PADD | Name | States |</w:t>
      </w:r>
    </w:p>
    <w:p w14:paraId="36BCFB5A" w14:textId="77777777" w:rsidR="008E1B31" w:rsidRDefault="00000000">
      <w:pPr>
        <w:spacing w:after="160" w:line="320" w:lineRule="auto"/>
        <w:jc w:val="both"/>
      </w:pPr>
      <w:r>
        <w:t>|—|—|—|</w:t>
      </w:r>
    </w:p>
    <w:p w14:paraId="36BCFB5B" w14:textId="77777777" w:rsidR="008E1B31" w:rsidRDefault="00000000">
      <w:pPr>
        <w:spacing w:after="160" w:line="320" w:lineRule="auto"/>
        <w:jc w:val="both"/>
      </w:pPr>
      <w:r>
        <w:t>| PADD 1 | East Coast | Connecticut, Delaware, District of Columbia, Florida, Georgia, Maine, Maryland, Massachusetts, New Hampshire, New Jersey, New York, North Carolina, Pennsylvania, Rhode Island, South Carolina, Vermont, Virginia, West Virginia |</w:t>
      </w:r>
    </w:p>
    <w:p w14:paraId="36BCFB5C" w14:textId="77777777" w:rsidR="008E1B31" w:rsidRDefault="00000000">
      <w:pPr>
        <w:spacing w:after="160" w:line="320" w:lineRule="auto"/>
        <w:jc w:val="both"/>
      </w:pPr>
      <w:r>
        <w:t>| PADD 2 | Midwest | Illinois, Indiana, Iowa, Kansas, Kentucky, Michigan, Minnesota, Missouri, Nebraska, North Dakota, Ohio, Oklahoma, South Dakota, Tennessee, Wisconsin |</w:t>
      </w:r>
    </w:p>
    <w:p w14:paraId="36BCFB5D" w14:textId="77777777" w:rsidR="008E1B31" w:rsidRDefault="00000000">
      <w:pPr>
        <w:spacing w:after="160" w:line="320" w:lineRule="auto"/>
        <w:jc w:val="both"/>
      </w:pPr>
      <w:r>
        <w:t>| PADD 3 | Gulf Coast | Alabama, Arkansas, Louisiana, Mississippi, New Mexico, Texas |</w:t>
      </w:r>
    </w:p>
    <w:p w14:paraId="36BCFB5E" w14:textId="77777777" w:rsidR="008E1B31" w:rsidRDefault="00000000">
      <w:pPr>
        <w:spacing w:after="160" w:line="320" w:lineRule="auto"/>
        <w:jc w:val="both"/>
      </w:pPr>
      <w:r>
        <w:t>| PADD 4 | Rocky Mountain | Colorado, Idaho, Montana, Utah, Wyoming |</w:t>
      </w:r>
    </w:p>
    <w:p w14:paraId="36BCFB5F" w14:textId="77777777" w:rsidR="008E1B31" w:rsidRDefault="00000000">
      <w:pPr>
        <w:spacing w:after="160" w:line="320" w:lineRule="auto"/>
        <w:jc w:val="both"/>
      </w:pPr>
      <w:r>
        <w:t>| PADD 5 | West Coast | Alaska, Arizona, California, Hawaii, Nevada, Oregon, Washington |</w:t>
      </w:r>
    </w:p>
    <w:p w14:paraId="325F7A09" w14:textId="77777777" w:rsidR="00BD3161" w:rsidRDefault="00BD3161">
      <w:pPr>
        <w:spacing w:after="160" w:line="319" w:lineRule="auto"/>
        <w:jc w:val="both"/>
        <w:rPr>
          <w:kern w:val="2"/>
          <w14:ligatures w14:val="standardContextual"/>
        </w:rPr>
      </w:pPr>
      <w:r>
        <w:t>Within the PADD structure, the EIA also reports refinery activity through refining districts such as PADD 3A, 3B, and 3C, or PADD 2A, 2B, and 2C. These are reporting groupings rather than physical assets. Their importance for this thesis lies in the way they impose multiple coexisting resolutions on the published data. Production may be reported at state-basin level, consumption at refining-district level, stocks at PADD level, and movements at the level of PADD pairs. Each of those levels is authoritative for some variables. A workable representation therefore needs to accommodate all of them at once without forcing everything into a single finest-granularity view and then hiding the resulting mismatches in reconciliation residuals.</w:t>
      </w:r>
    </w:p>
    <w:p w14:paraId="36BCFB61" w14:textId="77777777" w:rsidR="008E1B31" w:rsidRDefault="00000000">
      <w:pPr>
        <w:pStyle w:val="Heading2"/>
      </w:pPr>
      <w:r>
        <w:t>3.3 The production geography</w:t>
      </w:r>
    </w:p>
    <w:p w14:paraId="081E199C" w14:textId="77777777" w:rsidR="00BD3161" w:rsidRDefault="00BD3161">
      <w:pPr>
        <w:spacing w:after="160" w:line="319" w:lineRule="auto"/>
        <w:jc w:val="both"/>
        <w:rPr>
          <w:kern w:val="2"/>
          <w14:ligatures w14:val="standardContextual"/>
        </w:rPr>
      </w:pPr>
      <w:r>
        <w:t>Over the period modelled in this thesis, from 2015 onward, U.S. crude oil production is dominated by four producing regions with clearly different geological and operational profiles:</w:t>
      </w:r>
    </w:p>
    <w:p w14:paraId="3A8F8107" w14:textId="77777777" w:rsidR="00BD3161" w:rsidRDefault="00BD3161">
      <w:pPr>
        <w:spacing w:after="160" w:line="319" w:lineRule="auto"/>
        <w:jc w:val="both"/>
        <w:rPr>
          <w:kern w:val="2"/>
          <w14:ligatures w14:val="standardContextual"/>
        </w:rPr>
      </w:pPr>
      <w:r>
        <w:rPr>
          <w:b/>
          <w:bCs/>
        </w:rPr>
        <w:t>Permian Basin.</w:t>
      </w:r>
      <w:r>
        <w:t xml:space="preserve"> The Permian, stretching across west Texas and southeastern New Mexico, is the largest producing basin in the United States and in recent years has accounted for roughly 40 per cent of total U.S. crude output. Production exceeded 6 mbd in 2024. It is a shale and tight oil province whose growth from around 1 mbd in 2010 to more than 6 mbd by 2024 was driven by horizontal drilling and hydraulic fracturing. For this thesis, the basin is especially useful because it is split by the Texas-New Mexico border and is therefore reported </w:t>
      </w:r>
      <w:r>
        <w:lastRenderedPageBreak/>
        <w:t>by the EIA through separate series. That makes it a very clear example of the multi-resolution problem the framework is designed to handle.</w:t>
      </w:r>
    </w:p>
    <w:p w14:paraId="36BCFB64" w14:textId="77777777" w:rsidR="008E1B31" w:rsidRDefault="00000000">
      <w:pPr>
        <w:spacing w:after="160" w:line="320" w:lineRule="auto"/>
        <w:jc w:val="both"/>
      </w:pPr>
      <w:r>
        <w:rPr>
          <w:b/>
          <w:bCs/>
        </w:rPr>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000000">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000000">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12A950F3" w14:textId="77777777" w:rsidR="00BD3161" w:rsidRDefault="00BD3161">
      <w:pPr>
        <w:spacing w:after="160" w:line="319" w:lineRule="auto"/>
        <w:jc w:val="both"/>
        <w:rPr>
          <w:kern w:val="2"/>
          <w14:ligatures w14:val="standardContextual"/>
        </w:rPr>
      </w:pPr>
      <w:r>
        <w:t>Beyond these four major regions, smaller volumes are produced in Alaska, Oklahoma, California, Wyoming, and other parts of the country. Most of these are reported at state level. At the same time, the EIA's PADD totals usually exceed the sum of the named basins and fields published within each district. That residual volume reflects production that is real but not separately named at the resolution available in public data. It is this gap between the published total and the named contributors that motivates the residual-node design discussed later in Chapter 5.</w:t>
      </w:r>
    </w:p>
    <w:p w14:paraId="05A43D87" w14:textId="77777777" w:rsidR="006E3777" w:rsidRDefault="006E3777">
      <w:pPr>
        <w:spacing w:after="160" w:line="319" w:lineRule="auto"/>
        <w:jc w:val="both"/>
        <w:rPr>
          <w:kern w:val="2"/>
          <w14:ligatures w14:val="standardContextual"/>
        </w:rPr>
      </w:pPr>
      <w:r>
        <w:t>The basins differ substantively in the crude grade they produce, and that grade matters operationally because each refinery is configured for a particular slate. The starter scenario treats crude as a single commodity, but the framework's commodity dimension on variables admits per-grade decomposition without schema modification. The table below summarises the dominant grade by producing region; refined-product yield modelling — expressing, for example, a refinery's gasoline production as a fixed fraction of its consumption of a particular crude grade — is a natural extension of the same machinery.</w:t>
      </w:r>
    </w:p>
    <w:p w14:paraId="05A43D87" w14:textId="77777777" w:rsidR="006E3777" w:rsidRDefault="006E3777">
      <w:pPr>
        <w:spacing w:after="160" w:line="319" w:lineRule="auto"/>
        <w:jc w:val="both"/>
        <w:rPr>
          <w:kern w:val="2"/>
          <w14:ligatures w14:val="standardContextual"/>
        </w:rPr>
      </w:pPr>
      <w:r>
        <w:t>| Region | Typical crude | API gravity (°) | Sulphur | Notes |</w:t>
      </w:r>
    </w:p>
    <w:p w14:paraId="05A43D87" w14:textId="77777777" w:rsidR="006E3777" w:rsidRDefault="006E3777">
      <w:pPr>
        <w:spacing w:after="160" w:line="319" w:lineRule="auto"/>
        <w:jc w:val="both"/>
        <w:rPr>
          <w:kern w:val="2"/>
          <w14:ligatures w14:val="standardContextual"/>
        </w:rPr>
      </w:pPr>
      <w:r>
        <w:t>|—|—|—|—|—|</w:t>
      </w:r>
    </w:p>
    <w:p w14:paraId="05A43D87" w14:textId="77777777" w:rsidR="006E3777" w:rsidRDefault="006E3777">
      <w:pPr>
        <w:spacing w:after="160" w:line="319" w:lineRule="auto"/>
        <w:jc w:val="both"/>
        <w:rPr>
          <w:kern w:val="2"/>
          <w14:ligatures w14:val="standardContextual"/>
        </w:rPr>
      </w:pPr>
      <w:r>
        <w:t>| Permian (TX/NM) | WTI / WTI Midland | 38–42 | Sweet (~0.4%) | Largest US producer; benchmark grade |</w:t>
      </w:r>
    </w:p>
    <w:p w14:paraId="05A43D87" w14:textId="77777777" w:rsidR="006E3777" w:rsidRDefault="006E3777">
      <w:pPr>
        <w:spacing w:after="160" w:line="319" w:lineRule="auto"/>
        <w:jc w:val="both"/>
        <w:rPr>
          <w:kern w:val="2"/>
          <w14:ligatures w14:val="standardContextual"/>
        </w:rPr>
      </w:pPr>
      <w:r>
        <w:t>| Bakken (ND/MT) | Bakken Light | ~42 | Sweet (~0.2%) | Light tight oil |</w:t>
      </w:r>
    </w:p>
    <w:p w14:paraId="05A43D87" w14:textId="77777777" w:rsidR="006E3777" w:rsidRDefault="006E3777">
      <w:pPr>
        <w:spacing w:after="160" w:line="319" w:lineRule="auto"/>
        <w:jc w:val="both"/>
        <w:rPr>
          <w:kern w:val="2"/>
          <w14:ligatures w14:val="standardContextual"/>
        </w:rPr>
      </w:pPr>
      <w:r>
        <w:t>| Eagle Ford (TX) | Eagle Ford Light + condensate | 40–65 | Sweet | Light to very light / condensate |</w:t>
      </w:r>
    </w:p>
    <w:p w14:paraId="05A43D87" w14:textId="77777777" w:rsidR="006E3777" w:rsidRDefault="006E3777">
      <w:pPr>
        <w:spacing w:after="160" w:line="319" w:lineRule="auto"/>
        <w:jc w:val="both"/>
        <w:rPr>
          <w:kern w:val="2"/>
          <w14:ligatures w14:val="standardContextual"/>
        </w:rPr>
      </w:pPr>
      <w:r>
        <w:t>| Gulf of America | Mars, Poseidon, Thunder Horse blends | 28–33 | Medium-sour | Offshore deepwater |</w:t>
      </w:r>
    </w:p>
    <w:p w14:paraId="05A43D87" w14:textId="77777777" w:rsidR="006E3777" w:rsidRDefault="006E3777">
      <w:pPr>
        <w:spacing w:after="160" w:line="319" w:lineRule="auto"/>
        <w:jc w:val="both"/>
        <w:rPr>
          <w:kern w:val="2"/>
          <w14:ligatures w14:val="standardContextual"/>
        </w:rPr>
      </w:pPr>
      <w:r>
        <w:t>| Alaska North Slope | ANS | ~31 | Medium-sour (~0.9%) | Pipeline to TAPS / Valdez |</w:t>
      </w:r>
    </w:p>
    <w:p w14:paraId="05A43D87" w14:textId="77777777" w:rsidR="006E3777" w:rsidRDefault="006E3777">
      <w:pPr>
        <w:spacing w:after="160" w:line="319" w:lineRule="auto"/>
        <w:jc w:val="both"/>
        <w:rPr>
          <w:kern w:val="2"/>
          <w14:ligatures w14:val="standardContextual"/>
        </w:rPr>
      </w:pPr>
      <w:r>
        <w:t>| California (onshore) | Various heavy grades | 13–25 | Sour | Demands cokers / hydrocrackers |</w:t>
      </w:r>
    </w:p>
    <w:p w14:paraId="05A43D87" w14:textId="77777777" w:rsidR="006E3777" w:rsidRDefault="006E3777">
      <w:pPr>
        <w:spacing w:after="160" w:line="319" w:lineRule="auto"/>
        <w:jc w:val="both"/>
        <w:rPr>
          <w:kern w:val="2"/>
          <w14:ligatures w14:val="standardContextual"/>
        </w:rPr>
      </w:pPr>
      <w:r>
        <w:t>| Oklahoma (conv.) | WTI-like / regional | ~38 | Sweet | Mature conventional |</w:t>
      </w:r>
    </w:p>
    <w:p w14:paraId="05A43D87" w14:textId="77777777" w:rsidR="006E3777" w:rsidRDefault="006E3777">
      <w:pPr>
        <w:spacing w:after="160" w:line="319" w:lineRule="auto"/>
        <w:jc w:val="both"/>
        <w:rPr>
          <w:kern w:val="2"/>
          <w14:ligatures w14:val="standardContextual"/>
        </w:rPr>
      </w:pPr>
      <w:r>
        <w:t>| Wyoming / Rockies | Mixed (light to heavy) | varies | Mixed | Rockies aggregator at Guernsey hub |</w:t>
      </w:r>
    </w:p>
    <w:p w14:paraId="36BCFB68" w14:textId="77777777" w:rsidR="008E1B31" w:rsidRDefault="00000000">
      <w:pPr>
        <w:pStyle w:val="Heading2"/>
      </w:pPr>
      <w:r>
        <w:t>3.4 The transport network</w:t>
      </w:r>
    </w:p>
    <w:p w14:paraId="745AA1E1" w14:textId="77777777" w:rsidR="00BD3161" w:rsidRDefault="00BD3161">
      <w:pPr>
        <w:spacing w:after="160" w:line="319" w:lineRule="auto"/>
        <w:jc w:val="both"/>
        <w:rPr>
          <w:kern w:val="2"/>
          <w14:ligatures w14:val="standardContextual"/>
        </w:rPr>
      </w:pPr>
      <w:r>
        <w:t xml:space="preserve">The transport network links producing regions to refining centres, storage hubs, and export terminals. At a high level the U.S. network is dense, and most production areas sit within a few hundred miles of major refining or storage infrastructure. But the pipeline-by-pipeline structure still matters, especially when the question is not simply where oil moves in aggregate, but which parts of that movement are directly </w:t>
      </w:r>
      <w:proofErr w:type="gramStart"/>
      <w:r>
        <w:t>observed</w:t>
      </w:r>
      <w:proofErr w:type="gramEnd"/>
      <w:r>
        <w:t xml:space="preserve"> and which remain hidden in public data.</w:t>
      </w:r>
    </w:p>
    <w:p w14:paraId="18D97736" w14:textId="77777777" w:rsidR="00BD3161" w:rsidRDefault="00BD3161">
      <w:pPr>
        <w:spacing w:after="160" w:line="319" w:lineRule="auto"/>
        <w:jc w:val="both"/>
        <w:rPr>
          <w:kern w:val="2"/>
          <w14:ligatures w14:val="standardContextual"/>
        </w:rPr>
      </w:pPr>
      <w:r>
        <w:rPr>
          <w:b/>
          <w:bCs/>
        </w:rPr>
        <w:t>Permian outbound.</w:t>
      </w:r>
      <w:r>
        <w:t xml:space="preserve"> The Permian's roughly six-million-barrel-per-day output leaves the basin mainly through three origin terminals: Midland, the largest and most central; Wink, further to the southwest; and Crane, to the southeast. From those terminals, multiple long-haul pipelines move crude toward the Gulf Coast, including Gray Oak, Cactus II, EPIC, Wink-to-Webster, and others. Public data captures the basin's production and the receipts at major Gulf Coast destinations, but it does not report the split across individual pipelines. This is the clearest example in the thesis of a flow that is physically real and operationally important, yet unobserved at the per-edge level. It is therefore the canonical latent-flow problem used throughout the framework design.</w:t>
      </w:r>
    </w:p>
    <w:p w14:paraId="36BCFB6B" w14:textId="77777777" w:rsidR="008E1B31" w:rsidRDefault="00000000">
      <w:pPr>
        <w:spacing w:after="160" w:line="320" w:lineRule="auto"/>
        <w:jc w:val="both"/>
      </w:pPr>
      <w:r>
        <w:rPr>
          <w:b/>
          <w:bCs/>
        </w:rPr>
        <w:lastRenderedPageBreak/>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000000">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directions: north from Texas (Seaway north-bound), south to the Gulf (Seaway south-bound, </w:t>
      </w:r>
      <w:proofErr w:type="spellStart"/>
      <w:r>
        <w:t>MarketLink</w:t>
      </w:r>
      <w:proofErr w:type="spellEnd"/>
      <w:r>
        <w:t xml:space="preserve">, Keystone XL, Cushing </w:t>
      </w:r>
      <w:proofErr w:type="spellStart"/>
      <w:r>
        <w:t>Marketlink</w:t>
      </w:r>
      <w:proofErr w:type="spellEnd"/>
      <w:r>
        <w:t>),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4EE0F650" w14:textId="77777777" w:rsidR="00BD3161" w:rsidRDefault="00BD3161">
      <w:pPr>
        <w:spacing w:after="160" w:line="319" w:lineRule="auto"/>
        <w:jc w:val="both"/>
        <w:rPr>
          <w:kern w:val="2"/>
          <w14:ligatures w14:val="standardContextual"/>
        </w:rPr>
      </w:pPr>
      <w:r>
        <w:rPr>
          <w:b/>
          <w:bCs/>
        </w:rPr>
        <w:t>Inter-PADD flows.</w:t>
      </w:r>
      <w:r>
        <w:t xml:space="preserve"> The EIA reports crude movements between PADDs at the level of PADD pairs, such as PADD 2 to PADD 3 or PADD 3 to PADD 1, without specifying which individual pipelines carry those volumes. The framework's inter-PADD aggregate nodes are a direct response to that reporting choice. They give the partition structure a same-type child to attach to while leaving the underlying per-pipeline allocation latent for future optimisation or forecasting work.</w:t>
      </w:r>
    </w:p>
    <w:p w14:paraId="023B1514" w14:textId="77777777" w:rsidR="00BD3161" w:rsidRDefault="00BD3161">
      <w:pPr>
        <w:spacing w:after="160" w:line="319" w:lineRule="auto"/>
        <w:jc w:val="both"/>
        <w:rPr>
          <w:kern w:val="2"/>
          <w14:ligatures w14:val="standardContextual"/>
        </w:rPr>
      </w:pPr>
      <w:r>
        <w:rPr>
          <w:b/>
          <w:bCs/>
        </w:rPr>
        <w:t>The Gulf Coast export complex.</w:t>
      </w:r>
      <w:r>
        <w:t xml:space="preserve"> By 2024, roughly 4 mbd of U.S. crude was leaving the country through Gulf Coast export terminals. The main centres are the Houston complex, the Corpus Christi cluster, Nederland in southeast Texas, LOOP in offshore Louisiana, and St. James in Louisiana. Some of these are themselves groups of terminals operated by different companies. Throughput can often be observed at terminal level, but the </w:t>
      </w:r>
      <w:proofErr w:type="gramStart"/>
      <w:r>
        <w:t>final destination</w:t>
      </w:r>
      <w:proofErr w:type="gramEnd"/>
      <w:r>
        <w:t xml:space="preserve"> of those exports is usually reported at country level rather than terminal-destination level. This creates another multi-resolution mismatch: the physical exit point is known at one level, while the destination pattern is known only at a </w:t>
      </w:r>
      <w:proofErr w:type="gramStart"/>
      <w:r>
        <w:t>coarser</w:t>
      </w:r>
      <w:proofErr w:type="gramEnd"/>
      <w:r>
        <w:t xml:space="preserve"> one.</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669280" cy="3320578"/>
            <wp:docPr id="4" name="Picture 4"/>
            <wp:cNvGraphicFramePr>
              <a:graphicFrameLocks noChangeAspect="1"/>
            </wp:cNvGraphicFramePr>
            <a:graphic>
              <a:graphicData uri="http://schemas.openxmlformats.org/drawingml/2006/picture">
                <pic:pic>
                  <pic:nvPicPr>
                    <pic:cNvPr id="0" name="fig_transport_network.png"/>
                    <pic:cNvPicPr/>
                  </pic:nvPicPr>
                  <pic:blipFill>
                    <a:blip r:embed="rId14"/>
                    <a:stretch>
                      <a:fillRect/>
                    </a:stretch>
                  </pic:blipFill>
                  <pic:spPr>
                    <a:xfrm>
                      <a:off x="0" y="0"/>
                      <a:ext cx="5669280" cy="3320578"/>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3 — U.S. crude oil transport network as instantiated in the framework. Production basins (green) feed gathering systems (light blue) and origin terminals (light green). Pipelines (grey lines) connect basins, hubs, and refineries (red). Storage hubs (dark blue) sit at the major junctions; SPR sites (mustard) cluster along the Gulf coast. Export terminals (orange) and import terminals (purple) sit on the boundary of the modelled system.</w:t>
      </w:r>
    </w:p>
    <w:p w14:paraId="36BCFB6F" w14:textId="77777777" w:rsidR="008E1B31" w:rsidRDefault="00000000">
      <w:pPr>
        <w:pStyle w:val="Heading2"/>
      </w:pPr>
      <w:r>
        <w:t>3.5 Refining and consumption</w:t>
      </w:r>
    </w:p>
    <w:p w14:paraId="40A0D0E4" w14:textId="77777777" w:rsidR="00BD3161" w:rsidRDefault="00BD3161">
      <w:pPr>
        <w:spacing w:after="160" w:line="319" w:lineRule="auto"/>
        <w:jc w:val="both"/>
        <w:rPr>
          <w:kern w:val="2"/>
          <w14:ligatures w14:val="standardContextual"/>
        </w:rPr>
      </w:pPr>
      <w:r>
        <w:t>U.S. refining capacity is roughly 18 mbd, while actual crude runs typically fall in the 15–17 mbd range. Capacity is highly concentrated geographically. PADD 3 on the Gulf Coast accounts for around half of total U.S. refining capacity, and within that district a relatively small number of large coastal refineries dominate. PADD 2 in the Midwest is the next largest refining centre, with facilities that process a mix of domestic and Canadian crude and, in several cases, are configured specifically for heavier Canadian grades.</w:t>
      </w:r>
    </w:p>
    <w:p w14:paraId="549B0AD3" w14:textId="77777777" w:rsidR="00BD3161" w:rsidRDefault="00BD3161">
      <w:pPr>
        <w:spacing w:after="160" w:line="319" w:lineRule="auto"/>
        <w:jc w:val="both"/>
        <w:rPr>
          <w:kern w:val="2"/>
          <w14:ligatures w14:val="standardContextual"/>
        </w:rPr>
      </w:pPr>
      <w:r>
        <w:t>Refineries differ in several ways that matter operationally: throughput capacity, process configuration, complexity, and crude slate. Configuration refers to the units installed on site, such as crude distillation, coking, hydrocracking, fluid catalytic cracking, alkylation, and reforming. Complexity is often summarised through the Nelson Complexity Index. Crude slate refers to the range of grades the refinery can run efficiently. That flexibility is limited and economically important. A refinery optimised for heavy sour Canadian crude cannot simply switch to light sweet Permian barrels without consequences for operations and yields.</w:t>
      </w:r>
    </w:p>
    <w:p w14:paraId="305EF0E1" w14:textId="77777777" w:rsidR="00BD3161" w:rsidRDefault="00BD3161">
      <w:pPr>
        <w:spacing w:after="160" w:line="319" w:lineRule="auto"/>
        <w:jc w:val="both"/>
        <w:rPr>
          <w:kern w:val="2"/>
          <w14:ligatures w14:val="standardContextual"/>
        </w:rPr>
      </w:pPr>
      <w:r>
        <w:lastRenderedPageBreak/>
        <w:t>Within the framework, refineries are represented as nodes with three main variables: crude consumption, inventory, and a balancing item. Consumption corresponds to refinery throughput and is observed either at refining-district level or, in some cases, at facility level. Inventory is generally available at PADD level. The balancing item absorbs process losses and reporting residuals. Product slates and the detailed transformation of crude into refined products are outside the scope of the first implementation, which treats crude oil as a single commodity.</w:t>
      </w:r>
    </w:p>
    <w:p w14:paraId="36BCFB73" w14:textId="77777777" w:rsidR="008E1B31" w:rsidRDefault="00000000">
      <w:pPr>
        <w:pStyle w:val="Heading2"/>
      </w:pPr>
      <w:r>
        <w:t>3.6 What the framework must accommodate</w:t>
      </w:r>
    </w:p>
    <w:p w14:paraId="015A910F" w14:textId="77777777" w:rsidR="00BD3161" w:rsidRDefault="00BD3161">
      <w:pPr>
        <w:spacing w:after="160" w:line="319" w:lineRule="auto"/>
        <w:jc w:val="both"/>
        <w:rPr>
          <w:kern w:val="2"/>
          <w14:ligatures w14:val="standardContextual"/>
        </w:rPr>
      </w:pPr>
      <w:r>
        <w:t xml:space="preserve">Taken together, the physical and reporting structure described above leads to a </w:t>
      </w:r>
      <w:proofErr w:type="gramStart"/>
      <w:r>
        <w:t>fairly specific</w:t>
      </w:r>
      <w:proofErr w:type="gramEnd"/>
      <w:r>
        <w:t xml:space="preserve"> set of requirements for the framework:</w:t>
      </w:r>
    </w:p>
    <w:p w14:paraId="36BCFB75" w14:textId="77777777" w:rsidR="008E1B31" w:rsidRDefault="00000000">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000000">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000000">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000000">
      <w:pPr>
        <w:spacing w:after="160" w:line="320" w:lineRule="auto"/>
        <w:jc w:val="both"/>
      </w:pPr>
      <w:r>
        <w:rPr>
          <w:b/>
          <w:bCs/>
        </w:rPr>
        <w:t>Slow structural evolution.</w:t>
      </w:r>
      <w:r>
        <w:t xml:space="preserve"> The pipeline network changes deliberately over time (</w:t>
      </w:r>
      <w:proofErr w:type="spellStart"/>
      <w:r>
        <w:t>Capline</w:t>
      </w:r>
      <w:proofErr w:type="spellEnd"/>
      <w:r>
        <w:t xml:space="preserv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000000">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40BBD6F5" w14:textId="77777777" w:rsidR="00BD3161" w:rsidRDefault="00BD3161">
      <w:pPr>
        <w:spacing w:after="160" w:line="319" w:lineRule="auto"/>
        <w:jc w:val="both"/>
        <w:rPr>
          <w:kern w:val="2"/>
          <w14:ligatures w14:val="standardContextual"/>
        </w:rPr>
      </w:pPr>
      <w:r>
        <w:t xml:space="preserve">These requirements are not optional add-ons. They follow directly from the way the system operates and from the way the data is </w:t>
      </w:r>
      <w:proofErr w:type="gramStart"/>
      <w:r>
        <w:t>actually published</w:t>
      </w:r>
      <w:proofErr w:type="gramEnd"/>
      <w:r>
        <w:t>. The next chapter responds to them by introducing the axioms and corollaries that structure the framework.</w:t>
      </w:r>
    </w:p>
    <w:p w14:paraId="36BCFB7B" w14:textId="77777777" w:rsidR="008E1B31" w:rsidRDefault="00000000">
      <w:pPr>
        <w:pStyle w:val="Heading1"/>
        <w:pageBreakBefore/>
      </w:pPr>
      <w:r>
        <w:lastRenderedPageBreak/>
        <w:t>4. Design Principles</w:t>
      </w:r>
    </w:p>
    <w:p w14:paraId="7DCD11D4" w14:textId="77777777" w:rsidR="00BD3161" w:rsidRDefault="00BD3161">
      <w:pPr>
        <w:spacing w:after="160" w:line="319" w:lineRule="auto"/>
        <w:jc w:val="both"/>
        <w:rPr>
          <w:kern w:val="2"/>
          <w14:ligatures w14:val="standardContextual"/>
        </w:rPr>
      </w:pPr>
      <w:r>
        <w:t xml:space="preserve">This chapter sets out the six axioms that underpin the framework, together with the corollaries that follow from them once the variables collection is populated correctly. Of these, Axiom 3 does the heaviest architectural work: by treating the variables collection as the single source of truth, it makes edges, hierarchy, and node status all derivable rather than separately stored. Each principle is presented in the same way. I first state the rule, then explain the alternative that was considered seriously during </w:t>
      </w:r>
      <w:proofErr w:type="gramStart"/>
      <w:r>
        <w:t>design, and</w:t>
      </w:r>
      <w:proofErr w:type="gramEnd"/>
      <w:r>
        <w:t xml:space="preserve"> finally discuss what that choice allows the framework to do.</w:t>
      </w:r>
    </w:p>
    <w:p w14:paraId="24E7C1A9" w14:textId="77777777" w:rsidR="00BD3161" w:rsidRDefault="00BD3161">
      <w:pPr>
        <w:spacing w:after="160" w:line="319" w:lineRule="auto"/>
        <w:jc w:val="both"/>
        <w:rPr>
          <w:kern w:val="2"/>
          <w14:ligatures w14:val="standardContextual"/>
        </w:rPr>
      </w:pPr>
      <w:r>
        <w:t>Taken together, the axioms and corollaries define the consistency properties claimed as the contribution of this thesis: an asset-centric representation that can handle multi-resolution data, preserve provenance through the resolution chain, and reject double counting at insertion time rather than only after the fact. Their order is deliberate. The discussion begins with the representational commitment on which the others depend and then moves outward to the rules that make that commitment workable in practice.</w:t>
      </w:r>
    </w:p>
    <w:p w14:paraId="36BCFB7E" w14:textId="77777777" w:rsidR="008E1B31" w:rsidRDefault="00000000">
      <w:pPr>
        <w:pStyle w:val="Heading2"/>
      </w:pPr>
      <w:r>
        <w:t>4.1 Axiom 1: Asset-centric representation</w:t>
      </w:r>
    </w:p>
    <w:p w14:paraId="25BA68AB" w14:textId="77777777" w:rsidR="00BD3161" w:rsidRDefault="00BD3161">
      <w:pPr>
        <w:spacing w:after="160" w:line="319" w:lineRule="auto"/>
        <w:jc w:val="both"/>
        <w:rPr>
          <w:kern w:val="2"/>
          <w14:ligatures w14:val="standardContextual"/>
        </w:rPr>
      </w:pPr>
      <w:r>
        <w:t>The first design commitment is that every physical asset in the network is represented as a node with its own inventory and mass balance. Pipelines, vessels, terminals, refineries, gathering systems, and storage hubs are therefore treated as first-class nodes rather than as properties attached to the edges between locations. The main alternative considered during design was a location-centric representation, where nodes denote places such as basins, ports, or refining centres and the assets connecting them sit on the edges. Both approaches are common in the literature, but the choice matters more than it may appear at first.</w:t>
      </w:r>
    </w:p>
    <w:p w14:paraId="24253770" w14:textId="77777777" w:rsidR="00BD3161" w:rsidRDefault="00BD3161">
      <w:pPr>
        <w:spacing w:after="160" w:line="319" w:lineRule="auto"/>
        <w:jc w:val="both"/>
        <w:rPr>
          <w:kern w:val="2"/>
          <w14:ligatures w14:val="standardContextual"/>
        </w:rPr>
      </w:pPr>
      <w:r>
        <w:t>In a location-centric model, a pipeline is usually treated as an edge with attributes such as length, capacity, transit time, and operating status. That works well in many settings. The difficulty in crude oil logistics is that the crude physically inside the pipeline at a given moment—the line-fill—is not a negligible detail. It becomes hidden state that must be reconstructed indirectly from transit time and recent flows. For a large trunk line, this can amount to several days of throughput and may be comparable to a regional refinery's weekly crude runs. When throughput changes, when maintenance shuts the line, or when a storm disrupts operations, the line-fill changes as well. Those changes can show up in regional inventory statistics. If the pipeline is only an edge, that movement is obscured. If the pipeline is a node, it becomes visible and accountable.</w:t>
      </w:r>
    </w:p>
    <w:p w14:paraId="6AF106BC" w14:textId="77777777" w:rsidR="00BD3161" w:rsidRDefault="00BD3161">
      <w:pPr>
        <w:spacing w:after="160" w:line="319" w:lineRule="auto"/>
        <w:jc w:val="both"/>
        <w:rPr>
          <w:kern w:val="2"/>
          <w14:ligatures w14:val="standardContextual"/>
        </w:rPr>
      </w:pPr>
      <w:r>
        <w:t>The same point applies even more strongly to vessels. A VLCC carrying two million barrels from Rotterdam to Houston is, for the duration of that voyage, a floating storage asset. During periods of contango, when holding crude in transit can make economic sense, that role becomes even more obvious. A representation that hides the cargo inside an edge attribute misses a part of the system that is both physically real and commercially important.</w:t>
      </w:r>
    </w:p>
    <w:p w14:paraId="2176E791" w14:textId="77777777" w:rsidR="00BD3161" w:rsidRDefault="00BD3161">
      <w:pPr>
        <w:spacing w:after="160" w:line="319" w:lineRule="auto"/>
        <w:jc w:val="both"/>
        <w:rPr>
          <w:kern w:val="2"/>
          <w14:ligatures w14:val="standardContextual"/>
        </w:rPr>
      </w:pPr>
      <w:r>
        <w:lastRenderedPageBreak/>
        <w:t>The asset-centric commitment is therefore straightforward: each pipeline, vessel, terminal, and comparable operational asset is represented as a node with its own stock variable, its own mass balance, and, where relevant, its own observation series. Edges then represent what they physically are—directed movements from one asset to another. They carry volume, but they do not hold it.</w:t>
      </w:r>
    </w:p>
    <w:p w14:paraId="36BCFB83" w14:textId="77777777" w:rsidR="008E1B31" w:rsidRDefault="00000000">
      <w:pPr>
        <w:spacing w:after="160" w:line="320" w:lineRule="auto"/>
        <w:jc w:val="both"/>
      </w:pPr>
      <w:r>
        <w:rPr>
          <w:b/>
          <w:bCs/>
        </w:rPr>
        <w:t>Example.</w:t>
      </w:r>
      <w:r>
        <w:t xml:space="preserve"> When the </w:t>
      </w:r>
      <w:proofErr w:type="spellStart"/>
      <w:r>
        <w:t>Capline</w:t>
      </w:r>
      <w:proofErr w:type="spellEnd"/>
      <w:r>
        <w:t xml:space="preserv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090A82C9" w14:textId="77777777" w:rsidR="008E1B31" w:rsidRDefault="00000000">
      <w:pPr>
        <w:spacing w:after="160" w:line="320" w:lineRule="auto"/>
        <w:jc w:val="both"/>
      </w:pPr>
      <w:r>
        <w:t>The same point holds quantitatively in the live implementation. EIA's stock identity for PADD 5 includes commercial stocks, the Strategic Petroleum Reserve, and an in-transit allocation. The identity consistently overshoots the sum of named commercial hubs and refinery stocks by roughly six million barrels, and that residual is crude moving aboard Jones Act tankers from the Gulf Coast to West Coast refineries; EIA allocates the volume to PADD 5 as destination-based ending stocks. The framework gives the volume a home. PADD 5's inter-PADD pipeline corridor node from PADD 3 already exists with TS-bound flow variables, so the residual lands there as line-fill inventory, closing PADD 5's stock partition exactly. A location-centric model, where the corridor is an edge attribute rather than a node, would have nowhere to put those barrels.</w:t>
      </w:r>
    </w:p>
    <w:p w14:paraId="090A82C9" w14:textId="77777777" w:rsidR="008E1B31" w:rsidRDefault="00000000">
      <w:pPr>
        <w:spacing w:after="160" w:line="320" w:lineRule="auto"/>
        <w:jc w:val="both"/>
      </w:pPr>
      <w:r>
        <w:t>The same asset-centric framing pays off when richer data sources are available. Genscape, now part of Wood Mackenzie, reports daily tank-by-tank inventory levels at the Cushing hub from infrared satellite imagery — roughly twenty individual storage tanks resolved rather than a single PADD-2 aggregate. OilX and Kpler track vessel movements globally through AIS feeds and shipping intelligence, resolving in-transit cargoes by ship, route, and grade rather than as a monthly net inflow. IIR Energy maintains a refinery operations database with per-unit turnaround schedules, capacity utilisation, and crude slate, at the facility and process-unit resolution that EIA only publishes for the PADD 3 refining district at most. S&amp;P Global Commodity Insights collects per-pipeline shipper nominations and contract-level pricing detail. In the asset-centric representation each of these data sources binds to the node it describes; in a location-centric representation, where pipelines and tanks are edge attributes, none of them would have a natural home.</w:t>
      </w:r>
    </w:p>
    <w:p w14:paraId="36BCFB84" w14:textId="77777777" w:rsidR="008E1B31" w:rsidRDefault="00000000">
      <w:pPr>
        <w:pStyle w:val="Heading2"/>
      </w:pPr>
      <w:r>
        <w:t>4.2 Axiom 2: Stable topology via zero-flow edges</w:t>
      </w:r>
    </w:p>
    <w:p w14:paraId="4F1DB721" w14:textId="77777777" w:rsidR="00BD3161" w:rsidRDefault="00BD3161">
      <w:pPr>
        <w:spacing w:after="160" w:line="319" w:lineRule="auto"/>
        <w:jc w:val="both"/>
        <w:rPr>
          <w:kern w:val="2"/>
          <w14:ligatures w14:val="standardContextual"/>
        </w:rPr>
      </w:pPr>
      <w:r>
        <w:t>The second commitment is that the graph's adjacency matrix remains fixed over time. Every edge that could carry flow under the modelled topology is defined once and remains part of the graph at every timestep, whether it is currently active or not. An inactive edge therefore carries zero flow rather than disappearing from the structure.</w:t>
      </w:r>
    </w:p>
    <w:p w14:paraId="246F8DC5" w14:textId="77777777" w:rsidR="00BD3161" w:rsidRDefault="00BD3161">
      <w:pPr>
        <w:spacing w:after="160" w:line="319" w:lineRule="auto"/>
        <w:jc w:val="both"/>
        <w:rPr>
          <w:kern w:val="2"/>
          <w14:ligatures w14:val="standardContextual"/>
        </w:rPr>
      </w:pPr>
      <w:r>
        <w:t xml:space="preserve">The main alternative is a time-varying topology in which edges appear and disappear as physical or contractual relationships change. That can look appealing if the graph is interpreted literally as a record of which flows are active at a particular moment, and many dynamic graph methods in machine learning are built around that idea. This thesis rejects that approach for two reasons. First, most of the graph neural network architectures that would naturally consume this representation—such as GCN, GAT, </w:t>
      </w:r>
      <w:proofErr w:type="spellStart"/>
      <w:r>
        <w:t>GraphSAGE</w:t>
      </w:r>
      <w:proofErr w:type="spellEnd"/>
      <w:r>
        <w:t>, DCRNN, STGCN, and TGN—work much more naturally with a stable adjacency structure. Second, keeping topology fixed creates a clean separation between structural change and operational change. Structural change is rare and deliberate, and it should trigger schema review. Operational change is frequent and should be reflected only in the values attached to existing edges.</w:t>
      </w:r>
    </w:p>
    <w:p w14:paraId="773E1BCA" w14:textId="77777777" w:rsidR="00BD3161" w:rsidRDefault="00BD3161">
      <w:pPr>
        <w:spacing w:after="160" w:line="319" w:lineRule="auto"/>
        <w:jc w:val="both"/>
        <w:rPr>
          <w:kern w:val="2"/>
          <w14:ligatures w14:val="standardContextual"/>
        </w:rPr>
      </w:pPr>
      <w:r>
        <w:lastRenderedPageBreak/>
        <w:t>The zero-flow convention should therefore be understood as a modelling discipline rather than a physical claim. A pipeline shut for maintenance still exists as a node, and the edges connected to it still exist as part of the topology; their values are simply zero during the outage. A reversible line is represented by two directed edges in opposite directions, either of which may be zero at a given time. The topology remains unchanged. Only the edge values move.</w:t>
      </w:r>
    </w:p>
    <w:p w14:paraId="36BCFB88" w14:textId="77777777" w:rsidR="008E1B31" w:rsidRDefault="00000000">
      <w:pPr>
        <w:spacing w:after="160" w:line="320" w:lineRule="auto"/>
        <w:jc w:val="both"/>
      </w:pPr>
      <w:r>
        <w:rPr>
          <w:b/>
          <w:bCs/>
        </w:rPr>
        <w:t>Example.</w:t>
      </w:r>
      <w:r>
        <w:t xml:space="preserve"> The </w:t>
      </w:r>
      <w:proofErr w:type="spellStart"/>
      <w:r>
        <w:t>Capline</w:t>
      </w:r>
      <w:proofErr w:type="spellEnd"/>
      <w:r>
        <w:t xml:space="preserve"> reversal mentioned above illustrates the rule. Both directed edges, north-bound and south-bound, exist throughout the modelled period. From 1944 (when </w:t>
      </w:r>
      <w:proofErr w:type="spellStart"/>
      <w:r>
        <w:t>Capline</w:t>
      </w:r>
      <w:proofErr w:type="spellEnd"/>
      <w:r>
        <w:t xml:space="preserve"> opened) through 2021 the south-bound flow was </w:t>
      </w:r>
      <w:proofErr w:type="gramStart"/>
      <w:r>
        <w:t>active</w:t>
      </w:r>
      <w:proofErr w:type="gramEnd"/>
      <w:r>
        <w:t xml:space="preserve"> and the north-bound flow was zero. From 2022 onwards the relationship flipped: the north-bound flow lit up, the south-bound went to zero. No structural rewrite of the graph was required, and no GNN architecture that depends on a stable adjacency matrix needed special handling.</w:t>
      </w:r>
    </w:p>
    <w:p w14:paraId="05A43D87" w14:textId="77777777" w:rsidR="006E3777" w:rsidRDefault="006E3777">
      <w:pPr>
        <w:spacing w:after="160" w:line="319" w:lineRule="auto"/>
        <w:jc w:val="both"/>
        <w:rPr>
          <w:kern w:val="2"/>
          <w14:ligatures w14:val="standardContextual"/>
        </w:rPr>
      </w:pPr>
      <w:r>
        <w:t>The stable adjacency has a direct consequence for the downstream LP consumer of Chapter 8. Because every flow variable exists at every timestep, the LP's coefficient matrix is fixed across the modelled horizon; the only thing that changes between snapshots is the right-hand side (observed values) and the upper bounds (capacities, where they are time-versioned). Topology changes — Capline reversals, Bakken cross-state additions — are absorbed as data events: zero-flow becomes positive-flow in the active direction, or a previously latent edge carries a value once data lands on it, with no LP rebuild required.</w:t>
      </w:r>
    </w:p>
    <w:p w14:paraId="36BCFB89" w14:textId="77777777" w:rsidR="008E1B31" w:rsidRDefault="00000000">
      <w:pPr>
        <w:pStyle w:val="Heading2"/>
      </w:pPr>
      <w:r>
        <w:t>4.3 Corollary A: Universal mass balance with balancing item</w:t>
      </w:r>
    </w:p>
    <w:p w14:paraId="1EABC443" w14:textId="77777777" w:rsidR="00BD3161" w:rsidRDefault="00BD3161">
      <w:pPr>
        <w:spacing w:after="160" w:line="319" w:lineRule="auto"/>
        <w:jc w:val="both"/>
        <w:rPr>
          <w:kern w:val="2"/>
          <w14:ligatures w14:val="standardContextual"/>
        </w:rPr>
      </w:pPr>
      <w:r>
        <w:t>The next commitment is that every physical node satisfies the mass-balance equation:</w:t>
      </w:r>
    </w:p>
    <w:p w14:paraId="36BCFB8B"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B8C" w14:textId="77777777" w:rsidR="008E1B31" w:rsidRDefault="00000000">
      <w:pPr>
        <w:spacing w:after="160" w:line="320" w:lineRule="auto"/>
        <w:jc w:val="both"/>
      </w:pPr>
      <w:r>
        <w:t xml:space="preserve">where for node </w:t>
      </w:r>
      <w:proofErr w:type="spellStart"/>
      <w:r>
        <w:t>i</w:t>
      </w:r>
      <w:proofErr w:type="spellEnd"/>
      <w:r>
        <w:t xml:space="preserve">, commodity g, and time t, ΔS denotes the change in stock, P is production, C is consumption, </w:t>
      </w:r>
      <w:proofErr w:type="spellStart"/>
      <w:r>
        <w:t>F_in</w:t>
      </w:r>
      <w:proofErr w:type="spellEnd"/>
      <w:r>
        <w:t xml:space="preserve"> is total inflow from connected nodes, </w:t>
      </w:r>
      <w:proofErr w:type="spellStart"/>
      <w:r>
        <w:t>F_out</w:t>
      </w:r>
      <w:proofErr w:type="spellEnd"/>
      <w:r>
        <w:t xml:space="preserve">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36BCFB8C" w14:textId="77777777" w:rsidR="008E1B31" w:rsidRDefault="00000000">
      <w:pPr>
        <w:spacing w:after="160" w:line="320" w:lineRule="auto"/>
        <w:jc w:val="both"/>
      </w:pPr>
      <w:proofErr w:type="spellStart"/>
      <w:proofErr w:type="spellEnd"/>
      <w:proofErr w:type="spellStart"/>
      <w:proofErr w:type="spellEnd"/>
      <w:proofErr w:type="spellStart"/>
      <w:proofErr w:type="spellEnd"/>
      <w:r>
        <w:t>Mass balance is enforced at physical assets — refineries, pipelines, terminals, basins, gathering systems, storage hubs, and the boundary nodes that represent foreign supply and foreign export destinations. It is not enforced at abstract assets. Abstract assets (PADD views, basin views, refining-district views, the stock-decomposition aggregates of Section 5.4) are aggregation views over the physical layer rather than entities that move barrels of their own. Their P, C, I, O, B, and S variables are either roll-ups — defined as the sum of the physical constituents' corresponding variables under Axiom 3 — or independently TS-observed at the aggregate level when EIA publishes a series for the aggregate directly. When both forms are available, the comparison between the observed aggregate value and the sum over its constituents is a cross-check rather than a new constraint; the dual role of formula_inputs that this implies is set out in Section 4.8. Mass balance at observational aggregates is a consequence of mass balance at physical assets plus the aggregation formulas, not a separate axiom.</w:t>
      </w:r>
    </w:p>
    <w:p w14:paraId="570118F8" w14:textId="77777777" w:rsidR="00BD3161" w:rsidRDefault="00BD3161">
      <w:pPr>
        <w:spacing w:after="160" w:line="319" w:lineRule="auto"/>
        <w:jc w:val="both"/>
        <w:rPr>
          <w:kern w:val="2"/>
          <w14:ligatures w14:val="standardContextual"/>
        </w:rPr>
      </w:pPr>
      <w:r>
        <w:t>The obvious alternatives are either to derive B only as a residual at query time or to treat any non-zero residual as a data-quality problem that should be removed before loading the data. In crude oil logistics, both approaches are unsatisfactory. Reporting frictions are present throughout the system, from custody-transfer timing to refinery process losses, vessel measurement differences, and stock-accounting mismatches. If the residual is hidden or discarded, those discrepancies do not disappear; they are simply pushed into other quantities downstream. The IEA's practice of publishing an explicit balancing item reflects exactly this point. The residual is not merely noise. It carries information about where the reporting system is failing to close cleanly.</w:t>
      </w:r>
    </w:p>
    <w:p w14:paraId="4D50BFBC" w14:textId="77777777" w:rsidR="00BD3161" w:rsidRDefault="00BD3161">
      <w:pPr>
        <w:spacing w:after="160" w:line="319" w:lineRule="auto"/>
        <w:jc w:val="both"/>
        <w:rPr>
          <w:kern w:val="2"/>
          <w14:ligatures w14:val="standardContextual"/>
        </w:rPr>
      </w:pPr>
      <w:r>
        <w:t xml:space="preserve">In this framework, the balancing item does more than absorb a discrepancy. Its size and sign are themselves analytically useful. A persistently positive B at the USA aggregate level suggests that observed stock changes exceed what the reported flows would imply, which may point to under-reported exports, unreported imports, or timing mismatches in publication. A sudden spike in B around a major event—such as a hurricane, a pipeline outage, or a large SPR release—gives a sense of how much disruption the reporting system is failing to capture </w:t>
      </w:r>
      <w:r>
        <w:lastRenderedPageBreak/>
        <w:t>directly. Chapter 7 uses this idea explicitly by comparing observed B with closure-derived B to identify where the representation and the published data diverge most strongly.</w:t>
      </w:r>
    </w:p>
    <w:p w14:paraId="36BCFB8F" w14:textId="77777777" w:rsidR="008E1B31" w:rsidRDefault="00000000">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w:t>
      </w:r>
      <w:proofErr w:type="spellStart"/>
      <w:r>
        <w:t>kbd</w:t>
      </w:r>
      <w:proofErr w:type="spellEnd"/>
      <w:r>
        <w:t xml:space="preserve"> in absolute value, rising to several hundred </w:t>
      </w:r>
      <w:proofErr w:type="spellStart"/>
      <w:r>
        <w:t>kbd</w:t>
      </w:r>
      <w:proofErr w:type="spellEnd"/>
      <w:r>
        <w:t xml:space="preserve"> around named disruption events. Each of these B values is a retained data point, available for inspection and for downstream consumers; none of them is silently absorbed into the surrounding flow variables.</w:t>
      </w:r>
    </w:p>
    <w:p w14:paraId="36BCFB90" w14:textId="77777777" w:rsidR="008E1B31" w:rsidRDefault="00000000">
      <w:pPr>
        <w:pStyle w:val="Heading2"/>
      </w:pPr>
      <w:r>
        <w:t>4.4 Axiom 3: Formula-implies-relation</w:t>
      </w:r>
    </w:p>
    <w:p w14:paraId="57A948E6" w14:textId="77777777" w:rsidR="00BD3161" w:rsidRDefault="00BD3161">
      <w:pPr>
        <w:spacing w:after="160" w:line="319" w:lineRule="auto"/>
        <w:jc w:val="both"/>
        <w:rPr>
          <w:kern w:val="2"/>
          <w14:ligatures w14:val="standardContextual"/>
        </w:rPr>
      </w:pPr>
      <w:r>
        <w:t>The fourth commitment is that edges, partition links, and node status are all derived from the variables collection. In other words, the variables table is the single source of truth, and every graph view is computed from it. An edge between two nodes exists if, and only if, a variable on one node references a variable on the other. There is no separate primary edges table that must be maintained in parallel.</w:t>
      </w:r>
    </w:p>
    <w:p w14:paraId="2358992C" w14:textId="77777777" w:rsidR="00BD3161" w:rsidRDefault="00BD3161">
      <w:pPr>
        <w:spacing w:after="160" w:line="319" w:lineRule="auto"/>
        <w:jc w:val="both"/>
        <w:rPr>
          <w:kern w:val="2"/>
          <w14:ligatures w14:val="standardContextual"/>
        </w:rPr>
      </w:pPr>
      <w:r>
        <w:t>The alternative, and in fact an earlier implementation choice, was to store edges as a separately declared structure. The problem with that design is that it creates two sources of truth that can drift apart. An edge may be declared without a corresponding formula, or a formula may reference another node without any declared edge making that relation visible in the graph. Both cases are recoverable, but only by carrying an unnecessary duplication of structure and then reconciling it later. Formula-implies-relation removes that duplication. If the variables collection is internally consistent, the structural views derived from it are consistent as well.</w:t>
      </w:r>
    </w:p>
    <w:p w14:paraId="36BCFB93" w14:textId="77777777" w:rsidR="008E1B31" w:rsidRDefault="00000000">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36BCFB94" w14:textId="77777777" w:rsidR="008E1B31" w:rsidRDefault="00000000">
      <w:pPr>
        <w:spacing w:after="160" w:line="320" w:lineRule="auto"/>
        <w:jc w:val="both"/>
      </w:pPr>
      <w:r>
        <w:rPr>
          <w:b/>
          <w:bCs/>
        </w:rPr>
        <w:t>Example.</w:t>
      </w:r>
      <w:r>
        <w:t xml:space="preserve"> Four views of the graph are derived from the single variables table: </w:t>
      </w:r>
      <w:proofErr w:type="spellStart"/>
      <w:r>
        <w:rPr>
          <w:rFonts w:ascii="Consolas" w:eastAsia="Consolas" w:hAnsi="Consolas" w:cs="Consolas"/>
        </w:rPr>
        <w:t>v_flow_edges</w:t>
      </w:r>
      <w:proofErr w:type="spellEnd"/>
      <w:r>
        <w:t xml:space="preserve"> lists every directed flow edge in the network, derived from the relational variables that carry a </w:t>
      </w:r>
      <w:proofErr w:type="spellStart"/>
      <w:r>
        <w:rPr>
          <w:rFonts w:ascii="Consolas" w:eastAsia="Consolas" w:hAnsi="Consolas" w:cs="Consolas"/>
        </w:rPr>
        <w:t>related_node_id</w:t>
      </w:r>
      <w:proofErr w:type="spellEnd"/>
      <w:r>
        <w:t xml:space="preserve">; </w:t>
      </w:r>
      <w:proofErr w:type="spellStart"/>
      <w:r>
        <w:rPr>
          <w:rFonts w:ascii="Consolas" w:eastAsia="Consolas" w:hAnsi="Consolas" w:cs="Consolas"/>
        </w:rPr>
        <w:t>v_aggregation_edges</w:t>
      </w:r>
      <w:proofErr w:type="spellEnd"/>
      <w:r>
        <w:t xml:space="preserve"> lists every cross-node formula reference, regardless of variable type; </w:t>
      </w:r>
      <w:proofErr w:type="spellStart"/>
      <w:r>
        <w:rPr>
          <w:rFonts w:ascii="Consolas" w:eastAsia="Consolas" w:hAnsi="Consolas" w:cs="Consolas"/>
        </w:rPr>
        <w:t>v_partition_tree</w:t>
      </w:r>
      <w:proofErr w:type="spellEnd"/>
      <w:r>
        <w:t xml:space="preserve"> filters the aggregation edges to the same-type, same-commodity subset that defines the resolution hierarchy; and </w:t>
      </w:r>
      <w:proofErr w:type="spellStart"/>
      <w:r>
        <w:rPr>
          <w:rFonts w:ascii="Consolas" w:eastAsia="Consolas" w:hAnsi="Consolas" w:cs="Consolas"/>
        </w:rPr>
        <w:t>v_node_status</w:t>
      </w:r>
      <w:proofErr w:type="spellEnd"/>
      <w:r>
        <w:t xml:space="preserve"> (see Section 4.5) classifies each node under the active scenario based on the assignment rows attached to its variables. None of these views requires its own primary table; all are refreshed whenever the variables collection or the scenario assignments change.</w:t>
      </w:r>
    </w:p>
    <w:p w14:paraId="36BCFB95" w14:textId="77777777" w:rsidR="008E1B31" w:rsidRDefault="00000000">
      <w:pPr>
        <w:pStyle w:val="Heading2"/>
      </w:pPr>
      <w:r>
        <w:t>4.5 Axiom 4: Persistent asset graph and scenario state</w:t>
      </w:r>
    </w:p>
    <w:p w14:paraId="1795EED5" w14:textId="77777777" w:rsidR="00BD3161" w:rsidRDefault="00BD3161">
      <w:pPr>
        <w:spacing w:after="160" w:line="319" w:lineRule="auto"/>
        <w:jc w:val="both"/>
        <w:rPr>
          <w:kern w:val="2"/>
          <w14:ligatures w14:val="standardContextual"/>
        </w:rPr>
      </w:pPr>
      <w:r>
        <w:lastRenderedPageBreak/>
        <w:t xml:space="preserve">The fifth commitment is to separate the model into two layers. The first is the persistent asset graph: the fixed superset topology containing every node and every feasible edge. The second is the scenario state, which is derived at load time from that asset graph together with the per-scenario </w:t>
      </w:r>
      <w:proofErr w:type="spellStart"/>
      <w:r>
        <w:rPr>
          <w:rFonts w:ascii="Consolas" w:hAnsi="Consolas"/>
        </w:rPr>
        <w:t>variableassignments</w:t>
      </w:r>
      <w:proofErr w:type="spellEnd"/>
      <w:r>
        <w:t xml:space="preserve"> rows that specify whether each variable is bound to a time series or to a formula.</w:t>
      </w:r>
    </w:p>
    <w:p w14:paraId="5D602686" w14:textId="77777777" w:rsidR="00BD3161" w:rsidRDefault="00BD3161">
      <w:pPr>
        <w:spacing w:after="160" w:line="319" w:lineRule="auto"/>
        <w:jc w:val="both"/>
        <w:rPr>
          <w:kern w:val="2"/>
          <w14:ligatures w14:val="standardContextual"/>
        </w:rPr>
      </w:pPr>
      <w:r>
        <w:t>The alternative is a single-layer model in which changes in data resolution immediately rewrite the graph itself. That was also the direction taken in earlier implementation passes, and it proved difficult to sustain. Every improvement in data granularity forced structural edits, those edits in turn affected downstream consumers, and tracing the lineage of derived quantities across versions became unnecessarily hard. Separating the persistent graph from scenario state avoids that problem by placing the volatility where it belongs: in the assignments rather than in the topology.</w:t>
      </w:r>
    </w:p>
    <w:p w14:paraId="6666BA71" w14:textId="77777777" w:rsidR="00BD3161" w:rsidRDefault="00BD3161">
      <w:pPr>
        <w:spacing w:after="160" w:line="319" w:lineRule="auto"/>
        <w:jc w:val="both"/>
        <w:rPr>
          <w:kern w:val="2"/>
          <w14:ligatures w14:val="standardContextual"/>
        </w:rPr>
      </w:pPr>
      <w:r>
        <w:t xml:space="preserve">In the two-layer model, data improvements mainly change the </w:t>
      </w:r>
      <w:proofErr w:type="spellStart"/>
      <w:r>
        <w:rPr>
          <w:rFonts w:ascii="Consolas" w:hAnsi="Consolas"/>
        </w:rPr>
        <w:t>variableassignments</w:t>
      </w:r>
      <w:proofErr w:type="spellEnd"/>
      <w:r>
        <w:t xml:space="preserve"> table. The persistent asset graph stays in place while variables are re-pointed from coarser to finer time series as better data becomes available. If the existing node set is no longer sufficient, the graph can still be extended, but that happens through an explicit migration recorded as a structural event. This keeps the distinction clear: the asset graph evolves slowly and deliberately, while the scenario state evolves with the data.</w:t>
      </w:r>
    </w:p>
    <w:p w14:paraId="36BCFB99" w14:textId="77777777" w:rsidR="008E1B31" w:rsidRDefault="00000000">
      <w:pPr>
        <w:spacing w:after="160" w:line="320" w:lineRule="auto"/>
        <w:jc w:val="both"/>
      </w:pPr>
      <w:r>
        <w:t xml:space="preserve">The status of each node under a given scenario is itself derived from the assignment rows attached to that node. A view </w:t>
      </w:r>
      <w:proofErr w:type="spellStart"/>
      <w:r>
        <w:rPr>
          <w:rFonts w:ascii="Consolas" w:eastAsia="Consolas" w:hAnsi="Consolas" w:cs="Consolas"/>
        </w:rPr>
        <w:t>v_node_status</w:t>
      </w:r>
      <w:proofErr w:type="spellEnd"/>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000000">
      <w:pPr>
        <w:spacing w:after="160" w:line="320" w:lineRule="auto"/>
        <w:jc w:val="both"/>
      </w:pPr>
      <w:proofErr w:type="spellStart"/>
      <w:proofErr w:type="spellEnd"/>
      <w:proofErr w:type="spellStart"/>
      <w:proofErr w:type="spellEnd"/>
      <w:r>
        <w:t>Example.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variable_assignments. The refineries' status under the scenario flips from inactive to authoritative automatically through v_node_status. No code outside the assignment table changes.</w:t>
      </w:r>
    </w:p>
    <w:p w14:paraId="36BCFB9B" w14:textId="77777777" w:rsidR="008E1B31" w:rsidRDefault="00000000">
      <w:pPr>
        <w:pStyle w:val="Heading2"/>
      </w:pPr>
      <w:r>
        <w:t>4.6 Corollary B: Physical layer and observational aggregation layer</w:t>
      </w:r>
    </w:p>
    <w:p w14:paraId="75F69BC3" w14:textId="77777777" w:rsidR="00BD3161" w:rsidRDefault="00BD3161">
      <w:pPr>
        <w:spacing w:after="160" w:line="319" w:lineRule="auto"/>
        <w:jc w:val="both"/>
        <w:rPr>
          <w:kern w:val="2"/>
          <w14:ligatures w14:val="standardContextual"/>
        </w:rPr>
      </w:pPr>
      <w:r>
        <w:t>The next commitment is to keep the physical layer of the graph separate from the observational aggregation layer. The physical layer consists of real named assets such as fields, pipelines, vessels, terminals, and refineries. The observational layer consists of reporting aggregates such as PADDs, refining districts, basin roll-ups, and national totals. These aggregates do not carry physical flow edges of their own; they are materialised through same-type aggregation formulas over the physical layer.</w:t>
      </w:r>
    </w:p>
    <w:p w14:paraId="5EAA38EA" w14:textId="77777777" w:rsidR="00BD3161" w:rsidRDefault="00BD3161">
      <w:pPr>
        <w:spacing w:after="160" w:line="319" w:lineRule="auto"/>
        <w:jc w:val="both"/>
        <w:rPr>
          <w:kern w:val="2"/>
          <w14:ligatures w14:val="standardContextual"/>
        </w:rPr>
      </w:pPr>
      <w:r>
        <w:lastRenderedPageBreak/>
        <w:t xml:space="preserve">The alternative would be to place administrative and physical entities in a single undifferentiated layer, so that something like PADD 2 would sit beside Cushing or the Bakken as though all three were the same kind of object. That is misleading. PADD 2 has no operator, no equipment, and no physical custody-transfer mechanics. It is a reporting boundary. Treating it as a physical node invites exactly the ambiguity the framework is trying to avoid: is a flow between PADDs a </w:t>
      </w:r>
      <w:proofErr w:type="gramStart"/>
      <w:r>
        <w:t>thing in itself, or</w:t>
      </w:r>
      <w:proofErr w:type="gramEnd"/>
      <w:r>
        <w:t xml:space="preserve"> is it an aggregation over underlying pipelines? In this framework, the answer is explicit. PADD-level flows are derived from the physical or aggregate nodes that </w:t>
      </w:r>
      <w:proofErr w:type="gramStart"/>
      <w:r>
        <w:t>actually carry</w:t>
      </w:r>
      <w:proofErr w:type="gramEnd"/>
      <w:r>
        <w:t xml:space="preserve"> them; PADD-level production and consumption are likewise derived from the relevant assets beneath them.</w:t>
      </w:r>
    </w:p>
    <w:p w14:paraId="36BCFB9E" w14:textId="77777777" w:rsidR="008E1B31" w:rsidRDefault="00000000">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000000">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w:t>
      </w:r>
      <w:proofErr w:type="spellStart"/>
      <w:r>
        <w:t>Capline</w:t>
      </w:r>
      <w:proofErr w:type="spellEnd"/>
      <w:r>
        <w:t>, Diamond, ExxonMobil Pegasus, and others).</w:t>
      </w:r>
    </w:p>
    <w:p w14:paraId="36BCFBA0" w14:textId="77777777" w:rsidR="008E1B31" w:rsidRDefault="00000000">
      <w:pPr>
        <w:pStyle w:val="Heading2"/>
      </w:pPr>
      <w:r>
        <w:t>4.7 Corollary C: Geography metadata distinct from resolution hierarchy</w:t>
      </w:r>
    </w:p>
    <w:p w14:paraId="2FBEB962" w14:textId="77777777" w:rsidR="00BD3161" w:rsidRDefault="00BD3161">
      <w:pPr>
        <w:spacing w:after="160" w:line="319" w:lineRule="auto"/>
        <w:jc w:val="both"/>
        <w:rPr>
          <w:kern w:val="2"/>
          <w14:ligatures w14:val="standardContextual"/>
        </w:rPr>
      </w:pPr>
      <w:r>
        <w:t>The next commitment is to distinguish geography metadata from the resolution hierarchy. Geography metadata describes where a node is located—latitude, longitude, county, state, PADD, country. The resolution hierarchy, by contrast, is a structural relation between nodes that represent the same physical system at different levels of granularity. The Permian basin, the Texas portion of the Permian, Midland County, and an individual lease form a hierarchy. Two refineries that happen to share the label PADD 3 do not.</w:t>
      </w:r>
    </w:p>
    <w:p w14:paraId="07913DB1" w14:textId="77777777" w:rsidR="00BD3161" w:rsidRDefault="00BD3161">
      <w:pPr>
        <w:spacing w:after="160" w:line="319" w:lineRule="auto"/>
        <w:jc w:val="both"/>
        <w:rPr>
          <w:kern w:val="2"/>
          <w14:ligatures w14:val="standardContextual"/>
        </w:rPr>
      </w:pPr>
      <w:r>
        <w:t>The distinction matters because labels by themselves cannot prevent double counting. If observed data is assigned at more than one level of the same hierarchy for the same variable, the same physical quantity is effectively counted twice. Geography metadata is useful for filtering, grouping, and administrative rollups. It is not a substitute for structural hierarchy. Conflating the two—treating a shared geography label as if it implied a parent-child relation in the data—is precisely the kind of mistake this principle is intended to prevent.</w:t>
      </w:r>
    </w:p>
    <w:p w14:paraId="36BCFBA3" w14:textId="77777777" w:rsidR="008E1B31" w:rsidRDefault="00000000">
      <w:pPr>
        <w:spacing w:after="160" w:line="320" w:lineRule="auto"/>
        <w:jc w:val="both"/>
      </w:pPr>
      <w:r>
        <w:rPr>
          <w:b/>
          <w:bCs/>
        </w:rPr>
        <w:t>Example.</w:t>
      </w:r>
      <w:r>
        <w:t xml:space="preserve"> Two named refineries can share </w:t>
      </w:r>
      <w:proofErr w:type="spellStart"/>
      <w:r>
        <w:rPr>
          <w:rFonts w:ascii="Consolas" w:eastAsia="Consolas" w:hAnsi="Consolas" w:cs="Consolas"/>
        </w:rPr>
        <w:t>padd</w:t>
      </w:r>
      <w:proofErr w:type="spellEnd"/>
      <w:r>
        <w:rPr>
          <w:rFonts w:ascii="Consolas" w:eastAsia="Consolas" w:hAnsi="Consolas" w:cs="Consolas"/>
        </w:rPr>
        <w:t xml:space="preserve">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proofErr w:type="spellStart"/>
      <w:r>
        <w:rPr>
          <w:rFonts w:ascii="Consolas" w:eastAsia="Consolas" w:hAnsi="Consolas" w:cs="Consolas"/>
        </w:rPr>
        <w:t>resolution_</w:t>
      </w:r>
      <w:proofErr w:type="gramStart"/>
      <w:r>
        <w:rPr>
          <w:rFonts w:ascii="Consolas" w:eastAsia="Consolas" w:hAnsi="Consolas" w:cs="Consolas"/>
        </w:rPr>
        <w:t>hierarchy.parent</w:t>
      </w:r>
      <w:proofErr w:type="spellEnd"/>
      <w:proofErr w:type="gramEnd"/>
      <w:r>
        <w:rPr>
          <w:rFonts w:ascii="Consolas" w:eastAsia="Consolas" w:hAnsi="Consolas" w:cs="Consolas"/>
        </w:rPr>
        <w:t xml:space="preserve"> = '</w:t>
      </w:r>
      <w:proofErr w:type="spellStart"/>
      <w:r>
        <w:rPr>
          <w:rFonts w:ascii="Consolas" w:eastAsia="Consolas" w:hAnsi="Consolas" w:cs="Consolas"/>
        </w:rPr>
        <w:t>permian</w:t>
      </w:r>
      <w:proofErr w:type="spellEnd"/>
      <w:r>
        <w:rPr>
          <w:rFonts w:ascii="Consolas" w:eastAsia="Consolas" w:hAnsi="Consolas" w:cs="Consolas"/>
        </w:rPr>
        <w:t>'</w:t>
      </w:r>
      <w:r>
        <w:t xml:space="preserve"> (the </w:t>
      </w:r>
      <w:r>
        <w:lastRenderedPageBreak/>
        <w:t>basin) without being co-located in geography (Permian-TX is in Texas, Permian-NM is in New Mexico). The two metadata systems are independent.</w:t>
      </w:r>
    </w:p>
    <w:p w14:paraId="05A43D87" w14:textId="77777777" w:rsidR="006E3777" w:rsidRDefault="006E3777">
      <w:pPr>
        <w:spacing w:after="160" w:line="319" w:lineRule="auto"/>
        <w:jc w:val="both"/>
        <w:rPr>
          <w:kern w:val="2"/>
          <w14:ligatures w14:val="standardContextual"/>
        </w:rPr>
      </w:pPr>
      <w:r>
        <w:t>The same physical assets can be aggregated along axes other than geography. Imagine a data source that reports Shell's U.S. crude production: it aggregates over the named physical production assets in which Shell holds an operating interest, regardless of which PADD or state they sit in. The framework absorbs this as a second observational aggregation layer over the same physical nodes, declared through formula_inputs that pick the Shell-operated constituents. Per-grade aggregation works the same way: a WTI-graded view over the producing basins, a sweet/sour split over the refineries. Multiple aggregation axes coexist as long as each axis is internally consistent (no double-counting within one axis); they share the physical layer they reference. The resolution hierarchy of Corollary C is not the only hierarchy — it is the geography-spine version of a general pattern.</w:t>
      </w:r>
    </w:p>
    <w:p w14:paraId="05A43D87" w14:textId="77777777" w:rsidR="006E3777" w:rsidRDefault="006E3777">
      <w:pPr>
        <w:spacing w:after="160" w:line="319" w:lineRule="auto"/>
        <w:jc w:val="both"/>
        <w:rPr>
          <w:kern w:val="2"/>
          <w14:ligatures w14:val="standardContextual"/>
        </w:rPr>
      </w:pPr>
      <w:r>
        <w:t>It is worth marking explicitly what the resolution hierarchy is and is not. It is an aggregation relationship — parent variables defined as sums of child variables under formula_inputs — not a routing relationship. The flow path along which crude actually moves (basin → gathering → pipeline → terminal → refinery) is a separate structure carried by the directed flow edges (`v_flow_edges`). The two often share endpoints but they are different graphs over the same node set: the resolution hierarchy is a directed acyclic graph of aggregation; the flow path is a directed multigraph of physical movement. Conflating the two is a common source of confusion when reasoning about which variable's value comes from where.</w:t>
      </w:r>
    </w:p>
    <w:p w14:paraId="36BCFBA4" w14:textId="77777777" w:rsidR="008E1B31" w:rsidRDefault="00000000">
      <w:pPr>
        <w:pStyle w:val="Heading2"/>
      </w:pPr>
      <w:r>
        <w:t>4.8 Axiom 5: The observed/derived invariant</w:t>
      </w:r>
    </w:p>
    <w:p w14:paraId="311FFB4E" w14:textId="77777777" w:rsidR="00BD3161" w:rsidRDefault="00BD3161">
      <w:pPr>
        <w:spacing w:after="160" w:line="319" w:lineRule="auto"/>
        <w:jc w:val="both"/>
        <w:rPr>
          <w:kern w:val="2"/>
          <w14:ligatures w14:val="standardContextual"/>
        </w:rPr>
      </w:pPr>
      <w:r>
        <w:t xml:space="preserve">The observed/derived invariant is the single most important consistency guarantee in the framework. For each combination of node, variable type, commodity, and timestamp, exactly one of two states holds: the variable is </w:t>
      </w:r>
      <w:r>
        <w:rPr>
          <w:b/>
          <w:bCs/>
        </w:rPr>
        <w:t>observed</w:t>
      </w:r>
      <w:r>
        <w:t xml:space="preserve">, meaning it is bound to a time series and that value is authoritative at the relevant resolution; or it is </w:t>
      </w:r>
      <w:r>
        <w:rPr>
          <w:b/>
          <w:bCs/>
        </w:rPr>
        <w:t>derived</w:t>
      </w:r>
      <w:r>
        <w:t>, meaning it is computed from a formula over other variables. It cannot be both, and it cannot be neither.</w:t>
      </w:r>
    </w:p>
    <w:p w14:paraId="417A467C" w14:textId="77777777" w:rsidR="00BD3161" w:rsidRDefault="00BD3161">
      <w:pPr>
        <w:spacing w:after="160" w:line="319" w:lineRule="auto"/>
        <w:jc w:val="both"/>
        <w:rPr>
          <w:kern w:val="2"/>
          <w14:ligatures w14:val="standardContextual"/>
        </w:rPr>
      </w:pPr>
      <w:r>
        <w:t>The alternative is to allow any combination of bindings and then try to detect double counting afterward through validation checks. That approach has the usual weaknesses of post-hoc control. It discovers the inconsistency only after data has already propagated downstream, it requires a potentially expensive scan across the assignment set, and it produces warnings rather than structural impossibility. In practice, warnings are easy to ignore. Schema-level enforcement is stronger because it makes the inconsistent state unrepresentable. The relevant constraint is:</w:t>
      </w:r>
    </w:p>
    <w:p w14:paraId="36BCFBA7"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BA8" w14:textId="77777777" w:rsidR="008E1B31" w:rsidRDefault="00000000">
      <w:pPr>
        <w:spacing w:after="120"/>
      </w:pPr>
      <w:r>
        <w:rPr>
          <w:sz w:val="12"/>
          <w:szCs w:val="12"/>
        </w:rPr>
        <w:t xml:space="preserve"> </w:t>
      </w:r>
    </w:p>
    <w:p w14:paraId="36BCFBA9" w14:textId="77777777" w:rsidR="008E1B31" w:rsidRDefault="00000000">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000000">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36BCFBAA" w14:textId="77777777" w:rsidR="008E1B31" w:rsidRDefault="00000000">
      <w:pPr>
        <w:spacing w:after="160" w:line="320" w:lineRule="auto"/>
        <w:jc w:val="both"/>
      </w:pPr>
      <w:r>
        <w:t>What the CHECK constraint does not forbid is declaring an aggregation relationship on the same variable. The schema carries a separate formula_inputs column listing the constituents whose roll-up the variable's value can be compared against. When the variable is observed (TS-bound), formula_inputs is a constraint set: the view v_aggregation_consistency computes |TS value − Σ constituents| at every (variable, date) and flags the row as ok or partial_coverage. When the variable is derived (formula-bound), the same column is the operand set that the formula resolves over. The CHECK constraint guarantees one source of value; formula_inputs declares a cross-check relationship that is independent of that source. PADD-level production is the canonical case: each padd_view.production is bound to its EIA MCRFP series and also lists the contributing basins and state-conventional variables in formula_inputs. The time series gives the value; the constituents drive the cross-check; the two typically agree to within rounding tolerance.</w:t>
      </w:r>
    </w:p>
    <w:p w14:paraId="05A43D87" w14:textId="77777777" w:rsidR="006E3777" w:rsidRDefault="006E3777">
      <w:pPr>
        <w:spacing w:after="160" w:line="319" w:lineRule="auto"/>
        <w:jc w:val="both"/>
        <w:rPr>
          <w:kern w:val="2"/>
          <w14:ligatures w14:val="standardContextual"/>
        </w:rPr>
      </w:pPr>
      <w:r>
        <w:t>A concrete example helps. EIA publishes the Eagle Ford basin through two related series: MCRFPTX2 (the Texas state total, which aggregates production from Eagle Ford, the Texas portion of the Permian, and other Texas conventional wells) and STEO's COPREF (an Eagle-Ford-specific forecast at basin level). The framework binds the data at the level where it is published. The physical node eagle_ford_tx (single-state sub-basin) is TS-bound to COPREF and carries the basin's value directly. The abstract basin aggregate eagle_ford is formula-bound: formula = 'sum', formula_inputs = [eagle_ford_tx.production]; because the basin sits entirely within Texas, the sum collapses to a single constituent and the abstract aggregate inherits the physical value. The state-level abstract texas_state_view is itself TS-bound to MCRFPTX2 and lists eagle_ford_tx, permian_tx, and the Texas residual node in its own formula_inputs. The CHECK constraint is satisfied on every assignment row, and the v_aggregation_consistency view reports the cross-check |MCRFPTX2 − Σ children| at the Texas level and |eagle_ford − eagle_ford_tx| at the basin level. Both close to within rounding tolerance at every observation date.</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852160" cy="2835914"/>
            <wp:docPr id="5" name="Picture 5"/>
            <wp:cNvGraphicFramePr>
              <a:graphicFrameLocks noChangeAspect="1"/>
            </wp:cNvGraphicFramePr>
            <a:graphic>
              <a:graphicData uri="http://schemas.openxmlformats.org/drawingml/2006/picture">
                <pic:pic>
                  <pic:nvPicPr>
                    <pic:cNvPr id="0" name="fig_eagle_ford_binding.png"/>
                    <pic:cNvPicPr/>
                  </pic:nvPicPr>
                  <pic:blipFill>
                    <a:blip r:embed="rId15"/>
                    <a:stretch>
                      <a:fillRect/>
                    </a:stretch>
                  </pic:blipFill>
                  <pic:spPr>
                    <a:xfrm>
                      <a:off x="0" y="0"/>
                      <a:ext cx="5852160" cy="2835914"/>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4 — Eagle Ford crude production. Left: EIA publishes the basin both through the Texas state series MCRFPTX2 and through the STEO basin-level COPREF. Right: the framework TS-binds the physical node eagle_ford_tx to COPREF; the abstract basin aggregate eagle_ford is formula-derived as a sum over its single physical constituent; the abstract state aggregate texas_state_view is TS-bound to MCRFPTX2 and references eagle_ford_tx, permian_tx, and the Texas residual node in its formula_inputs. The v_aggregation_consistency view cross-checks both reconciliations.</w:t>
      </w:r>
    </w:p>
    <w:p w14:paraId="05A43D87" w14:textId="77777777" w:rsidR="006E3777" w:rsidRDefault="006E3777">
      <w:pPr>
        <w:spacing w:after="160" w:line="319" w:lineRule="auto"/>
        <w:jc w:val="both"/>
        <w:rPr>
          <w:kern w:val="2"/>
          <w14:ligatures w14:val="standardContextual"/>
        </w:rPr>
      </w:pPr>
      <w:r>
        <w:t>A note on what 'one assignment per variable' actually means. A node typically carries several variables at once: a production variable, a consumption variable, inflow and outflow variables (one per neighbouring node), an inventory variable, and a balancing item. The CHECK constraint num_nonnulls(timeseries_id, formula) = 1 applies to each (variable, scenario) row individually, not to the node as a whole. A single refinery node therefore has as many independent (time series or formula) decisions as it has variables — and in a given scenario, each of those decisions is recorded in its own variable_assignments row. The framework treats this as the natural mode of operation: a node is a collection of variables tied to a common physical asset, and each variable carries its own data attribution independently of the others.</w:t>
      </w:r>
    </w:p>
    <w:p w14:paraId="36BCFBAB" w14:textId="77777777" w:rsidR="008E1B31" w:rsidRDefault="00000000">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000000">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w:t>
      </w:r>
      <w:r>
        <w:lastRenderedPageBreak/>
        <w:t>auxiliary series on the PADD view, not as an authoritative binding on a separate sub-node. The pre-existing SPR sub-nodes remain the authoritative source for their own inventory.</w:t>
      </w:r>
    </w:p>
    <w:p w14:paraId="36BCFBAD" w14:textId="77777777" w:rsidR="008E1B31" w:rsidRDefault="00000000">
      <w:pPr>
        <w:pStyle w:val="Heading2"/>
      </w:pPr>
      <w:r>
        <w:t>4.9 Corollary D: Latent allocation at junctions</w:t>
      </w:r>
    </w:p>
    <w:p w14:paraId="234A7B24" w14:textId="77777777" w:rsidR="00BD3161" w:rsidRDefault="00BD3161">
      <w:pPr>
        <w:spacing w:after="160" w:line="319" w:lineRule="auto"/>
        <w:jc w:val="both"/>
        <w:rPr>
          <w:kern w:val="2"/>
          <w14:ligatures w14:val="standardContextual"/>
        </w:rPr>
      </w:pPr>
      <w:r>
        <w:t xml:space="preserve">The next commitment concerns </w:t>
      </w:r>
      <w:proofErr w:type="gramStart"/>
      <w:r>
        <w:t>flows</w:t>
      </w:r>
      <w:proofErr w:type="gramEnd"/>
      <w:r>
        <w:t xml:space="preserve"> that are physically real but not directly observed. In many junctions, crude splits or merges across routes in ways that public data does not measure at the per-edge level. The Permian is a clear example: total production is observed, receipts at major downstream destinations are observed, but the exact split across the pipelines connecting them is not.</w:t>
      </w:r>
    </w:p>
    <w:p w14:paraId="6C9D2269" w14:textId="77777777" w:rsidR="00BD3161" w:rsidRDefault="00BD3161">
      <w:pPr>
        <w:spacing w:after="160" w:line="319" w:lineRule="auto"/>
        <w:jc w:val="both"/>
        <w:rPr>
          <w:kern w:val="2"/>
          <w14:ligatures w14:val="standardContextual"/>
        </w:rPr>
      </w:pPr>
      <w:r>
        <w:t xml:space="preserve">The framework treats those unobserved per-edge flows as </w:t>
      </w:r>
      <w:r>
        <w:rPr>
          <w:b/>
          <w:bCs/>
        </w:rPr>
        <w:t>latent</w:t>
      </w:r>
      <w:r>
        <w:t>. They are declared variables with a clear structural role, but without an assigned value. The mass-balance equation at the junction still applies, so the latent variables are not unconstrained; they must collectively satisfy the aggregate totals implied by the rest of the system. The obvious alternative would be to fill in those missing values with heuristics, such as allocating flows in proportion to capacity. That would make the data look complete, but it would also blur the distinction between measured information and modelling guesswork. This thesis rejects that shortcut because downstream consumers need to know when a number is observed, when it is derived algebraically, and when it is genuinely unknown.</w:t>
      </w:r>
    </w:p>
    <w:p w14:paraId="5AED6731" w14:textId="77777777" w:rsidR="00BD3161" w:rsidRDefault="00BD3161">
      <w:pPr>
        <w:spacing w:after="160" w:line="319" w:lineRule="auto"/>
        <w:jc w:val="both"/>
        <w:rPr>
          <w:kern w:val="2"/>
          <w14:ligatures w14:val="standardContextual"/>
        </w:rPr>
      </w:pPr>
      <w:r>
        <w:t xml:space="preserve">Latent variables are preserved explicitly in the resolved table. They appear with </w:t>
      </w:r>
      <w:r>
        <w:rPr>
          <w:rFonts w:ascii="Consolas" w:hAnsi="Consolas"/>
        </w:rPr>
        <w:t>value = NULL</w:t>
      </w:r>
      <w:r>
        <w:t xml:space="preserve"> and </w:t>
      </w:r>
      <w:r>
        <w:rPr>
          <w:rFonts w:ascii="Consolas" w:hAnsi="Consolas"/>
        </w:rPr>
        <w:t>source = 'latent'</w:t>
      </w:r>
      <w:r>
        <w:t xml:space="preserve">, which distinguishes them from </w:t>
      </w:r>
      <w:r>
        <w:rPr>
          <w:rFonts w:ascii="Consolas" w:hAnsi="Consolas"/>
        </w:rPr>
        <w:t>unresolved</w:t>
      </w:r>
      <w:r>
        <w:t xml:space="preserve"> rows that would indicate a resolver failure. That difference matters downstream. A latent variable is unknown by design and can become a decision variable in an optimisation model. An unresolved value signals that something has gone wrong and should not be silently treated as part of the modelled uncertainty.</w:t>
      </w:r>
    </w:p>
    <w:p w14:paraId="36BCFBB1" w14:textId="77777777" w:rsidR="008E1B31" w:rsidRDefault="00000000">
      <w:pPr>
        <w:spacing w:after="160" w:line="320" w:lineRule="auto"/>
        <w:jc w:val="both"/>
      </w:pPr>
      <w:r>
        <w:t xml:space="preserve">Pass-through node types (gathering networks, pipelines, import and export terminals, foreign aggregates) have P = C = ΔS = B = 0 by physical construction, encoded in </w:t>
      </w:r>
      <w:proofErr w:type="spellStart"/>
      <w:r>
        <w:rPr>
          <w:rFonts w:ascii="Consolas" w:eastAsia="Consolas" w:hAnsi="Consolas" w:cs="Consolas"/>
        </w:rPr>
        <w:t>node_type_default_formulas</w:t>
      </w:r>
      <w:proofErr w:type="spellEnd"/>
      <w:r>
        <w:t xml:space="preserve">. This makes the mass balance at every junction reduce to </w:t>
      </w:r>
      <w:proofErr w:type="spellStart"/>
      <w:r>
        <w:t>ΣF_in</w:t>
      </w:r>
      <w:proofErr w:type="spellEnd"/>
      <w:r>
        <w:t xml:space="preserve"> = </w:t>
      </w:r>
      <w:proofErr w:type="spellStart"/>
      <w:r>
        <w:t>ΣF_out</w:t>
      </w:r>
      <w:proofErr w:type="spellEnd"/>
      <w:r>
        <w:t>, which is the natural form for the LP to consume.</w:t>
      </w:r>
    </w:p>
    <w:p w14:paraId="36BCFBB2" w14:textId="77777777" w:rsidR="008E1B31" w:rsidRDefault="00000000">
      <w:pPr>
        <w:spacing w:after="160" w:line="320" w:lineRule="auto"/>
        <w:jc w:val="both"/>
      </w:pPr>
      <w:r>
        <w:rPr>
          <w:b/>
          <w:bCs/>
        </w:rPr>
        <w:t>Example.</w:t>
      </w:r>
      <w:r>
        <w:t xml:space="preserve"> The node </w:t>
      </w:r>
      <w:proofErr w:type="spellStart"/>
      <w:r>
        <w:rPr>
          <w:rFonts w:ascii="Consolas" w:eastAsia="Consolas" w:hAnsi="Consolas" w:cs="Consolas"/>
        </w:rPr>
        <w:t>permian_tx</w:t>
      </w:r>
      <w:proofErr w:type="spellEnd"/>
      <w:r>
        <w:t xml:space="preserve"> has an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from </w:t>
      </w:r>
      <w:proofErr w:type="spellStart"/>
      <w:r>
        <w:rPr>
          <w:rFonts w:ascii="Consolas" w:eastAsia="Consolas" w:hAnsi="Consolas" w:cs="Consolas"/>
        </w:rPr>
        <w:t>permian_tx</w:t>
      </w:r>
      <w:proofErr w:type="spellEnd"/>
      <w:r>
        <w:t xml:space="preserve"> are declared latent. The constraint that they sum to the observed production is enforced by the mass balance at </w:t>
      </w:r>
      <w:proofErr w:type="spellStart"/>
      <w:r>
        <w:rPr>
          <w:rFonts w:ascii="Consolas" w:eastAsia="Consolas" w:hAnsi="Consolas" w:cs="Consolas"/>
        </w:rPr>
        <w:t>permian_tx</w:t>
      </w:r>
      <w:proofErr w:type="spellEnd"/>
      <w: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734820DF" w14:textId="77777777" w:rsidR="008E1B31" w:rsidRDefault="00000000">
      <w:pPr>
        <w:spacing w:after="160" w:line="320" w:lineRule="auto"/>
        <w:jc w:val="both"/>
      </w:pPr>
      <w:r>
        <w:t xml:space="preserve">A second example concerns the Bakken cross-state midstream. Hess, Crestwood and Energy Transfer operate the North Dakota and Montana gathering systems as a single commercial </w:t>
      </w:r>
      <w:r>
        <w:lastRenderedPageBreak/>
        <w:t>pool. Crude moves between the two states in either direction depending on takeaway capacity, and public data does not break the flow down by direction. The framework models the connection as a bidirectional pipeline node, pipe_bakken_xstate. The node carries four latent flow variables: two inflows and two outflows, one per direction at each gathering. Pipeline-type defaults give the connector P = C = ΔS = B = 0, so the mass-balance constraint reduces to ΣI = ΣO. The node is declared as a constituent of the inter-PADD aggregate outflows on both sides, so future per-operator gathering telemetry will land on these variables without any structural change.</w:t>
      </w:r>
    </w:p>
    <w:p w14:paraId="05A43D87" w14:textId="77777777" w:rsidR="006E3777" w:rsidRDefault="006E3777">
      <w:pPr>
        <w:spacing w:after="160" w:line="319" w:lineRule="auto"/>
        <w:jc w:val="both"/>
        <w:rPr>
          <w:kern w:val="2"/>
          <w14:ligatures w14:val="standardContextual"/>
        </w:rPr>
      </w:pPr>
      <w:r>
        <w:t>The same mechanism extends naturally to per-grade tracking. Once the commodity dimension on variables is populated, the unobserved per-grade splits at each junction are latent in exactly the same sense as the unobserved per-route splits today. Mass balance per grade at each tank or terminal then constrains the unknowns; if a Cushing tank receives observed inflows of WTI from Permian and Bakken-light from Bakken, and ships observed outflows to PADD-3 refiners, the residual grade mix in the tank evolves as a consequence of the same latent-allocation pattern rather than as a separate model. Inferring 'what grade sits in this tank today' becomes a downstream computation, not a new schema.</w:t>
      </w:r>
    </w:p>
    <w:p w14:paraId="36BCFBB3" w14:textId="77777777" w:rsidR="008E1B31" w:rsidRDefault="00000000">
      <w:pPr>
        <w:pStyle w:val="Heading2"/>
      </w:pPr>
      <w:r>
        <w:t>4.10 Axiom 6: Bidirectional flows as separate directed edges</w:t>
      </w:r>
    </w:p>
    <w:p w14:paraId="4BC29F48" w14:textId="77777777" w:rsidR="00BD3161" w:rsidRDefault="00BD3161">
      <w:pPr>
        <w:spacing w:after="160" w:line="319" w:lineRule="auto"/>
        <w:jc w:val="both"/>
        <w:rPr>
          <w:kern w:val="2"/>
          <w14:ligatures w14:val="standardContextual"/>
        </w:rPr>
      </w:pPr>
      <w:r>
        <w:t>The final axiom is that each direction of a reversible or bidirectional connection is represented as its own directed edge, with its own flow variable. The zero-flow convention from Axiom 2 then handles whichever direction is inactive at a given moment.</w:t>
      </w:r>
    </w:p>
    <w:p w14:paraId="31034BCE" w14:textId="77777777" w:rsidR="00BD3161" w:rsidRDefault="00BD3161">
      <w:pPr>
        <w:spacing w:after="160" w:line="319" w:lineRule="auto"/>
        <w:jc w:val="both"/>
        <w:rPr>
          <w:kern w:val="2"/>
          <w14:ligatures w14:val="standardContextual"/>
        </w:rPr>
      </w:pPr>
      <w:r>
        <w:t xml:space="preserve">The obvious alternative is a single undirected edge with a signed flow, positive in one direction and negative in the other. That is more compact, and some optimisation models use it. The reason it is rejected here is operational rather than mathematical. A south-bound movement on </w:t>
      </w:r>
      <w:proofErr w:type="spellStart"/>
      <w:r>
        <w:t>Capline</w:t>
      </w:r>
      <w:proofErr w:type="spellEnd"/>
      <w:r>
        <w:t xml:space="preserve"> and a north-bound movement on the same line are not just opposite signs of one quantity. They correspond to different commercial uses of the asset, different congestion patterns, different tariff structures, and often different downstream consequences. Treating them as separate directed edges keeps those distinctions visible.</w:t>
      </w:r>
    </w:p>
    <w:p w14:paraId="36BCFBB6" w14:textId="77777777" w:rsidR="008E1B31" w:rsidRDefault="00000000">
      <w:pPr>
        <w:spacing w:after="160" w:line="320" w:lineRule="auto"/>
        <w:jc w:val="both"/>
      </w:pPr>
      <w:r>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05A43D87" w14:textId="77777777" w:rsidR="006E3777" w:rsidRDefault="006E3777">
      <w:pPr>
        <w:spacing w:after="160" w:line="319" w:lineRule="auto"/>
        <w:jc w:val="both"/>
        <w:rPr>
          <w:kern w:val="2"/>
          <w14:ligatures w14:val="standardContextual"/>
        </w:rPr>
      </w:pPr>
      <w:r>
        <w:t>A physical question sometimes asked here is whether a pipeline can carry flow in both directions at the same time. For a single-grade, single-product pipeline the answer is operationally no — a pipeline is in service one way or the other at any given moment. The framework's two-directed-edge convention allows for the data to report flow on both edges even so, because batching pipelines (or operationally bidirectional terminals like SPR sites during a release-and-refill cycle) can show net flow that nets to a single direction over a month while having movement in both directions within that month. The convention is permissive: the LP and the resolver both treat each direction's flow as an independent non-negative variable, and observed nets in either direction land where they land.</w:t>
      </w:r>
    </w:p>
    <w:p w14:paraId="05A43D87" w14:textId="77777777" w:rsidR="006E3777" w:rsidRDefault="006E3777">
      <w:pPr>
        <w:spacing w:after="160" w:line="319" w:lineRule="auto"/>
        <w:jc w:val="both"/>
        <w:rPr>
          <w:kern w:val="2"/>
          <w14:ligatures w14:val="standardContextual"/>
        </w:rPr>
      </w:pPr>
      <w:r>
        <w:t>A practical clarification: a variable's name in the database is a stable identifier (for example, outflow__crude__pipe_seaway__houston_hub), not a description. The description of what the variable measures lives in the asset metadata, the variable type, the related node, and the commodity — every field that is actually queried. The name is an audit anchor that stays the same across renames of human-readable labels; it should be read as an identifier rather than as documentation.</w:t>
      </w:r>
    </w:p>
    <w:p w14:paraId="36BCFBB7" w14:textId="77777777" w:rsidR="008E1B31" w:rsidRDefault="00000000">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w:t>
      </w:r>
      <w:proofErr w:type="spellStart"/>
      <w:r>
        <w:rPr>
          <w:rFonts w:ascii="Consolas" w:eastAsia="Consolas" w:hAnsi="Consolas" w:cs="Consolas"/>
        </w:rPr>
        <w:t>houston_hub</w:t>
      </w:r>
      <w:proofErr w:type="spellEnd"/>
      <w:r>
        <w:t xml:space="preserve"> (south-bound, the dominant direction) and </w:t>
      </w:r>
      <w:r>
        <w:rPr>
          <w:rFonts w:ascii="Consolas" w:eastAsia="Consolas" w:hAnsi="Consolas" w:cs="Consolas"/>
        </w:rPr>
        <w:t>outflow__crude__pipe_seaway__</w:t>
      </w:r>
      <w:proofErr w:type="spellStart"/>
      <w:r>
        <w:rPr>
          <w:rFonts w:ascii="Consolas" w:eastAsia="Consolas" w:hAnsi="Consolas" w:cs="Consolas"/>
        </w:rPr>
        <w:t>cushing_hub</w:t>
      </w:r>
      <w:proofErr w:type="spellEnd"/>
      <w:r>
        <w:t xml:space="preserve"> (north-bound, briefly active under specific market conditions). The same applies to </w:t>
      </w:r>
      <w:proofErr w:type="spellStart"/>
      <w:r>
        <w:t>Capline</w:t>
      </w:r>
      <w:proofErr w:type="spellEnd"/>
      <w:r>
        <w:t xml:space="preserve"> (reversed in 2022, both directions now in the topology), the LOOP offshore terminal, and the SPR sites (which can receive crude for storage or deliver crude in response to a release). The </w:t>
      </w:r>
      <w:proofErr w:type="gramStart"/>
      <w:r>
        <w:t>recently-added</w:t>
      </w:r>
      <w:proofErr w:type="gramEnd"/>
      <w:r>
        <w:t xml:space="preserve"> cross-state Bakken connector (</w:t>
      </w:r>
      <w:proofErr w:type="spellStart"/>
      <w:r>
        <w:rPr>
          <w:rFonts w:ascii="Consolas" w:eastAsia="Consolas" w:hAnsi="Consolas" w:cs="Consolas"/>
        </w:rPr>
        <w:t>pipe_bakken_xstate</w:t>
      </w:r>
      <w:proofErr w:type="spellEnd"/>
      <w:r>
        <w:t>) follows the same pattern with four flow variables (two inflows, two outflows, all currently latent).</w:t>
      </w:r>
    </w:p>
    <w:p w14:paraId="312212A2" w14:textId="77777777" w:rsidR="008E1B31" w:rsidRDefault="00000000">
      <w:pPr>
        <w:pStyle w:val="Heading2"/>
      </w:pPr>
      <w:r>
        <w:t>4.11 Corollary D-bis: Last-observation-carried-forward</w:t>
      </w:r>
    </w:p>
    <w:p w14:paraId="36BCFBC4" w14:textId="77777777" w:rsidR="008E1B31" w:rsidRDefault="00000000">
      <w:pPr>
        <w:spacing w:after="160" w:line="320" w:lineRule="auto"/>
        <w:jc w:val="both"/>
      </w:pPr>
      <w:r>
        <w:t xml:space="preserve">Axiom 5 says that each variable is either observed or derived, but it does not say what an observed value means between publication dates. Since EIA publishes monthly, the framework needs a temporal convention. An EIA monthly value is either the average daily rate over the calendar month (for flow quantities) or the end-of-period stock (for inventory </w:t>
      </w:r>
      <w:r>
        <w:lastRenderedPageBreak/>
        <w:t>quantities), and between publications the value applies to every subsequent date until a new observation arrives. There is no interpolation; the value is a step function.</w:t>
      </w:r>
    </w:p>
    <w:p w14:paraId="0331A201" w14:textId="77777777" w:rsidR="008E1B31" w:rsidRDefault="00000000">
      <w:pPr>
        <w:spacing w:after="160" w:line="320" w:lineRule="auto"/>
        <w:jc w:val="both"/>
      </w:pPr>
      <w:r>
        <w:t>The framework adopts last-observation-carried-forward, abbreviated LOCF. At each evaluation date the resolver looks up the most recent time-series value at or before that date and uses it as the resolved value. Dates earlier than the first observation receive no row. Section 6.10 covers the implementation mechanics. The audit trail records LOCF in the formula_used column on scenario_resolved_values, so a downstream consumer can tell freshly published values from carried-over ones.</w:t>
      </w:r>
    </w:p>
    <w:p w14:paraId="2220A8FA" w14:textId="77777777" w:rsidR="008E1B31" w:rsidRDefault="00000000">
      <w:pPr>
        <w:spacing w:after="160" w:line="320" w:lineRule="auto"/>
        <w:jc w:val="both"/>
      </w:pPr>
      <w:r>
        <w:t>LOCF can surface honest inconsistencies. Two series with different temporal horizons sometimes feed the same residual: a state-level series that ends earlier than the basin-level forecast that subtracts from it. The residual goes negative for the months where one feed is moving and the other is flat. The framework does not silently smooth this away. The v_resolution_anomalies view flags long LOCF runs and negative derived values as low-severity anomalies for review, leaving the analyst to decide whether the underlying source publications need to be reconciled.</w:t>
      </w:r>
    </w:p>
    <w:p w14:paraId="59FF4388" w14:textId="77777777" w:rsidR="008E1B31" w:rsidRDefault="00000000">
      <w:pPr>
        <w:pStyle w:val="Heading2"/>
      </w:pPr>
      <w:r>
        <w:t>4.12 Corollary E: Node status as a view</w:t>
      </w:r>
    </w:p>
    <w:p w14:paraId="30CE988A" w14:textId="77777777" w:rsidR="008E1B31" w:rsidRDefault="00000000">
      <w:pPr>
        <w:spacing w:after="160" w:line="320" w:lineRule="auto"/>
        <w:jc w:val="both"/>
      </w:pPr>
      <w:r>
        <w:t>A node's status in the active scenario follows mechanically from its variables' assignments and does not need a separate column on the nodes table. Why does this matter? Status drives rendering (authoritative nodes are coloured green in the explorers, derived nodes blue, inactive nodes grey), drives the LP consumer's decisions about which junctions are fully-determined and which carry latents, and drives the audit's interpretation of partition gaps. Storing it would mean carrying a value that has to be kept in sync with the assignments — a second source of truth waiting to drift. Computing it is straightforward. The framework defines three states. A node is authoritative if at least one of its variables is TS-bound. It is derived if no variable is TS-bound but at least one resolves to a non-zero value via formula. It is inactive if every variable on the node is '0' or 'latent()'; the schema column carries the name 'collapsed' for historical reasons, but 'inactive' is the more accurate description of what the state represents — a node that is structurally present but contributes no value in this scenario.</w:t>
      </w:r>
    </w:p>
    <w:p w14:paraId="00BEC1B3" w14:textId="77777777" w:rsidR="008E1B31" w:rsidRDefault="00000000">
      <w:pPr>
        <w:spacing w:after="160" w:line="320" w:lineRule="auto"/>
        <w:jc w:val="both"/>
      </w:pPr>
      <w:r>
        <w:t>The view v_node_status materialises the status by reading variable_assignments and emitting one row per (scenario, node). An earlier version of the schema carried a nodes.starter_status column populated by hand at load time. The twelfth implementation pass retired it. Under Axiom 3, a node's status is derivable rather than primary data, and a hand-populated column is a second source of truth waiting to drift out of step with the assignments that should determine it.</w:t>
      </w:r>
    </w:p>
    <w:p w14:paraId="3119A228" w14:textId="77777777" w:rsidR="008E1B31" w:rsidRDefault="00000000">
      <w:pPr>
        <w:spacing w:after="160" w:line="320" w:lineRule="auto"/>
        <w:jc w:val="both"/>
      </w:pPr>
      <w:r>
        <w:t>The same logic applies to other node attributes that are derivable from variables. The set of inflows and outflows comes from the relational variables (v_flow_edges). The partition role comes from formula_inputs (v_partition_tree). The per-variable-type aggregates at a date come from resolved values (v_node_pcisob). Each appears as a view rather than as a stored column. The architectural commitment, under Axiom 3, is that any derivable property is computed once, in one place, and consumed identically by renderers, audits, and downstream models.</w:t>
      </w:r>
    </w:p>
    <w:p w14:paraId="36BCFBC3" w14:textId="77777777" w:rsidR="008E1B31" w:rsidRDefault="00000000">
      <w:pPr>
        <w:pStyle w:val="Heading2"/>
      </w:pPr>
      <w:r>
        <w:t>4.13 Summary</w:t>
      </w:r>
    </w:p>
    <w:p w14:paraId="5727D6EA" w14:textId="77777777" w:rsidR="00BD3161" w:rsidRDefault="00BD3161">
      <w:pPr>
        <w:spacing w:after="160" w:line="319" w:lineRule="auto"/>
        <w:jc w:val="both"/>
        <w:rPr>
          <w:kern w:val="2"/>
          <w14:ligatures w14:val="standardContextual"/>
        </w:rPr>
      </w:pPr>
      <w:r>
        <w:lastRenderedPageBreak/>
        <w:t>Taken together, the axioms and corollaries define both the scope and the limits of the framework. It is asset-centric, explicit about provenance, designed for multi-resolution data, and careful not to hide uncertainty behind apparently complete numbers. At the same time, it is not a forecasting model, not a heuristic flow allocator, and not an attempt to produce a single cleaned estimate of the system. The six axioms are the irreducible design commitments. The corollaries follow from those commitments once the variables collection is populated correctly. Two earlier ideas—a canonical sum rule and a formal latent-versus-unresolved distinction—proved more natural in the resolver chapter and the dispatch-rule reference, so they are discussed there rather than treated as architectural principles here.</w:t>
      </w:r>
    </w:p>
    <w:p w14:paraId="05A43D87" w14:textId="77777777" w:rsidR="006E3777" w:rsidRDefault="006E3777">
      <w:pPr>
        <w:spacing w:after="160" w:line="319" w:lineRule="auto"/>
        <w:jc w:val="both"/>
        <w:rPr>
          <w:kern w:val="2"/>
          <w14:ligatures w14:val="standardContextual"/>
        </w:rPr>
      </w:pPr>
      <w:r>
        <w:t>Each axiom and corollary corresponds in implementation to one or more layered views: v_flow_edges and v_aggregation_edges for Axioms 2 and 3, v_partition_tree for Corollaries A and B, v_node_status for Corollary E, v_aggregation_consistency and v_node_balance_check for the cross-checks introduced in Sections 4.3 and 4.8, and v_resolution_anomalies for the temporal-convention anomalies of Corollary D-bis. The complete list, with the SQL definitions and the assertions each view supports, is in Annex C alongside the resolver's dispatch rules.</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303520" cy="3143282"/>
            <wp:docPr id="2" name="Picture 2"/>
            <wp:cNvGraphicFramePr>
              <a:graphicFrameLocks noChangeAspect="1"/>
            </wp:cNvGraphicFramePr>
            <a:graphic>
              <a:graphicData uri="http://schemas.openxmlformats.org/drawingml/2006/picture">
                <pic:pic>
                  <pic:nvPicPr>
                    <pic:cNvPr id="0" name="fig_entity_relationships.png"/>
                    <pic:cNvPicPr/>
                  </pic:nvPicPr>
                  <pic:blipFill>
                    <a:blip r:embed="rId12"/>
                    <a:stretch>
                      <a:fillRect/>
                    </a:stretch>
                  </pic:blipFill>
                  <pic:spPr>
                    <a:xfrm>
                      <a:off x="0" y="0"/>
                      <a:ext cx="5303520" cy="3143282"/>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1. Asset / Node / Graph / Variable / Scenario — entity relationships and CHECK constraint.</w:t>
      </w:r>
    </w:p>
    <w:p w14:paraId="36BCFBC5" w14:textId="77777777" w:rsidR="008E1B31" w:rsidRDefault="00000000">
      <w:pPr>
        <w:pStyle w:val="Heading1"/>
        <w:pageBreakBefore/>
      </w:pPr>
      <w:r>
        <w:lastRenderedPageBreak/>
        <w:t>5. Schema and Graph Construction</w:t>
      </w:r>
    </w:p>
    <w:p w14:paraId="36BCFBC6" w14:textId="77777777" w:rsidR="008E1B31" w:rsidRDefault="00000000">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000000">
      <w:pPr>
        <w:pStyle w:val="Heading2"/>
      </w:pPr>
      <w:r>
        <w:t>5.1 The two-layer model</w:t>
      </w:r>
    </w:p>
    <w:p w14:paraId="36BCFBC8" w14:textId="77777777" w:rsidR="008E1B31" w:rsidRDefault="00000000">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proofErr w:type="spellStart"/>
      <w:r>
        <w:rPr>
          <w:rFonts w:ascii="Consolas" w:eastAsia="Consolas" w:hAnsi="Consolas" w:cs="Consolas"/>
        </w:rPr>
        <w:t>variable_assignments</w:t>
      </w:r>
      <w:proofErr w:type="spellEnd"/>
      <w:r>
        <w:t>. Downstream consumers query the scenario state, not the persistent graph directly.</w:t>
      </w:r>
    </w:p>
    <w:p w14:paraId="05A43D87" w14:textId="77777777" w:rsidR="006E3777" w:rsidRDefault="006E3777">
      <w:pPr>
        <w:spacing w:after="160" w:line="319" w:lineRule="auto"/>
        <w:jc w:val="both"/>
        <w:rPr>
          <w:kern w:val="2"/>
          <w14:ligatures w14:val="standardContextual"/>
        </w:rPr>
      </w:pPr>
      <w:r>
        <w:t>The two-layer model also admits multiple persistent layers in principle. The current implementation uses one graph_id (starter_us_crude) tagging all 251 nodes, so the assets-to-nodes correspondence is one-to-one. The schema (assets, nodes, graph_id on nodes) is designed so that a second graph — for example, a per-grade view, a per-operator view, or a North American extension that adds Canadian and Mexican assets — can be loaded as a parallel set of node rows over the same assets, without re-declaring the asset registry. Each graph carries its own variables, assignments, and scenarios. The framework's consistency claims (Chapter 7) apply per (graph, scenario) pair.</w:t>
      </w:r>
    </w:p>
    <w:p w14:paraId="36BCFBC9" w14:textId="77777777" w:rsidR="008E1B31" w:rsidRDefault="00000000">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000000">
      <w:pPr>
        <w:spacing w:after="160" w:line="320" w:lineRule="auto"/>
        <w:jc w:val="both"/>
      </w:pPr>
      <w:proofErr w:type="spellStart"/>
      <w:proofErr w:type="spellEnd"/>
      <w:proofErr w:type="gramStart"/>
      <w:proofErr w:type="gramEnd"/>
      <w:r>
        <w:t>The two-layer split is also a substantive rejection of a single-layer alternative in which the asset graph and the data are interleaved. A single-layer graph is, in effect, itself a data source: every new ingest at a different granularity (commercial tank-level imagery, per-vessel cargo data, finer state breakdowns) forces a topological change to keep the data where it lands. The two-layer split treats the asset graph as a fixed superset and lets every new data source bind into it through the assignment table without disturbing the topology. The set of assignments under a scenario is what an earlier framing of this work called a coverage contract; in the current implementation no separate object is needed, the principle was preserved, the structure was simplified.</w:t>
      </w:r>
    </w:p>
    <w:p w14:paraId="36BCFBCB" w14:textId="77777777" w:rsidR="008E1B31" w:rsidRDefault="00000000">
      <w:pPr>
        <w:pStyle w:val="Heading2"/>
      </w:pPr>
      <w:r>
        <w:t>5.2 The starter asset graph</w:t>
      </w:r>
    </w:p>
    <w:p w14:paraId="36BCFBCC" w14:textId="77777777" w:rsidR="008E1B31" w:rsidRDefault="00000000">
      <w:pPr>
        <w:spacing w:after="160" w:line="320" w:lineRule="auto"/>
        <w:jc w:val="both"/>
      </w:pPr>
      <w:r>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05A43D87" w14:textId="77777777" w:rsidR="006E3777" w:rsidRDefault="006E3777">
      <w:pPr>
        <w:spacing w:after="160" w:line="319" w:lineRule="auto"/>
        <w:jc w:val="both"/>
        <w:rPr>
          <w:kern w:val="2"/>
          <w14:ligatures w14:val="standardContextual"/>
        </w:rPr>
      </w:pPr>
      <w:r>
        <w:t>It is worth flagging that the asset graph was constructed independently of the EIA time-series catalogue. Named physical assets — refineries, pipelines, terminals, gathering systems, storage hubs — were enumerated from public domain knowledge (corporate filings, FERC and PHMSA registers, trade-press infrastructure surveys, OGJ refinery surveys, Global Energy Monitor's pipeline trackers, Wood Mackenzie's IIR for refinery operating data) rather than from what EIA happened to publish. The result is an asset graph that covers approximately 100% of U.S. modelled refining capacity (17,484 kbd against the real system's ~17,500 kbd) and 113% of production capacity at peak —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36BCFBCD" w14:textId="77777777" w:rsidR="008E1B31" w:rsidRDefault="00000000">
      <w:pPr>
        <w:spacing w:after="160" w:line="320" w:lineRule="auto"/>
        <w:jc w:val="both"/>
      </w:pPr>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7777777" w:rsidR="008E1B31" w:rsidRDefault="00000000">
      <w:pPr>
        <w:spacing w:after="160" w:line="320" w:lineRule="auto"/>
        <w:jc w:val="both"/>
      </w:pPr>
      <w:r>
        <w:lastRenderedPageBreak/>
        <w:t>The graph is built from a seed JSON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000000">
      <w:pPr>
        <w:pStyle w:val="Heading2"/>
      </w:pPr>
      <w:r>
        <w:t>5.3 Physical nodes</w:t>
      </w:r>
    </w:p>
    <w:p w14:paraId="36BCFBD0" w14:textId="77777777" w:rsidR="008E1B31" w:rsidRDefault="00000000">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000000">
      <w:pPr>
        <w:spacing w:after="160" w:line="320" w:lineRule="auto"/>
        <w:jc w:val="both"/>
      </w:pPr>
      <w:r>
        <w:t>The starter graph contains the following physical inventory, grouped by subtype:</w:t>
      </w:r>
    </w:p>
    <w:p w14:paraId="36BCFBD2" w14:textId="77777777" w:rsidR="008E1B31" w:rsidRDefault="00000000">
      <w:pPr>
        <w:spacing w:after="160" w:line="320" w:lineRule="auto"/>
        <w:jc w:val="both"/>
      </w:pPr>
      <w:r>
        <w:t>| Subtype | Count | Role and representative examples |</w:t>
      </w:r>
    </w:p>
    <w:p w14:paraId="36BCFBD3" w14:textId="77777777" w:rsidR="008E1B31" w:rsidRDefault="00000000">
      <w:pPr>
        <w:spacing w:after="160" w:line="320" w:lineRule="auto"/>
        <w:jc w:val="both"/>
      </w:pPr>
      <w:r>
        <w:t>|—|—|—|</w:t>
      </w:r>
    </w:p>
    <w:p w14:paraId="36BCFBD4" w14:textId="77777777" w:rsidR="008E1B31" w:rsidRDefault="00000000">
      <w:pPr>
        <w:spacing w:after="160" w:line="320" w:lineRule="auto"/>
        <w:jc w:val="both"/>
      </w:pPr>
      <w:r>
        <w:t xml:space="preserve">| </w:t>
      </w:r>
      <w:proofErr w:type="spellStart"/>
      <w:r>
        <w:t>state_sub_basin</w:t>
      </w:r>
      <w:proofErr w:type="spellEnd"/>
      <w:r>
        <w:t xml:space="preserve"> | 5 | Named production regions: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
    <w:p w14:paraId="36BCFBD5" w14:textId="77777777" w:rsidR="008E1B31" w:rsidRDefault="00000000">
      <w:pPr>
        <w:spacing w:after="160" w:line="320" w:lineRule="auto"/>
        <w:jc w:val="both"/>
      </w:pPr>
      <w:r>
        <w:t xml:space="preserve">| </w:t>
      </w:r>
      <w:proofErr w:type="spellStart"/>
      <w:r>
        <w:t>state_conventional</w:t>
      </w:r>
      <w:proofErr w:type="spellEnd"/>
      <w:r>
        <w:t xml:space="preserve"> | 7 | Mature state-level production: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w:t>
      </w:r>
    </w:p>
    <w:p w14:paraId="36BCFBD6" w14:textId="77777777" w:rsidR="008E1B31" w:rsidRDefault="00000000">
      <w:pPr>
        <w:spacing w:after="160" w:line="320" w:lineRule="auto"/>
        <w:jc w:val="both"/>
      </w:pPr>
      <w:r>
        <w:t xml:space="preserve">| </w:t>
      </w:r>
      <w:proofErr w:type="spellStart"/>
      <w:r>
        <w:t>state_residual</w:t>
      </w:r>
      <w:proofErr w:type="spellEnd"/>
      <w:r>
        <w:t xml:space="preserve"> | 5 | One per PADD: padd1_other through padd5_other, covering un-named tail production |</w:t>
      </w:r>
    </w:p>
    <w:p w14:paraId="36BCFBD7" w14:textId="77777777" w:rsidR="008E1B31" w:rsidRDefault="00000000">
      <w:pPr>
        <w:spacing w:after="160" w:line="320" w:lineRule="auto"/>
        <w:jc w:val="both"/>
      </w:pPr>
      <w:r>
        <w:t xml:space="preserve">| </w:t>
      </w:r>
      <w:proofErr w:type="spellStart"/>
      <w:r>
        <w:t>offshore_region</w:t>
      </w:r>
      <w:proofErr w:type="spellEnd"/>
      <w:r>
        <w:t xml:space="preserve"> | 1 | </w:t>
      </w:r>
      <w:proofErr w:type="spellStart"/>
      <w:r>
        <w:t>gulf_of_america</w:t>
      </w:r>
      <w:proofErr w:type="spellEnd"/>
      <w:r>
        <w:t xml:space="preserve"> (encompassing all federal offshore production in the Gulf) |</w:t>
      </w:r>
    </w:p>
    <w:p w14:paraId="36BCFBD8" w14:textId="77777777" w:rsidR="008E1B31" w:rsidRDefault="00000000">
      <w:pPr>
        <w:spacing w:after="160" w:line="320" w:lineRule="auto"/>
        <w:jc w:val="both"/>
      </w:pPr>
      <w:r>
        <w:t xml:space="preserve">| gathering | 6 | Basin-level midstream pooling: </w:t>
      </w:r>
      <w:proofErr w:type="spellStart"/>
      <w:r>
        <w:t>ans</w:t>
      </w:r>
      <w:proofErr w:type="spellEnd"/>
      <w:r>
        <w:t xml:space="preserve">, </w:t>
      </w:r>
      <w:proofErr w:type="spellStart"/>
      <w:r>
        <w:t>bakken_nd</w:t>
      </w:r>
      <w:proofErr w:type="spellEnd"/>
      <w:r>
        <w:t xml:space="preserve">, </w:t>
      </w:r>
      <w:proofErr w:type="spellStart"/>
      <w:r>
        <w:t>bakken_mt</w:t>
      </w:r>
      <w:proofErr w:type="spellEnd"/>
      <w:r>
        <w:t xml:space="preserve">, </w:t>
      </w:r>
      <w:proofErr w:type="spellStart"/>
      <w:r>
        <w:t>eagle_ford</w:t>
      </w:r>
      <w:proofErr w:type="spellEnd"/>
      <w:r>
        <w:t xml:space="preserve">, </w:t>
      </w:r>
      <w:proofErr w:type="spellStart"/>
      <w:r>
        <w:t>permian_nm</w:t>
      </w:r>
      <w:proofErr w:type="spellEnd"/>
      <w:r>
        <w:t xml:space="preserve">, </w:t>
      </w:r>
      <w:proofErr w:type="spellStart"/>
      <w:r>
        <w:t>permian_tx</w:t>
      </w:r>
      <w:proofErr w:type="spellEnd"/>
      <w:r>
        <w:t xml:space="preserve"> |</w:t>
      </w:r>
    </w:p>
    <w:p w14:paraId="36BCFBD9" w14:textId="77777777" w:rsidR="008E1B31" w:rsidRDefault="00000000">
      <w:pPr>
        <w:spacing w:after="160" w:line="320" w:lineRule="auto"/>
        <w:jc w:val="both"/>
      </w:pPr>
      <w:r>
        <w:t xml:space="preserve">| </w:t>
      </w:r>
      <w:proofErr w:type="spellStart"/>
      <w:r>
        <w:t>origin_terminal</w:t>
      </w:r>
      <w:proofErr w:type="spellEnd"/>
      <w:r>
        <w:t xml:space="preserve"> | 6 | First-stage receipt points: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BDA" w14:textId="77777777" w:rsidR="008E1B31" w:rsidRDefault="00000000">
      <w:pPr>
        <w:spacing w:after="160" w:line="320" w:lineRule="auto"/>
        <w:jc w:val="both"/>
      </w:pPr>
      <w:r>
        <w:t xml:space="preserve">| </w:t>
      </w:r>
      <w:proofErr w:type="spellStart"/>
      <w:r>
        <w:t>storage_terminal</w:t>
      </w:r>
      <w:proofErr w:type="spellEnd"/>
      <w:r>
        <w:t xml:space="preserve"> | 10 | Cushing hub (with three operator sub-terminals), Patoka hub, Houston, and others |</w:t>
      </w:r>
    </w:p>
    <w:p w14:paraId="36BCFBDB" w14:textId="77777777" w:rsidR="008E1B31" w:rsidRDefault="00000000">
      <w:pPr>
        <w:spacing w:after="160" w:line="320" w:lineRule="auto"/>
        <w:jc w:val="both"/>
      </w:pPr>
      <w:r>
        <w:t xml:space="preserve">| </w:t>
      </w:r>
      <w:proofErr w:type="spellStart"/>
      <w:r>
        <w:t>spr_site</w:t>
      </w:r>
      <w:proofErr w:type="spellEnd"/>
      <w:r>
        <w:t xml:space="preserve"> | 4 | The four Strategic Petroleum Reserve sites: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BDC" w14:textId="77777777" w:rsidR="008E1B31" w:rsidRDefault="00000000">
      <w:pPr>
        <w:spacing w:after="160" w:line="320" w:lineRule="auto"/>
        <w:jc w:val="both"/>
      </w:pPr>
      <w:r>
        <w:t>| refinery | 115 | 19 named refineries, 5 PADD residuals, and sub-aggregates totalling 24 active facilities |</w:t>
      </w:r>
    </w:p>
    <w:p w14:paraId="36BCFBDD" w14:textId="77777777" w:rsidR="008E1B31" w:rsidRDefault="00000000">
      <w:pPr>
        <w:spacing w:after="160" w:line="320" w:lineRule="auto"/>
        <w:jc w:val="both"/>
      </w:pPr>
      <w:r>
        <w:t xml:space="preserve">| </w:t>
      </w:r>
      <w:proofErr w:type="spellStart"/>
      <w:r>
        <w:t>import_terminal</w:t>
      </w:r>
      <w:proofErr w:type="spellEnd"/>
      <w:r>
        <w:t xml:space="preserve"> | 8 | </w:t>
      </w:r>
      <w:proofErr w:type="spellStart"/>
      <w:r>
        <w:t>clearbrook</w:t>
      </w:r>
      <w:proofErr w:type="spellEnd"/>
      <w:r>
        <w:t xml:space="preserve"> plus four PADD-level import aggregates, two Canadian import aggregates, padd2_xstate |</w:t>
      </w:r>
    </w:p>
    <w:p w14:paraId="36BCFBDE" w14:textId="77777777" w:rsidR="008E1B31" w:rsidRDefault="00000000">
      <w:pPr>
        <w:spacing w:after="160" w:line="320" w:lineRule="auto"/>
        <w:jc w:val="both"/>
      </w:pPr>
      <w:r>
        <w:lastRenderedPageBreak/>
        <w:t xml:space="preserve">| </w:t>
      </w:r>
      <w:proofErr w:type="spellStart"/>
      <w:r>
        <w:t>export_terminal</w:t>
      </w:r>
      <w:proofErr w:type="spellEnd"/>
      <w:r>
        <w:t xml:space="preserve"> | 12 | Ingleside, Houston-aggregate plus three sub-terminals, Nederland, LOOP, and five PADD-level export aggregates |</w:t>
      </w:r>
    </w:p>
    <w:p w14:paraId="36BCFBDF" w14:textId="77777777" w:rsidR="008E1B31" w:rsidRDefault="00000000">
      <w:pPr>
        <w:spacing w:after="160" w:line="320" w:lineRule="auto"/>
        <w:jc w:val="both"/>
      </w:pPr>
      <w:r>
        <w:t>| pipeline | 37 | 20 named U.S.-internal lines, 4 cross-border lines, 12 inter-PADD aggregates, the new Bakken cross-state connector |</w:t>
      </w:r>
    </w:p>
    <w:p w14:paraId="36BCFBE0" w14:textId="77777777" w:rsidR="008E1B31" w:rsidRDefault="00000000">
      <w:pPr>
        <w:spacing w:after="160" w:line="320" w:lineRule="auto"/>
        <w:jc w:val="both"/>
      </w:pPr>
      <w:r>
        <w:t xml:space="preserve">| </w:t>
      </w:r>
      <w:proofErr w:type="spellStart"/>
      <w:r>
        <w:t>foreign_export_destination</w:t>
      </w:r>
      <w:proofErr w:type="spellEnd"/>
      <w:r>
        <w:t xml:space="preserve"> | 1 | Boundary sink: where U.S. exports physically leave the modelled system |</w:t>
      </w:r>
    </w:p>
    <w:p w14:paraId="05A43D87" w14:textId="77777777" w:rsidR="006E3777" w:rsidRDefault="006E3777">
      <w:pPr>
        <w:spacing w:after="160" w:line="319" w:lineRule="auto"/>
        <w:jc w:val="both"/>
        <w:rPr>
          <w:kern w:val="2"/>
          <w14:ligatures w14:val="standardContextual"/>
        </w:rPr>
      </w:pPr>
      <w:r>
        <w:t>The foreign supply boundary is visible per PADD indirectly. The framework does not model non-U.S. production at country resolution beyond foreign_supply and canadian_oil_sands as boundary aggregates, but EIA's import series report imports per PADD by origin country; these series bind to the corresponding PADD's import aggregate node (e.g. padd1_imports_agg, padd3_imports_agg), so the per-PADD foreign-supply contribution is recoverable through the partition tree even though the boundary node itself is non-partitioned.</w:t>
      </w:r>
    </w:p>
    <w:p w14:paraId="36BCFBE1" w14:textId="77777777" w:rsidR="008E1B31" w:rsidRDefault="00000000">
      <w:pPr>
        <w:spacing w:after="160" w:line="320" w:lineRule="auto"/>
        <w:jc w:val="both"/>
      </w:pPr>
      <w:r>
        <w:t xml:space="preserve">| </w:t>
      </w:r>
      <w:proofErr w:type="spellStart"/>
      <w:r>
        <w:t>foreign_production_aggregate</w:t>
      </w:r>
      <w:proofErr w:type="spellEnd"/>
      <w:r>
        <w:t xml:space="preserve"> | 2 | Boundary source: </w:t>
      </w:r>
      <w:proofErr w:type="spellStart"/>
      <w:r>
        <w:t>canadian_oil_sands</w:t>
      </w:r>
      <w:proofErr w:type="spellEnd"/>
      <w:r>
        <w:t xml:space="preserve"> and </w:t>
      </w:r>
      <w:proofErr w:type="spellStart"/>
      <w:r>
        <w:t>foreign_supply</w:t>
      </w:r>
      <w:proofErr w:type="spellEnd"/>
      <w:r>
        <w:t xml:space="preserve"> (non-Canadian) |</w:t>
      </w:r>
    </w:p>
    <w:p w14:paraId="36BCFBE2" w14:textId="77777777" w:rsidR="008E1B31" w:rsidRDefault="00000000">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attributed to some node; the residual is that node. Each state residual carries an explicit list of the production it stands in for, so that when new physical sub-basins become individually named, the residual shrinks correspondingly and the substitution is traceable.</w:t>
      </w:r>
    </w:p>
    <w:p w14:paraId="36BCFBE3" w14:textId="77777777" w:rsidR="008E1B31" w:rsidRDefault="00000000">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000000">
      <w:pPr>
        <w:spacing w:after="160" w:line="320" w:lineRule="auto"/>
        <w:jc w:val="both"/>
      </w:pPr>
      <w:r>
        <w:t xml:space="preserve">The </w:t>
      </w:r>
      <w:r>
        <w:rPr>
          <w:b/>
          <w:bCs/>
        </w:rPr>
        <w:t>Bakken cross-state connector</w:t>
      </w:r>
      <w:r>
        <w:t xml:space="preserve"> (</w:t>
      </w:r>
      <w:proofErr w:type="spellStart"/>
      <w:r>
        <w:rPr>
          <w:rFonts w:ascii="Consolas" w:eastAsia="Consolas" w:hAnsi="Consolas" w:cs="Consolas"/>
        </w:rPr>
        <w:t>pipe_bakken_xstate</w:t>
      </w:r>
      <w:proofErr w:type="spellEnd"/>
      <w:r>
        <w:t xml:space="preserve">, added in the eleventh migration pass) is a bidirectional pipeline-type node connecting </w:t>
      </w:r>
      <w:proofErr w:type="spellStart"/>
      <w:r>
        <w:rPr>
          <w:rFonts w:ascii="Consolas" w:eastAsia="Consolas" w:hAnsi="Consolas" w:cs="Consolas"/>
        </w:rPr>
        <w:t>bakken_nd_gathering</w:t>
      </w:r>
      <w:proofErr w:type="spellEnd"/>
      <w:r>
        <w:t xml:space="preserve"> and </w:t>
      </w:r>
      <w:proofErr w:type="spellStart"/>
      <w:r>
        <w:rPr>
          <w:rFonts w:ascii="Consolas" w:eastAsia="Consolas" w:hAnsi="Consolas" w:cs="Consolas"/>
        </w:rPr>
        <w:t>bakken_mt_gathering</w:t>
      </w:r>
      <w:proofErr w:type="spellEnd"/>
      <w:r>
        <w:t xml:space="preserve">.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w:t>
      </w:r>
      <w:proofErr w:type="spellStart"/>
      <w:r>
        <w:t>ΣF_in</w:t>
      </w:r>
      <w:proofErr w:type="spellEnd"/>
      <w:r>
        <w:t xml:space="preserve"> = </w:t>
      </w:r>
      <w:proofErr w:type="spellStart"/>
      <w:r>
        <w:t>ΣF_out</w:t>
      </w:r>
      <w:proofErr w:type="spellEnd"/>
      <w:r>
        <w:t xml:space="preserve"> at the connector following from the pipeline node-type defaults.</w:t>
      </w:r>
    </w:p>
    <w:p w14:paraId="36BCFBE5" w14:textId="77777777" w:rsidR="008E1B31" w:rsidRDefault="00000000">
      <w:pPr>
        <w:pStyle w:val="Heading2"/>
      </w:pPr>
      <w:r>
        <w:t>5.4 Abstract nodes</w:t>
      </w:r>
    </w:p>
    <w:p w14:paraId="36BCFBE6" w14:textId="77777777" w:rsidR="008E1B31" w:rsidRDefault="00000000">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proofErr w:type="spellStart"/>
      <w:r>
        <w:rPr>
          <w:rFonts w:ascii="Consolas" w:eastAsia="Consolas" w:hAnsi="Consolas" w:cs="Consolas"/>
        </w:rPr>
        <w:t>formula_inputs</w:t>
      </w:r>
      <w:proofErr w:type="spellEnd"/>
      <w:r>
        <w:t xml:space="preserve"> references on their variables.</w:t>
      </w:r>
    </w:p>
    <w:p w14:paraId="05A43D87" w14:textId="77777777" w:rsidR="006E3777" w:rsidRDefault="006E3777">
      <w:pPr>
        <w:spacing w:after="160" w:line="319" w:lineRule="auto"/>
        <w:jc w:val="both"/>
        <w:rPr>
          <w:kern w:val="2"/>
          <w14:ligatures w14:val="standardContextual"/>
        </w:rPr>
      </w:pPr>
      <w:r>
        <w:t>The state_residual nodes (padd1_other through padd5_other) deserve a separate note. They represent the production volume that EIA reports at PADD level but cannot allocate to any named basin or state in the current model — the tail of small, unmodelled producers that EIA aggregates implicitly into the PADD total. They are physical assets rather than abstract aggregates because they carry their own production variable and they participate in the partition (the PADD-view production sums the named contributors plus the residual). When a new named source becomes available — a new shale basin, a previously unmodelled state, an additional EIA disaggregation series — that source is split off from the residual as a new physical node and the residual shrinks accordingly. The pattern is the same one used at the boundary nodes: a structural placeholder for an aggregate the framework cannot currently decompose, with a clear path to refinement when the data does decompose it.</w:t>
      </w:r>
    </w:p>
    <w:p w14:paraId="36BCFBE7" w14:textId="77777777" w:rsidR="008E1B31" w:rsidRDefault="00000000">
      <w:pPr>
        <w:spacing w:after="160" w:line="320" w:lineRule="auto"/>
        <w:jc w:val="both"/>
      </w:pPr>
      <w:r>
        <w:t>| Subtype | Count | Role |</w:t>
      </w:r>
    </w:p>
    <w:p w14:paraId="36BCFBE8" w14:textId="77777777" w:rsidR="008E1B31" w:rsidRDefault="00000000">
      <w:pPr>
        <w:spacing w:after="160" w:line="320" w:lineRule="auto"/>
        <w:jc w:val="both"/>
      </w:pPr>
      <w:r>
        <w:t>|—|—|—|</w:t>
      </w:r>
    </w:p>
    <w:p w14:paraId="36BCFBE9" w14:textId="77777777" w:rsidR="008E1B31" w:rsidRDefault="00000000">
      <w:pPr>
        <w:spacing w:after="160" w:line="320" w:lineRule="auto"/>
        <w:jc w:val="both"/>
      </w:pPr>
      <w:r>
        <w:lastRenderedPageBreak/>
        <w:t xml:space="preserve">| </w:t>
      </w:r>
      <w:proofErr w:type="spellStart"/>
      <w:r>
        <w:t>region_view</w:t>
      </w:r>
      <w:proofErr w:type="spellEnd"/>
      <w:r>
        <w:t xml:space="preserve"> | 6 | </w:t>
      </w:r>
      <w:proofErr w:type="spellStart"/>
      <w:r>
        <w:t>usa_view</w:t>
      </w:r>
      <w:proofErr w:type="spellEnd"/>
      <w:r>
        <w:t>, padd1_view through padd5_view: the geographic partition spine |</w:t>
      </w:r>
    </w:p>
    <w:p w14:paraId="36BCFBEA" w14:textId="77777777" w:rsidR="008E1B31" w:rsidRDefault="00000000">
      <w:pPr>
        <w:spacing w:after="160" w:line="320" w:lineRule="auto"/>
        <w:jc w:val="both"/>
      </w:pPr>
      <w:r>
        <w:t xml:space="preserve">| </w:t>
      </w:r>
      <w:proofErr w:type="spellStart"/>
      <w:r>
        <w:t>refining_district_view</w:t>
      </w:r>
      <w:proofErr w:type="spellEnd"/>
      <w:r>
        <w:t xml:space="preserve"> | 10 | EIA refining-district roll-ups (3A, 3B, 3C, and so on across the PADDs) |</w:t>
      </w:r>
    </w:p>
    <w:p w14:paraId="36BCFBEB" w14:textId="77777777" w:rsidR="008E1B31" w:rsidRDefault="00000000">
      <w:pPr>
        <w:spacing w:after="160" w:line="320" w:lineRule="auto"/>
        <w:jc w:val="both"/>
      </w:pPr>
      <w:r>
        <w:t xml:space="preserve">| </w:t>
      </w:r>
      <w:proofErr w:type="spellStart"/>
      <w:r>
        <w:t>state_view</w:t>
      </w:r>
      <w:proofErr w:type="spellEnd"/>
      <w:r>
        <w:t xml:space="preserve"> | 2 | </w:t>
      </w:r>
      <w:proofErr w:type="spellStart"/>
      <w:r>
        <w:t>texas_state_view</w:t>
      </w:r>
      <w:proofErr w:type="spellEnd"/>
      <w:r>
        <w:t xml:space="preserve">, </w:t>
      </w:r>
      <w:proofErr w:type="spellStart"/>
      <w:r>
        <w:t>montana_state_view</w:t>
      </w:r>
      <w:proofErr w:type="spellEnd"/>
      <w:r>
        <w:t>: roll-ups for sub-PADD cross-checks |</w:t>
      </w:r>
    </w:p>
    <w:p w14:paraId="36BCFBEC" w14:textId="77777777" w:rsidR="008E1B31" w:rsidRDefault="00000000">
      <w:pPr>
        <w:spacing w:after="160" w:line="320" w:lineRule="auto"/>
        <w:jc w:val="both"/>
      </w:pPr>
      <w:r>
        <w:t xml:space="preserve">| </w:t>
      </w:r>
      <w:proofErr w:type="spellStart"/>
      <w:r>
        <w:t>observational_aggregate</w:t>
      </w:r>
      <w:proofErr w:type="spellEnd"/>
      <w:r>
        <w:t xml:space="preserve"> | 4 | </w:t>
      </w:r>
      <w:proofErr w:type="spellStart"/>
      <w:r>
        <w:t>spr_total</w:t>
      </w:r>
      <w:proofErr w:type="spellEnd"/>
      <w:r>
        <w:t xml:space="preserve"> and basin aggregates (</w:t>
      </w:r>
      <w:proofErr w:type="spellStart"/>
      <w:r>
        <w:t>permian</w:t>
      </w:r>
      <w:proofErr w:type="spellEnd"/>
      <w:r>
        <w:t xml:space="preserve">, </w:t>
      </w:r>
      <w:proofErr w:type="spellStart"/>
      <w:r>
        <w:t>bakken</w:t>
      </w:r>
      <w:proofErr w:type="spellEnd"/>
      <w:r>
        <w:t xml:space="preserve">, </w:t>
      </w:r>
      <w:proofErr w:type="spellStart"/>
      <w:r>
        <w:t>eagle_ford</w:t>
      </w:r>
      <w:proofErr w:type="spellEnd"/>
      <w:r>
        <w:t>) when used as constraint roll-ups |</w:t>
      </w:r>
    </w:p>
    <w:p w14:paraId="36BCFBED" w14:textId="77777777" w:rsidR="008E1B31" w:rsidRDefault="00000000">
      <w:pPr>
        <w:spacing w:after="160" w:line="320" w:lineRule="auto"/>
        <w:jc w:val="both"/>
      </w:pPr>
      <w:r>
        <w:t xml:space="preserve">| </w:t>
      </w:r>
      <w:proofErr w:type="spellStart"/>
      <w:r>
        <w:t>usa_subtotal_view</w:t>
      </w:r>
      <w:proofErr w:type="spellEnd"/>
      <w:r>
        <w:t xml:space="preserve"> | 1 | usa_lower48_excl_gom_view: STEO-style subtotal excluding the Gulf of America |</w:t>
      </w:r>
    </w:p>
    <w:p w14:paraId="36BCFBEE" w14:textId="77777777" w:rsidR="008E1B31" w:rsidRDefault="00000000">
      <w:pPr>
        <w:spacing w:after="160" w:line="320" w:lineRule="auto"/>
        <w:jc w:val="both"/>
      </w:pPr>
      <w:r>
        <w:t>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Corollary B is designed to prevent: it would be unclear whether the PADD's outflow to its neighbour is a thing in its own right or merely the sum of the underlying pipelines.</w:t>
      </w:r>
    </w:p>
    <w:p w14:paraId="36BCFBEF" w14:textId="77777777" w:rsidR="008E1B31" w:rsidRDefault="00000000">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11F7C3A2" w14:textId="77777777" w:rsidR="008E1B31" w:rsidRDefault="00000000">
      <w:pPr>
        <w:spacing w:after="160" w:line="320" w:lineRule="auto"/>
        <w:jc w:val="both"/>
      </w:pPr>
      <w:r>
        <w:t>A further family of abstract aggregates is the per-PADD stock decomposition. EIA publishes each PADD's commercial stocks in two buckets: tank farms and pipelines (series MCRSFP{N}1) and refinery stocks (series MCRRSP{N}1). PADD 3 also carries the Strategic Petroleum Reserve. The framework materialises the split as two observational aggregate nodes per PADD, padd{N}_tank_farms_pipelines and padd{N}_refinery_stocks, each TS-bound to the corresponding EIA series. Their formula_inputs declare the physical constituents: named storage hubs and gathering nodes feed the tank-farm side; refineries feed the refinery-stocks side. The inventory variable on padd{N}_view then lists the two decomposition aggregates as its own formula_inputs (plus spr_total for PADD 3), so the EIA stock identity MCRSTP{N} = MCRSFP{N} + MCRRSP{N} (+SPR) is materialised directly in the partition tree.</w:t>
      </w:r>
    </w:p>
    <w:p w14:paraId="36BCFBF0" w14:textId="77777777" w:rsidR="008E1B31" w:rsidRDefault="00000000">
      <w:pPr>
        <w:pStyle w:val="Heading2"/>
      </w:pPr>
      <w:r>
        <w:t>5.5 Boundary nodes</w:t>
      </w:r>
    </w:p>
    <w:p w14:paraId="36BCFBF1" w14:textId="77777777" w:rsidR="008E1B31" w:rsidRDefault="00000000">
      <w:pPr>
        <w:spacing w:after="160" w:line="320" w:lineRule="auto"/>
        <w:jc w:val="both"/>
      </w:pPr>
      <w:r>
        <w:t>Four nodes sit on the boundary of the modelled system. They represent the points at which crude oil enters or leaves the U.S. system, and they are kept structurally distinct from the partition spine.</w:t>
      </w:r>
    </w:p>
    <w:p w14:paraId="36BCFBF2" w14:textId="77777777" w:rsidR="008E1B31" w:rsidRDefault="00000000">
      <w:pPr>
        <w:spacing w:after="160" w:line="320" w:lineRule="auto"/>
        <w:jc w:val="both"/>
      </w:pPr>
      <w:r>
        <w:lastRenderedPageBreak/>
        <w:t>| Node | Subtype | Role |</w:t>
      </w:r>
    </w:p>
    <w:p w14:paraId="36BCFBF3" w14:textId="77777777" w:rsidR="008E1B31" w:rsidRDefault="00000000">
      <w:pPr>
        <w:spacing w:after="160" w:line="320" w:lineRule="auto"/>
        <w:jc w:val="both"/>
      </w:pPr>
      <w:r>
        <w:t>|—|—|—|</w:t>
      </w:r>
    </w:p>
    <w:p w14:paraId="36BCFBF4" w14:textId="77777777" w:rsidR="008E1B31" w:rsidRDefault="00000000">
      <w:pPr>
        <w:spacing w:after="160" w:line="320" w:lineRule="auto"/>
        <w:jc w:val="both"/>
      </w:pPr>
      <w:r>
        <w:t xml:space="preserve">| </w:t>
      </w:r>
      <w:proofErr w:type="spellStart"/>
      <w:r>
        <w:t>foreign_supply</w:t>
      </w:r>
      <w:proofErr w:type="spellEnd"/>
      <w:r>
        <w:t xml:space="preserve"> | </w:t>
      </w:r>
      <w:proofErr w:type="spellStart"/>
      <w:r>
        <w:t>foreign_production_aggregate</w:t>
      </w:r>
      <w:proofErr w:type="spellEnd"/>
      <w:r>
        <w:t xml:space="preserve"> | All non-Canadian foreign crude flowing into U.S. import terminals. Boundary source; foreign-side mass balance is not modelled |</w:t>
      </w:r>
    </w:p>
    <w:p w14:paraId="36BCFBF5" w14:textId="77777777" w:rsidR="008E1B31" w:rsidRDefault="00000000">
      <w:pPr>
        <w:spacing w:after="160" w:line="320" w:lineRule="auto"/>
        <w:jc w:val="both"/>
      </w:pPr>
      <w:r>
        <w:t xml:space="preserve">| </w:t>
      </w:r>
      <w:proofErr w:type="spellStart"/>
      <w:r>
        <w:t>canadian_oil_sands</w:t>
      </w:r>
      <w:proofErr w:type="spellEnd"/>
      <w:r>
        <w:t xml:space="preserve"> | </w:t>
      </w:r>
      <w:proofErr w:type="spellStart"/>
      <w:r>
        <w:t>foreign_production_aggregate</w:t>
      </w:r>
      <w:proofErr w:type="spellEnd"/>
      <w:r>
        <w:t xml:space="preserve"> | All Canadian crude entering the U.S. via Mainline, Keystone, </w:t>
      </w:r>
      <w:proofErr w:type="spellStart"/>
      <w:r>
        <w:t>Express+Platte</w:t>
      </w:r>
      <w:proofErr w:type="spellEnd"/>
      <w:r>
        <w:t>, and TMX (when active). Boundary source |</w:t>
      </w:r>
    </w:p>
    <w:p w14:paraId="36BCFBF6" w14:textId="77777777" w:rsidR="008E1B31" w:rsidRDefault="00000000">
      <w:pPr>
        <w:spacing w:after="160" w:line="320" w:lineRule="auto"/>
        <w:jc w:val="both"/>
      </w:pPr>
      <w:r>
        <w:t xml:space="preserve">| </w:t>
      </w:r>
      <w:proofErr w:type="spellStart"/>
      <w:r>
        <w:t>foreign_export_destination</w:t>
      </w:r>
      <w:proofErr w:type="spellEnd"/>
      <w:r>
        <w:t xml:space="preserve"> | </w:t>
      </w:r>
      <w:proofErr w:type="spellStart"/>
      <w:r>
        <w:t>foreign_export_destination</w:t>
      </w:r>
      <w:proofErr w:type="spellEnd"/>
      <w:r>
        <w:t xml:space="preserve"> | Boundary sink. All U.S. crude exports flow into this node; the framework does not model where they go from there |</w:t>
      </w:r>
    </w:p>
    <w:p w14:paraId="36BCFBF7" w14:textId="77777777" w:rsidR="008E1B31" w:rsidRDefault="00000000">
      <w:pPr>
        <w:spacing w:after="160" w:line="320" w:lineRule="auto"/>
        <w:jc w:val="both"/>
      </w:pPr>
      <w:r>
        <w:t xml:space="preserve">| </w:t>
      </w:r>
      <w:proofErr w:type="spellStart"/>
      <w:r>
        <w:t>spr_total</w:t>
      </w:r>
      <w:proofErr w:type="spellEnd"/>
      <w:r>
        <w:t xml:space="preserve"> | </w:t>
      </w:r>
      <w:proofErr w:type="spellStart"/>
      <w:r>
        <w:t>observational_aggregate</w:t>
      </w:r>
      <w:proofErr w:type="spellEnd"/>
      <w:r>
        <w:t xml:space="preserve"> | Sum of the four SPR sites. Used for constraint cross-checks, not as a partition member |</w:t>
      </w:r>
    </w:p>
    <w:p w14:paraId="36BCFBF8" w14:textId="77777777" w:rsidR="008E1B31" w:rsidRDefault="00000000">
      <w:pPr>
        <w:spacing w:after="160" w:line="320" w:lineRule="auto"/>
        <w:jc w:val="both"/>
      </w:pPr>
      <w:r>
        <w:t>The boundary nodes carry inflow or outflow edges to the corresponding U.S. nodes (</w:t>
      </w:r>
      <w:proofErr w:type="spellStart"/>
      <w:r>
        <w:t>foreign_supply</w:t>
      </w:r>
      <w:proofErr w:type="spellEnd"/>
      <w:r>
        <w:t xml:space="preserve"> has outflow edges to PADD-level import aggregates; </w:t>
      </w:r>
      <w:proofErr w:type="spellStart"/>
      <w:r>
        <w:t>foreign_export_destination</w:t>
      </w:r>
      <w:proofErr w:type="spellEnd"/>
      <w:r>
        <w:t xml:space="preserve"> has inflow edges from each named export terminal), but they do not themselves participate in the partition closure tests. They are sources and sinks rather than partition members.</w:t>
      </w:r>
    </w:p>
    <w:p w14:paraId="36BCFBF9" w14:textId="77777777" w:rsidR="008E1B31" w:rsidRDefault="00000000">
      <w:pPr>
        <w:pStyle w:val="Heading2"/>
      </w:pPr>
      <w:r>
        <w:t>5.6 Variables</w:t>
      </w:r>
    </w:p>
    <w:p w14:paraId="36BCFBFA" w14:textId="77777777" w:rsidR="008E1B31" w:rsidRDefault="00000000">
      <w:pPr>
        <w:spacing w:after="160" w:line="320" w:lineRule="auto"/>
        <w:jc w:val="both"/>
      </w:pPr>
      <w:r>
        <w:t>Variables are the unit of data attribution in the framework. Every node carries one variable per (variable type, commodity, related node) tuple. The seven variable types are:</w:t>
      </w:r>
    </w:p>
    <w:p w14:paraId="36BCFBFB" w14:textId="77777777" w:rsidR="008E1B31" w:rsidRDefault="00000000">
      <w:pPr>
        <w:spacing w:after="160" w:line="320" w:lineRule="auto"/>
        <w:jc w:val="both"/>
      </w:pPr>
      <w:r>
        <w:t>| Type | Symbol | Description | Relational |</w:t>
      </w:r>
    </w:p>
    <w:p w14:paraId="36BCFBFC" w14:textId="77777777" w:rsidR="008E1B31" w:rsidRDefault="00000000">
      <w:pPr>
        <w:spacing w:after="160" w:line="320" w:lineRule="auto"/>
        <w:jc w:val="both"/>
      </w:pPr>
      <w:r>
        <w:t>|—|—|—|—|</w:t>
      </w:r>
    </w:p>
    <w:p w14:paraId="36BCFBFD" w14:textId="77777777" w:rsidR="008E1B31" w:rsidRDefault="00000000">
      <w:pPr>
        <w:spacing w:after="160" w:line="320" w:lineRule="auto"/>
        <w:jc w:val="both"/>
      </w:pPr>
      <w:r>
        <w:t>| production | P | Crude produced at this node | no |</w:t>
      </w:r>
    </w:p>
    <w:p w14:paraId="36BCFBFE" w14:textId="77777777" w:rsidR="008E1B31" w:rsidRDefault="00000000">
      <w:pPr>
        <w:spacing w:after="160" w:line="320" w:lineRule="auto"/>
        <w:jc w:val="both"/>
      </w:pPr>
      <w:r>
        <w:t>| consumption | C | Crude consumed at this node (refinery throughput) | no |</w:t>
      </w:r>
    </w:p>
    <w:p w14:paraId="36BCFBFF" w14:textId="77777777" w:rsidR="008E1B31" w:rsidRDefault="00000000">
      <w:pPr>
        <w:spacing w:after="160" w:line="320" w:lineRule="auto"/>
        <w:jc w:val="both"/>
      </w:pPr>
      <w:r>
        <w:t>| inventory | S | Crude stocks held at this node | no |</w:t>
      </w:r>
    </w:p>
    <w:p w14:paraId="36BCFC00" w14:textId="77777777" w:rsidR="008E1B31" w:rsidRDefault="00000000">
      <w:pPr>
        <w:spacing w:after="160" w:line="320" w:lineRule="auto"/>
        <w:jc w:val="both"/>
      </w:pPr>
      <w:r>
        <w:t>| balancing_item | B | Reporting residual (Corollary A) | no |</w:t>
      </w:r>
    </w:p>
    <w:p w14:paraId="36BCFC01" w14:textId="77777777" w:rsidR="008E1B31" w:rsidRDefault="00000000">
      <w:pPr>
        <w:spacing w:after="160" w:line="320" w:lineRule="auto"/>
        <w:jc w:val="both"/>
      </w:pPr>
      <w:r>
        <w:t xml:space="preserve">| inflow | </w:t>
      </w:r>
      <w:proofErr w:type="spellStart"/>
      <w:r>
        <w:t>F_in</w:t>
      </w:r>
      <w:proofErr w:type="spellEnd"/>
      <w:r>
        <w:t xml:space="preserve"> | Crude flowing in from a specific related node | yes |</w:t>
      </w:r>
    </w:p>
    <w:p w14:paraId="36BCFC02" w14:textId="77777777" w:rsidR="008E1B31" w:rsidRDefault="00000000">
      <w:pPr>
        <w:spacing w:after="160" w:line="320" w:lineRule="auto"/>
        <w:jc w:val="both"/>
      </w:pPr>
      <w:r>
        <w:t xml:space="preserve">| outflow | </w:t>
      </w:r>
      <w:proofErr w:type="spellStart"/>
      <w:r>
        <w:t>F_out</w:t>
      </w:r>
      <w:proofErr w:type="spellEnd"/>
      <w:r>
        <w:t xml:space="preserve"> | Crude flowing out to a specific related node | yes |</w:t>
      </w:r>
    </w:p>
    <w:p w14:paraId="36BCFC03" w14:textId="77777777" w:rsidR="008E1B31" w:rsidRDefault="00000000">
      <w:pPr>
        <w:spacing w:after="160" w:line="320" w:lineRule="auto"/>
        <w:jc w:val="both"/>
      </w:pPr>
      <w:r>
        <w:t>| phi | φ | Reference variable, used for cross-node alias chains | yes |</w:t>
      </w:r>
    </w:p>
    <w:p w14:paraId="05A43D87" w14:textId="77777777" w:rsidR="006E3777" w:rsidRDefault="006E3777">
      <w:pPr>
        <w:spacing w:after="160" w:line="319" w:lineRule="auto"/>
        <w:jc w:val="both"/>
        <w:rPr>
          <w:kern w:val="2"/>
          <w14:ligatures w14:val="standardContextual"/>
        </w:rPr>
      </w:pPr>
      <w:r>
        <w:t>A note on the phi variable. The phi type is a cross-node alias reference: when one node's variable is defined as an alias of another's, the alias chain is recorded as a phi variable with related_node_id pointing at the source. Phi exists to keep alias chains representable in the variable graph (so the dependency DAG that the resolver topologically sorts is well-defined) without requiring the alias to look like a flow edge. It carries no flow, no stock, and no balance role; it is purely a structural pointer.</w:t>
      </w:r>
    </w:p>
    <w:p w14:paraId="36BCFC04" w14:textId="77777777" w:rsidR="008E1B31" w:rsidRDefault="00000000">
      <w:pPr>
        <w:spacing w:after="160" w:line="320" w:lineRule="auto"/>
        <w:jc w:val="both"/>
      </w:pPr>
      <w:r>
        <w:t xml:space="preserve">A relational variable carries a </w:t>
      </w:r>
      <w:proofErr w:type="spellStart"/>
      <w:r>
        <w:rPr>
          <w:rFonts w:ascii="Consolas" w:eastAsia="Consolas" w:hAnsi="Consolas" w:cs="Consolas"/>
        </w:rPr>
        <w:t>related_node_id</w:t>
      </w:r>
      <w:proofErr w:type="spellEnd"/>
      <w:r>
        <w:t xml:space="preserve"> identifying the counterpart in the directed flow. An inflow on node A with related node B means "crude flowing from B into A"; the paired outflow on node B with related node A means "crude flowing from B out to A". The two are physically the same flow, modelled as two variables on different nodes. The reverse-mirror </w:t>
      </w:r>
      <w:r>
        <w:lastRenderedPageBreak/>
        <w:t>dispatch rule in the resolver (Section 6.4) propagates an observed value on one direction to the unobserved counterpart.</w:t>
      </w:r>
    </w:p>
    <w:p w14:paraId="36BCFC05" w14:textId="77777777" w:rsidR="008E1B31" w:rsidRDefault="00000000">
      <w:pPr>
        <w:spacing w:after="160" w:line="320" w:lineRule="auto"/>
        <w:jc w:val="both"/>
      </w:pPr>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000000">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000000">
      <w:pPr>
        <w:pStyle w:val="Heading2"/>
      </w:pPr>
      <w:r>
        <w:t>5.7 The partition tree</w:t>
      </w:r>
    </w:p>
    <w:p w14:paraId="36BCFC08" w14:textId="77777777" w:rsidR="008E1B31" w:rsidRDefault="00000000">
      <w:pPr>
        <w:spacing w:after="160" w:line="320" w:lineRule="auto"/>
        <w:jc w:val="both"/>
      </w:pPr>
      <w:r>
        <w:t xml:space="preserve">The partition tree is the same-type aggregation hierarchy that drives the consistency claims in Chapter 7. A node M is a partition child of node N if some variable on N has </w:t>
      </w:r>
      <w:proofErr w:type="spellStart"/>
      <w:r>
        <w:rPr>
          <w:rFonts w:ascii="Consolas" w:eastAsia="Consolas" w:hAnsi="Consolas" w:cs="Consolas"/>
        </w:rPr>
        <w:t>formula_inputs</w:t>
      </w:r>
      <w:proofErr w:type="spellEnd"/>
      <w:r>
        <w:t xml:space="preserve"> that reference a same-type, same-commodity, same-related-node variable on M. The same-type qualifier is essential: aggregation links (such as </w:t>
      </w:r>
      <w:proofErr w:type="spellStart"/>
      <w:r>
        <w:rPr>
          <w:rFonts w:ascii="Consolas" w:eastAsia="Consolas" w:hAnsi="Consolas" w:cs="Consolas"/>
        </w:rPr>
        <w:t>padd_</w:t>
      </w:r>
      <w:proofErr w:type="gramStart"/>
      <w:r>
        <w:rPr>
          <w:rFonts w:ascii="Consolas" w:eastAsia="Consolas" w:hAnsi="Consolas" w:cs="Consolas"/>
        </w:rPr>
        <w:t>view.P</w:t>
      </w:r>
      <w:proofErr w:type="spellEnd"/>
      <w:proofErr w:type="gramEnd"/>
      <w:r>
        <w:rPr>
          <w:rFonts w:ascii="Consolas" w:eastAsia="Consolas" w:hAnsi="Consolas" w:cs="Consolas"/>
        </w:rPr>
        <w:t xml:space="preserve"> = Σ </w:t>
      </w:r>
      <w:proofErr w:type="spellStart"/>
      <w:proofErr w:type="gramStart"/>
      <w:r>
        <w:rPr>
          <w:rFonts w:ascii="Consolas" w:eastAsia="Consolas" w:hAnsi="Consolas" w:cs="Consolas"/>
        </w:rPr>
        <w:t>basin.P</w:t>
      </w:r>
      <w:proofErr w:type="spellEnd"/>
      <w:proofErr w:type="gramEnd"/>
      <w:r>
        <w:t xml:space="preserve">) connect variables of the same type, whereas cross-edge alias links (such as </w:t>
      </w:r>
      <w:proofErr w:type="spellStart"/>
      <w:r>
        <w:rPr>
          <w:rFonts w:ascii="Consolas" w:eastAsia="Consolas" w:hAnsi="Consolas" w:cs="Consolas"/>
        </w:rPr>
        <w:t>padd_</w:t>
      </w:r>
      <w:proofErr w:type="gramStart"/>
      <w:r>
        <w:rPr>
          <w:rFonts w:ascii="Consolas" w:eastAsia="Consolas" w:hAnsi="Consolas" w:cs="Consolas"/>
        </w:rPr>
        <w:t>view.F</w:t>
      </w:r>
      <w:proofErr w:type="gramEnd"/>
      <w:r>
        <w:rPr>
          <w:rFonts w:ascii="Consolas" w:eastAsia="Consolas" w:hAnsi="Consolas" w:cs="Consolas"/>
        </w:rPr>
        <w:t>_in</w:t>
      </w:r>
      <w:proofErr w:type="spellEnd"/>
      <w:r>
        <w:rPr>
          <w:rFonts w:ascii="Consolas" w:eastAsia="Consolas" w:hAnsi="Consolas" w:cs="Consolas"/>
        </w:rPr>
        <w:t xml:space="preserve"> = alias(</w:t>
      </w:r>
      <w:proofErr w:type="spellStart"/>
      <w:r>
        <w:rPr>
          <w:rFonts w:ascii="Consolas" w:eastAsia="Consolas" w:hAnsi="Consolas" w:cs="Consolas"/>
        </w:rPr>
        <w:t>other_</w:t>
      </w:r>
      <w:proofErr w:type="gramStart"/>
      <w:r>
        <w:rPr>
          <w:rFonts w:ascii="Consolas" w:eastAsia="Consolas" w:hAnsi="Consolas" w:cs="Consolas"/>
        </w:rPr>
        <w:t>padd.F</w:t>
      </w:r>
      <w:proofErr w:type="gramEnd"/>
      <w:r>
        <w:rPr>
          <w:rFonts w:ascii="Consolas" w:eastAsia="Consolas" w:hAnsi="Consolas" w:cs="Consolas"/>
        </w:rPr>
        <w:t>_out</w:t>
      </w:r>
      <w:proofErr w:type="spellEnd"/>
      <w:r>
        <w:rPr>
          <w:rFonts w:ascii="Consolas" w:eastAsia="Consolas" w:hAnsi="Consolas" w:cs="Consolas"/>
        </w:rPr>
        <w:t>)</w:t>
      </w:r>
      <w:r>
        <w:t>) connect variables of different types. Filtering on type cleanly distinguishes the two and keeps the partition tree restricted to the same-type aggregation that the closure test depends on.</w:t>
      </w:r>
    </w:p>
    <w:p w14:paraId="05A43D87" w14:textId="77777777" w:rsidR="006E3777" w:rsidRDefault="006E3777">
      <w:pPr>
        <w:spacing w:after="160" w:line="319" w:lineRule="auto"/>
        <w:jc w:val="both"/>
        <w:rPr>
          <w:kern w:val="2"/>
          <w14:ligatures w14:val="standardContextual"/>
        </w:rPr>
      </w:pPr>
      <w:r>
        <w:t>It is worth marking the relationship between the partition tree and the flow topology, because the two look superficially similar but encode different information. The flow topology (the directed edges in v_flow_edges) connects physical assets that actually move barrels between one another: pipelines from basins to refineries, terminals receiving from pipelines, vessels carrying between hubs. These edges are not geography-based. Cushing connects to Houston because the Seaway pipeline physically moves crude between them, not because the two hubs sit in the same state.</w:t>
      </w:r>
    </w:p>
    <w:p w14:paraId="05A43D87" w14:textId="77777777" w:rsidR="006E3777" w:rsidRDefault="006E3777">
      <w:pPr>
        <w:spacing w:after="160" w:line="319" w:lineRule="auto"/>
        <w:jc w:val="both"/>
        <w:rPr>
          <w:kern w:val="2"/>
          <w14:ligatures w14:val="standardContextual"/>
        </w:rPr>
      </w:pPr>
      <w:r>
        <w:t>The partition tree is different. Aggregates such as padd2_view exist because that is the level at which EIA publishes much of its data, and EIA's aggregation rule is overwhelmingly geographic — the five PADDs were drawn in 1942 as wartime logistics regions and have remained the standard ever since. The partition tree's children are individual physical assets the framework already knows, but its parents are administrative aggregations whose boundaries trace state and PADD lines. The two structures, flow topology and partition tree, share the same set of physical nodes, but they reach upward to different parents — the flow topology to the next physical asset along the pipeline, the partition tree to the geographic region that contains it.</w:t>
      </w:r>
    </w:p>
    <w:p w14:paraId="05A43D87" w14:textId="77777777" w:rsidR="006E3777" w:rsidRDefault="006E3777">
      <w:pPr>
        <w:spacing w:after="160" w:line="319" w:lineRule="auto"/>
        <w:jc w:val="both"/>
        <w:rPr>
          <w:kern w:val="2"/>
          <w14:ligatures w14:val="standardContextual"/>
        </w:rPr>
      </w:pPr>
      <w:r>
        <w:t>The practitioner workflow this thesis sets out to displace makes the inverse choice. Analysts typically take EIA's geographic series — production by PADD, consumption by refining district, stocks by PADD — and add or subtract them by region to compute regional balances. The implicit network is geographic, and any one asset's inventory (Cushing, Pearl Harbour, Bayou Choctaw) is recovered as a residual from those geographic operations. The framework reverses this. The connections between named physical assets are the primary object, and the aggregation views are a consistency layer over them. Inventories at named assets are generated by mass balance at the physical level, not reconstructed from regional sums. The partition tree is then the bridge: it exposes the same data at the regional resolution practitioners are used to, but it does so by aggregating from a physical layer that already knows where each barrel actually lives.</w:t>
      </w:r>
    </w:p>
    <w:p w14:paraId="36BCFC09" w14:textId="77777777" w:rsidR="008E1B31" w:rsidRDefault="00000000">
      <w:pPr>
        <w:spacing w:after="160" w:line="320" w:lineRule="auto"/>
        <w:jc w:val="both"/>
      </w:pPr>
      <w:r>
        <w:t>The starter scenario carries 265 partition edges across 28 distinct parents and 197 distinct children. The active spine runs:</w:t>
      </w:r>
    </w:p>
    <w:p w14:paraId="36BCFC0A" w14:textId="77777777" w:rsidR="008E1B31" w:rsidRDefault="00000000">
      <w:pPr>
        <w:shd w:val="clear" w:color="auto" w:fill="F4F4F4"/>
      </w:pPr>
      <w:proofErr w:type="spellStart"/>
      <w:r>
        <w:rPr>
          <w:rFonts w:ascii="Consolas" w:eastAsia="Consolas" w:hAnsi="Consolas" w:cs="Consolas"/>
          <w:sz w:val="17"/>
          <w:szCs w:val="20"/>
        </w:rPr>
        <w:t>usa_view</w:t>
      </w:r>
      <w:proofErr w:type="spellEnd"/>
    </w:p>
    <w:p w14:paraId="36BCFC0B" w14:textId="77777777" w:rsidR="008E1B31" w:rsidRDefault="00000000">
      <w:pPr>
        <w:shd w:val="clear" w:color="auto" w:fill="F4F4F4"/>
      </w:pPr>
      <w:r>
        <w:rPr>
          <w:rFonts w:ascii="Consolas" w:eastAsia="Consolas" w:hAnsi="Consolas" w:cs="Consolas"/>
          <w:sz w:val="17"/>
          <w:szCs w:val="20"/>
        </w:rPr>
        <w:t>├── padd1_view</w:t>
      </w:r>
    </w:p>
    <w:p w14:paraId="36BCFC0C" w14:textId="77777777" w:rsidR="008E1B31" w:rsidRDefault="00000000">
      <w:pPr>
        <w:shd w:val="clear" w:color="auto" w:fill="F4F4F4"/>
      </w:pPr>
      <w:r>
        <w:rPr>
          <w:rFonts w:ascii="Consolas" w:eastAsia="Consolas" w:hAnsi="Consolas" w:cs="Consolas"/>
          <w:sz w:val="17"/>
          <w:szCs w:val="20"/>
        </w:rPr>
        <w:t>│   ├── refining districts (RAP, REC)</w:t>
      </w:r>
    </w:p>
    <w:p w14:paraId="36BCFC0D" w14:textId="77777777" w:rsidR="008E1B31" w:rsidRDefault="00000000">
      <w:pPr>
        <w:shd w:val="clear" w:color="auto" w:fill="F4F4F4"/>
      </w:pPr>
      <w:r>
        <w:rPr>
          <w:rFonts w:ascii="Consolas" w:eastAsia="Consolas" w:hAnsi="Consolas" w:cs="Consolas"/>
          <w:sz w:val="17"/>
          <w:szCs w:val="20"/>
        </w:rPr>
        <w:t>│   ├── padd1_imports_agg ← MCRIPP12 − MCRIPP1CA2</w:t>
      </w:r>
    </w:p>
    <w:p w14:paraId="36BCFC0E" w14:textId="77777777" w:rsidR="008E1B31" w:rsidRDefault="00000000">
      <w:pPr>
        <w:shd w:val="clear" w:color="auto" w:fill="F4F4F4"/>
      </w:pPr>
      <w:r>
        <w:rPr>
          <w:rFonts w:ascii="Consolas" w:eastAsia="Consolas" w:hAnsi="Consolas" w:cs="Consolas"/>
          <w:sz w:val="17"/>
          <w:szCs w:val="20"/>
        </w:rPr>
        <w:t>│   ├── padd1_canadian_imports_agg ← MCRIPP1CA2</w:t>
      </w:r>
    </w:p>
    <w:p w14:paraId="36BCFC0F" w14:textId="77777777" w:rsidR="008E1B31" w:rsidRDefault="00000000">
      <w:pPr>
        <w:shd w:val="clear" w:color="auto" w:fill="F4F4F4"/>
      </w:pPr>
      <w:r>
        <w:rPr>
          <w:rFonts w:ascii="Consolas" w:eastAsia="Consolas" w:hAnsi="Consolas" w:cs="Consolas"/>
          <w:sz w:val="17"/>
          <w:szCs w:val="20"/>
        </w:rPr>
        <w:t>│   ├── padd1_exports_agg ← MCREXP12</w:t>
      </w:r>
    </w:p>
    <w:p w14:paraId="36BCFC10" w14:textId="77777777" w:rsidR="008E1B31" w:rsidRDefault="00000000">
      <w:pPr>
        <w:shd w:val="clear" w:color="auto" w:fill="F4F4F4"/>
      </w:pPr>
      <w:r>
        <w:rPr>
          <w:rFonts w:ascii="Consolas" w:eastAsia="Consolas" w:hAnsi="Consolas" w:cs="Consolas"/>
          <w:sz w:val="17"/>
          <w:szCs w:val="20"/>
        </w:rPr>
        <w:t>│   ├── inter_padd_1_to_2_agg, inter_padd_1_to_3_agg</w:t>
      </w:r>
    </w:p>
    <w:p w14:paraId="36BCFC11" w14:textId="77777777" w:rsidR="008E1B31" w:rsidRDefault="00000000">
      <w:pPr>
        <w:shd w:val="clear" w:color="auto" w:fill="F4F4F4"/>
      </w:pPr>
      <w:r>
        <w:rPr>
          <w:rFonts w:ascii="Consolas" w:eastAsia="Consolas" w:hAnsi="Consolas" w:cs="Consolas"/>
          <w:sz w:val="17"/>
          <w:szCs w:val="20"/>
        </w:rPr>
        <w:t>│   └── padd1_other (residual)</w:t>
      </w:r>
    </w:p>
    <w:p w14:paraId="36BCFC12" w14:textId="77777777" w:rsidR="008E1B31" w:rsidRDefault="00000000">
      <w:pPr>
        <w:shd w:val="clear" w:color="auto" w:fill="F4F4F4"/>
      </w:pPr>
      <w:r>
        <w:rPr>
          <w:rFonts w:ascii="Consolas" w:eastAsia="Consolas" w:hAnsi="Consolas" w:cs="Consolas"/>
          <w:sz w:val="17"/>
          <w:szCs w:val="20"/>
        </w:rPr>
        <w:t>├── padd2_view</w:t>
      </w:r>
    </w:p>
    <w:p w14:paraId="36BCFC13" w14:textId="77777777" w:rsidR="008E1B31" w:rsidRDefault="00000000">
      <w:pPr>
        <w:shd w:val="clear" w:color="auto" w:fill="F4F4F4"/>
      </w:pPr>
      <w:r>
        <w:rPr>
          <w:rFonts w:ascii="Consolas" w:eastAsia="Consolas" w:hAnsi="Consolas" w:cs="Consolas"/>
          <w:sz w:val="17"/>
          <w:szCs w:val="20"/>
        </w:rPr>
        <w:t>│   ├── refining districts (R2A, R2B, R2C)</w:t>
      </w:r>
    </w:p>
    <w:p w14:paraId="36BCFC14" w14:textId="77777777" w:rsidR="008E1B31" w:rsidRDefault="00000000">
      <w:pPr>
        <w:shd w:val="clear" w:color="auto" w:fill="F4F4F4"/>
      </w:pPr>
      <w:r>
        <w:rPr>
          <w:rFonts w:ascii="Consolas" w:eastAsia="Consolas" w:hAnsi="Consolas" w:cs="Consolas"/>
          <w:sz w:val="17"/>
          <w:szCs w:val="20"/>
        </w:rPr>
        <w:t xml:space="preserve">│   ├── </w:t>
      </w:r>
      <w:proofErr w:type="spellStart"/>
      <w:r>
        <w:rPr>
          <w:rFonts w:ascii="Consolas" w:eastAsia="Consolas" w:hAnsi="Consolas" w:cs="Consolas"/>
          <w:sz w:val="17"/>
          <w:szCs w:val="20"/>
        </w:rPr>
        <w:t>bakken_nd</w:t>
      </w:r>
      <w:proofErr w:type="spellEnd"/>
      <w:r>
        <w:rPr>
          <w:rFonts w:ascii="Consolas" w:eastAsia="Consolas" w:hAnsi="Consolas" w:cs="Consolas"/>
          <w:sz w:val="17"/>
          <w:szCs w:val="20"/>
        </w:rPr>
        <w:t xml:space="preserve">, </w:t>
      </w:r>
      <w:proofErr w:type="spellStart"/>
      <w:r>
        <w:rPr>
          <w:rFonts w:ascii="Consolas" w:eastAsia="Consolas" w:hAnsi="Consolas" w:cs="Consolas"/>
          <w:sz w:val="17"/>
          <w:szCs w:val="20"/>
        </w:rPr>
        <w:t>oklahoma</w:t>
      </w:r>
      <w:proofErr w:type="spellEnd"/>
      <w:r>
        <w:rPr>
          <w:rFonts w:ascii="Consolas" w:eastAsia="Consolas" w:hAnsi="Consolas" w:cs="Consolas"/>
          <w:sz w:val="17"/>
          <w:szCs w:val="20"/>
        </w:rPr>
        <w:t>, padd2_other</w:t>
      </w:r>
    </w:p>
    <w:p w14:paraId="36BCFC15" w14:textId="77777777" w:rsidR="008E1B31" w:rsidRDefault="00000000">
      <w:pPr>
        <w:shd w:val="clear" w:color="auto" w:fill="F4F4F4"/>
      </w:pPr>
      <w:r>
        <w:rPr>
          <w:rFonts w:ascii="Consolas" w:eastAsia="Consolas" w:hAnsi="Consolas" w:cs="Consolas"/>
          <w:sz w:val="17"/>
          <w:szCs w:val="20"/>
        </w:rPr>
        <w:t xml:space="preserve">│   ├── </w:t>
      </w:r>
      <w:proofErr w:type="spellStart"/>
      <w:r>
        <w:rPr>
          <w:rFonts w:ascii="Consolas" w:eastAsia="Consolas" w:hAnsi="Consolas" w:cs="Consolas"/>
          <w:sz w:val="17"/>
          <w:szCs w:val="20"/>
        </w:rPr>
        <w:t>cushing_hub</w:t>
      </w:r>
      <w:proofErr w:type="spellEnd"/>
      <w:r>
        <w:rPr>
          <w:rFonts w:ascii="Consolas" w:eastAsia="Consolas" w:hAnsi="Consolas" w:cs="Consolas"/>
          <w:sz w:val="17"/>
          <w:szCs w:val="20"/>
        </w:rPr>
        <w:t xml:space="preserve"> (with three operator sub-terminals), </w:t>
      </w:r>
      <w:proofErr w:type="spellStart"/>
      <w:r>
        <w:rPr>
          <w:rFonts w:ascii="Consolas" w:eastAsia="Consolas" w:hAnsi="Consolas" w:cs="Consolas"/>
          <w:sz w:val="17"/>
          <w:szCs w:val="20"/>
        </w:rPr>
        <w:t>patoka_hub</w:t>
      </w:r>
      <w:proofErr w:type="spellEnd"/>
    </w:p>
    <w:p w14:paraId="36BCFC16" w14:textId="77777777" w:rsidR="008E1B31" w:rsidRDefault="00000000">
      <w:pPr>
        <w:shd w:val="clear" w:color="auto" w:fill="F4F4F4"/>
      </w:pPr>
      <w:r>
        <w:rPr>
          <w:rFonts w:ascii="Consolas" w:eastAsia="Consolas" w:hAnsi="Consolas" w:cs="Consolas"/>
          <w:sz w:val="17"/>
          <w:szCs w:val="20"/>
        </w:rPr>
        <w:t xml:space="preserve">│   ├── </w:t>
      </w:r>
      <w:proofErr w:type="spellStart"/>
      <w:r>
        <w:rPr>
          <w:rFonts w:ascii="Consolas" w:eastAsia="Consolas" w:hAnsi="Consolas" w:cs="Consolas"/>
          <w:sz w:val="17"/>
          <w:szCs w:val="20"/>
        </w:rPr>
        <w:t>bakken_nd_gathering</w:t>
      </w:r>
      <w:proofErr w:type="spellEnd"/>
      <w:r>
        <w:rPr>
          <w:rFonts w:ascii="Consolas" w:eastAsia="Consolas" w:hAnsi="Consolas" w:cs="Consolas"/>
          <w:sz w:val="17"/>
          <w:szCs w:val="20"/>
        </w:rPr>
        <w:t xml:space="preserve"> (inventory child, post-eleventh migration)</w:t>
      </w:r>
    </w:p>
    <w:p w14:paraId="36BCFC17" w14:textId="77777777" w:rsidR="008E1B31" w:rsidRDefault="00000000">
      <w:pPr>
        <w:shd w:val="clear" w:color="auto" w:fill="F4F4F4"/>
      </w:pPr>
      <w:r>
        <w:rPr>
          <w:rFonts w:ascii="Consolas" w:eastAsia="Consolas" w:hAnsi="Consolas" w:cs="Consolas"/>
          <w:sz w:val="17"/>
          <w:szCs w:val="20"/>
        </w:rPr>
        <w:t>│   ├── padd2_canadian_imports_agg ← MCRIPP2CA2</w:t>
      </w:r>
    </w:p>
    <w:p w14:paraId="36BCFC18" w14:textId="77777777" w:rsidR="008E1B31" w:rsidRDefault="00000000">
      <w:pPr>
        <w:shd w:val="clear" w:color="auto" w:fill="F4F4F4"/>
      </w:pPr>
      <w:r>
        <w:rPr>
          <w:rFonts w:ascii="Consolas" w:eastAsia="Consolas" w:hAnsi="Consolas" w:cs="Consolas"/>
          <w:sz w:val="17"/>
          <w:szCs w:val="20"/>
        </w:rPr>
        <w:t>│   ├── padd2_exports_agg ← MCREXP22</w:t>
      </w:r>
    </w:p>
    <w:p w14:paraId="36BCFC19" w14:textId="77777777" w:rsidR="008E1B31" w:rsidRDefault="00000000">
      <w:pPr>
        <w:shd w:val="clear" w:color="auto" w:fill="F4F4F4"/>
      </w:pPr>
      <w:r>
        <w:rPr>
          <w:rFonts w:ascii="Consolas" w:eastAsia="Consolas" w:hAnsi="Consolas" w:cs="Consolas"/>
          <w:sz w:val="17"/>
          <w:szCs w:val="20"/>
        </w:rPr>
        <w:t>│   └── inter_padd_2_to</w:t>
      </w:r>
      <w:proofErr w:type="gramStart"/>
      <w:r>
        <w:rPr>
          <w:rFonts w:ascii="Consolas" w:eastAsia="Consolas" w:hAnsi="Consolas" w:cs="Consolas"/>
          <w:sz w:val="17"/>
          <w:szCs w:val="20"/>
        </w:rPr>
        <w:t>_{</w:t>
      </w:r>
      <w:proofErr w:type="gramEnd"/>
      <w:r>
        <w:rPr>
          <w:rFonts w:ascii="Consolas" w:eastAsia="Consolas" w:hAnsi="Consolas" w:cs="Consolas"/>
          <w:sz w:val="17"/>
          <w:szCs w:val="20"/>
        </w:rPr>
        <w:t>1,3,</w:t>
      </w:r>
      <w:proofErr w:type="gramStart"/>
      <w:r>
        <w:rPr>
          <w:rFonts w:ascii="Consolas" w:eastAsia="Consolas" w:hAnsi="Consolas" w:cs="Consolas"/>
          <w:sz w:val="17"/>
          <w:szCs w:val="20"/>
        </w:rPr>
        <w:t>4}_</w:t>
      </w:r>
      <w:proofErr w:type="spellStart"/>
      <w:proofErr w:type="gramEnd"/>
      <w:r>
        <w:rPr>
          <w:rFonts w:ascii="Consolas" w:eastAsia="Consolas" w:hAnsi="Consolas" w:cs="Consolas"/>
          <w:sz w:val="17"/>
          <w:szCs w:val="20"/>
        </w:rPr>
        <w:t>agg</w:t>
      </w:r>
      <w:proofErr w:type="spellEnd"/>
      <w:r>
        <w:rPr>
          <w:rFonts w:ascii="Consolas" w:eastAsia="Consolas" w:hAnsi="Consolas" w:cs="Consolas"/>
          <w:sz w:val="17"/>
          <w:szCs w:val="20"/>
        </w:rPr>
        <w:t xml:space="preserve"> with receiver-side aliases</w:t>
      </w:r>
    </w:p>
    <w:p w14:paraId="36BCFC1A" w14:textId="77777777" w:rsidR="008E1B31" w:rsidRDefault="00000000">
      <w:pPr>
        <w:shd w:val="clear" w:color="auto" w:fill="F4F4F4"/>
      </w:pPr>
      <w:r>
        <w:rPr>
          <w:rFonts w:ascii="Consolas" w:eastAsia="Consolas" w:hAnsi="Consolas" w:cs="Consolas"/>
          <w:sz w:val="17"/>
          <w:szCs w:val="20"/>
        </w:rPr>
        <w:t>├── padd3_view, padd4_view, padd5_view (analogous structure)</w:t>
      </w:r>
    </w:p>
    <w:p w14:paraId="36BCFC1B" w14:textId="77777777" w:rsidR="008E1B31" w:rsidRDefault="00000000">
      <w:pPr>
        <w:shd w:val="clear" w:color="auto" w:fill="F4F4F4"/>
      </w:pPr>
      <w:r>
        <w:rPr>
          <w:rFonts w:ascii="Consolas" w:eastAsia="Consolas" w:hAnsi="Consolas" w:cs="Consolas"/>
          <w:sz w:val="17"/>
          <w:szCs w:val="20"/>
        </w:rPr>
        <w:t>└── (boundary nodes sit outside the partition):</w:t>
      </w:r>
    </w:p>
    <w:p w14:paraId="36BCFC1C" w14:textId="77777777" w:rsidR="008E1B31" w:rsidRDefault="00000000">
      <w:pPr>
        <w:shd w:val="clear" w:color="auto" w:fill="F4F4F4"/>
      </w:pPr>
      <w:r>
        <w:rPr>
          <w:rFonts w:ascii="Consolas" w:eastAsia="Consolas" w:hAnsi="Consolas" w:cs="Consolas"/>
          <w:sz w:val="17"/>
          <w:szCs w:val="20"/>
        </w:rPr>
        <w:t xml:space="preserve">    </w:t>
      </w:r>
      <w:proofErr w:type="spellStart"/>
      <w:r>
        <w:rPr>
          <w:rFonts w:ascii="Consolas" w:eastAsia="Consolas" w:hAnsi="Consolas" w:cs="Consolas"/>
          <w:sz w:val="17"/>
          <w:szCs w:val="20"/>
        </w:rPr>
        <w:t>foreign_supply</w:t>
      </w:r>
      <w:proofErr w:type="spellEnd"/>
      <w:r>
        <w:rPr>
          <w:rFonts w:ascii="Consolas" w:eastAsia="Consolas" w:hAnsi="Consolas" w:cs="Consolas"/>
          <w:sz w:val="17"/>
          <w:szCs w:val="20"/>
        </w:rPr>
        <w:t xml:space="preserve">, </w:t>
      </w:r>
      <w:proofErr w:type="spellStart"/>
      <w:r>
        <w:rPr>
          <w:rFonts w:ascii="Consolas" w:eastAsia="Consolas" w:hAnsi="Consolas" w:cs="Consolas"/>
          <w:sz w:val="17"/>
          <w:szCs w:val="20"/>
        </w:rPr>
        <w:t>canadian_oil_sands</w:t>
      </w:r>
      <w:proofErr w:type="spellEnd"/>
      <w:r>
        <w:rPr>
          <w:rFonts w:ascii="Consolas" w:eastAsia="Consolas" w:hAnsi="Consolas" w:cs="Consolas"/>
          <w:sz w:val="17"/>
          <w:szCs w:val="20"/>
        </w:rPr>
        <w:t xml:space="preserve">, </w:t>
      </w:r>
      <w:proofErr w:type="spellStart"/>
      <w:r>
        <w:rPr>
          <w:rFonts w:ascii="Consolas" w:eastAsia="Consolas" w:hAnsi="Consolas" w:cs="Consolas"/>
          <w:sz w:val="17"/>
          <w:szCs w:val="20"/>
        </w:rPr>
        <w:t>foreign_export_destination</w:t>
      </w:r>
      <w:proofErr w:type="spellEnd"/>
      <w:r>
        <w:rPr>
          <w:rFonts w:ascii="Consolas" w:eastAsia="Consolas" w:hAnsi="Consolas" w:cs="Consolas"/>
          <w:sz w:val="17"/>
          <w:szCs w:val="20"/>
        </w:rPr>
        <w:t xml:space="preserve">, </w:t>
      </w:r>
      <w:proofErr w:type="spellStart"/>
      <w:r>
        <w:rPr>
          <w:rFonts w:ascii="Consolas" w:eastAsia="Consolas" w:hAnsi="Consolas" w:cs="Consolas"/>
          <w:sz w:val="17"/>
          <w:szCs w:val="20"/>
        </w:rPr>
        <w:t>spr_total</w:t>
      </w:r>
      <w:proofErr w:type="spellEnd"/>
    </w:p>
    <w:p w14:paraId="05A43D87" w14:textId="77777777" w:rsidR="006E3777" w:rsidRDefault="006E3777">
      <w:pPr>
        <w:spacing w:after="160" w:line="319" w:lineRule="auto"/>
        <w:jc w:val="both"/>
        <w:rPr>
          <w:kern w:val="2"/>
          <w14:ligatures w14:val="standardContextual"/>
        </w:rPr>
      </w:pPr>
      <w:r>
        <w:t>The same structure populated with live values from the resolver at 2024-12-01 reads as follows (all flow quantities in kbd; inventory in MBBL). This is the data the HTML balance UI displays at the same date, materialised here as a static snapshot. The status column comes from v_aggregation_consistency, which classifies each row as ok (closes within tolerance), partial_coverage (one or more constituents missing or latent), or red (every constituent present and the gap exceeds tolerance — none at this level on this date).</w:t>
      </w:r>
    </w:p>
    <w:p w14:paraId="05A43D87" w14:textId="77777777" w:rsidR="006E3777" w:rsidRDefault="006E3777">
      <w:pPr>
        <w:spacing w:after="160" w:line="319" w:lineRule="auto"/>
        <w:jc w:val="both"/>
        <w:rPr>
          <w:kern w:val="2"/>
          <w14:ligatures w14:val="standardContextual"/>
        </w:rPr>
      </w:pPr>
      <w:r>
        <w:t>| Node | P | C | F_in | F_out | S | B | Partition status |</w:t>
      </w:r>
    </w:p>
    <w:p w14:paraId="05A43D87" w14:textId="77777777" w:rsidR="006E3777" w:rsidRDefault="006E3777">
      <w:pPr>
        <w:spacing w:after="160" w:line="319" w:lineRule="auto"/>
        <w:jc w:val="both"/>
        <w:rPr>
          <w:kern w:val="2"/>
          <w14:ligatures w14:val="standardContextual"/>
        </w:rPr>
      </w:pPr>
      <w:r>
        <w:t>|---|---:|---:|---:|---:|---:|---:|---|</w:t>
      </w:r>
    </w:p>
    <w:p w14:paraId="05A43D87" w14:textId="77777777" w:rsidR="006E3777" w:rsidRDefault="006E3777">
      <w:pPr>
        <w:spacing w:after="160" w:line="319" w:lineRule="auto"/>
        <w:jc w:val="both"/>
        <w:rPr>
          <w:kern w:val="2"/>
          <w14:ligatures w14:val="standardContextual"/>
        </w:rPr>
      </w:pPr>
      <w:r>
        <w:t>| usa_view (USA) | 13,437 | 16,772 | 6,557 | 3,752 | 806,948 | −379 | ok (closure exact at usa_view) |</w:t>
      </w:r>
    </w:p>
    <w:p w14:paraId="05A43D87" w14:textId="77777777" w:rsidR="006E3777" w:rsidRDefault="006E3777">
      <w:pPr>
        <w:spacing w:after="160" w:line="319" w:lineRule="auto"/>
        <w:jc w:val="both"/>
        <w:rPr>
          <w:kern w:val="2"/>
          <w14:ligatures w14:val="standardContextual"/>
        </w:rPr>
      </w:pPr>
      <w:r>
        <w:t>| ├ padd1_view (East Coast) | 46 | 745 | 705 | 92 | 7,872 | −108 | ok |</w:t>
      </w:r>
    </w:p>
    <w:p w14:paraId="05A43D87" w14:textId="77777777" w:rsidR="006E3777" w:rsidRDefault="006E3777">
      <w:pPr>
        <w:spacing w:after="160" w:line="319" w:lineRule="auto"/>
        <w:jc w:val="both"/>
        <w:rPr>
          <w:kern w:val="2"/>
          <w14:ligatures w14:val="standardContextual"/>
        </w:rPr>
      </w:pPr>
      <w:r>
        <w:t>| ├ padd2_view (Midwest) | 1,837 | 3,942 | 4,503 | 2,426 | 103,681 | −128 | ok |</w:t>
      </w:r>
    </w:p>
    <w:p w14:paraId="05A43D87" w14:textId="77777777" w:rsidR="006E3777" w:rsidRDefault="006E3777">
      <w:pPr>
        <w:spacing w:after="160" w:line="319" w:lineRule="auto"/>
        <w:jc w:val="both"/>
        <w:rPr>
          <w:kern w:val="2"/>
          <w14:ligatures w14:val="standardContextual"/>
        </w:rPr>
      </w:pPr>
      <w:r>
        <w:t>| ├ padd3_view (Gulf Coast) | 9,791 | 9,390 | 3,631 | 4,266 | 621,631 | −105 | ok |</w:t>
      </w:r>
    </w:p>
    <w:p w14:paraId="05A43D87" w14:textId="77777777" w:rsidR="006E3777" w:rsidRDefault="006E3777">
      <w:pPr>
        <w:spacing w:after="160" w:line="319" w:lineRule="auto"/>
        <w:jc w:val="both"/>
        <w:rPr>
          <w:kern w:val="2"/>
          <w14:ligatures w14:val="standardContextual"/>
        </w:rPr>
      </w:pPr>
      <w:r>
        <w:t>| ├ padd4_view (Rocky Mountain) | 1,051 | 569 | 553 | 988 | 24,434 | −32 | ok |</w:t>
      </w:r>
    </w:p>
    <w:p w14:paraId="05A43D87" w14:textId="77777777" w:rsidR="006E3777" w:rsidRDefault="006E3777">
      <w:pPr>
        <w:spacing w:after="160" w:line="319" w:lineRule="auto"/>
        <w:jc w:val="both"/>
        <w:rPr>
          <w:kern w:val="2"/>
          <w14:ligatures w14:val="standardContextual"/>
        </w:rPr>
      </w:pPr>
      <w:r>
        <w:t>| └ padd5_view (West Coast) | 714 | 2,126 | 1,185 | 0 | 49,330 | −7 | ok |</w:t>
      </w:r>
    </w:p>
    <w:p w14:paraId="05A43D87" w14:textId="77777777" w:rsidR="006E3777" w:rsidRDefault="006E3777">
      <w:pPr>
        <w:spacing w:after="160" w:line="319" w:lineRule="auto"/>
        <w:jc w:val="both"/>
        <w:rPr>
          <w:kern w:val="2"/>
          <w14:ligatures w14:val="standardContextual"/>
        </w:rPr>
      </w:pPr>
      <w:r>
        <w:t>F_in at PADD level includes inter-PADD inflows from neighbouring PADDs as well as boundary inflows from foreign supply and Canadian production; F_out at PADD level includes inter-PADD outflows. At usa_view, by contrast, the inter-PADD movements (4,018 kbd in either direction at this date) net out and only the boundary flows remain — 4,234 kbd Canadian + 2,323 kbd foreign = 6,557 kbd of inflow, and 3,752 kbd of outflow to export destinations. Σ-of-PADDs equals usa_view to within rounding tolerance for every variable type listed.</w:t>
      </w:r>
    </w:p>
    <w:p w14:paraId="36BCFC1D" w14:textId="77777777" w:rsidR="008E1B31" w:rsidRDefault="00000000">
      <w:pPr>
        <w:spacing w:after="120"/>
      </w:pPr>
      <w:r>
        <w:rPr>
          <w:sz w:val="12"/>
          <w:szCs w:val="12"/>
        </w:rPr>
        <w:t xml:space="preserve"> </w:t>
      </w:r>
    </w:p>
    <w:p w14:paraId="36BCFC1E" w14:textId="77777777" w:rsidR="008E1B31" w:rsidRDefault="00000000">
      <w:pPr>
        <w:spacing w:after="160" w:line="320" w:lineRule="auto"/>
        <w:jc w:val="both"/>
      </w:pPr>
      <w:r>
        <w:t xml:space="preserve">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w:t>
      </w:r>
      <w:r>
        <w:lastRenderedPageBreak/>
        <w:t>across all five PADDs and at the USA aggregate, in both the inflow and outflow directions. The numerical state of the audit at the time of writing is reported in Chapter 7.</w:t>
      </w:r>
    </w:p>
    <w:p w14:paraId="36BCFC1F" w14:textId="77777777" w:rsidR="008E1B31" w:rsidRDefault="00000000">
      <w:pPr>
        <w:pStyle w:val="Heading2"/>
      </w:pPr>
      <w:r>
        <w:t>5.8 Scenarios and authoritative declarations</w:t>
      </w:r>
    </w:p>
    <w:p w14:paraId="36BCFC20" w14:textId="77777777" w:rsidR="008E1B31" w:rsidRDefault="00000000">
      <w:pPr>
        <w:spacing w:after="160" w:line="320" w:lineRule="auto"/>
        <w:jc w:val="both"/>
      </w:pPr>
      <w:r>
        <w:t xml:space="preserve">A scenario is a pair: the persistent asset graph plus a set of </w:t>
      </w:r>
      <w:proofErr w:type="spellStart"/>
      <w:r>
        <w:rPr>
          <w:rFonts w:ascii="Consolas" w:eastAsia="Consolas" w:hAnsi="Consolas" w:cs="Consolas"/>
        </w:rPr>
        <w:t>variable_assignments</w:t>
      </w:r>
      <w:proofErr w:type="spellEnd"/>
      <w:r>
        <w:t xml:space="preserve"> rows tagged with the </w:t>
      </w:r>
      <w:proofErr w:type="spellStart"/>
      <w:r>
        <w:rPr>
          <w:rFonts w:ascii="Consolas" w:eastAsia="Consolas" w:hAnsi="Consolas" w:cs="Consolas"/>
        </w:rPr>
        <w:t>scenario_id</w:t>
      </w:r>
      <w:proofErr w:type="spellEnd"/>
      <w:r>
        <w:t>. Different scenarios share the asset graph and the time-series data; they differ in which variables are bound to which time series, and which are derived from formulas.</w:t>
      </w:r>
    </w:p>
    <w:p w14:paraId="36BCFC21" w14:textId="77777777" w:rsidR="008E1B31" w:rsidRDefault="00000000">
      <w:pPr>
        <w:spacing w:after="160" w:line="320" w:lineRule="auto"/>
        <w:jc w:val="both"/>
      </w:pPr>
      <w:r>
        <w:t xml:space="preserve">The schema-level CHECK on assignment rows means each row binds the variable either to a time series (authoritative) or to a formula (derived), never both, never neither. The set of assignments under a scenario therefore encodes, for every variable, exactly which resolution is </w:t>
      </w:r>
      <w:proofErr w:type="gramStart"/>
      <w:r>
        <w:t>authoritative</w:t>
      </w:r>
      <w:proofErr w:type="gramEnd"/>
      <w:r>
        <w:t xml:space="preserve"> and which is derived. There is no separate coverage-contract structure; the per-variable choices are the contract.</w:t>
      </w:r>
    </w:p>
    <w:p w14:paraId="36BCFC22" w14:textId="77777777" w:rsidR="008E1B31" w:rsidRDefault="00000000">
      <w:pPr>
        <w:spacing w:after="160" w:line="320" w:lineRule="auto"/>
        <w:jc w:val="both"/>
      </w:pPr>
      <w:r>
        <w:t>The starter scenario's authoritative declarations summarise as follows:</w:t>
      </w:r>
    </w:p>
    <w:p w14:paraId="36BCFC23" w14:textId="77777777" w:rsidR="008E1B31" w:rsidRDefault="00000000">
      <w:pPr>
        <w:spacing w:after="160" w:line="320" w:lineRule="auto"/>
        <w:jc w:val="both"/>
      </w:pPr>
      <w:r>
        <w:t>| Subsystem | Authoritative resolution | Reason |</w:t>
      </w:r>
    </w:p>
    <w:p w14:paraId="36BCFC24" w14:textId="77777777" w:rsidR="008E1B31" w:rsidRDefault="00000000">
      <w:pPr>
        <w:spacing w:after="160" w:line="320" w:lineRule="auto"/>
        <w:jc w:val="both"/>
      </w:pPr>
      <w:r>
        <w:t>|—|—|—|</w:t>
      </w:r>
    </w:p>
    <w:p w14:paraId="36BCFC25" w14:textId="77777777" w:rsidR="008E1B31" w:rsidRDefault="00000000">
      <w:pPr>
        <w:spacing w:after="160" w:line="320" w:lineRule="auto"/>
        <w:jc w:val="both"/>
      </w:pPr>
      <w:r>
        <w:t>| Permian, Bakken basins | basin aggregate | EIA publishes production at basin level for these |</w:t>
      </w:r>
    </w:p>
    <w:p w14:paraId="36BCFC26" w14:textId="77777777" w:rsidR="008E1B31" w:rsidRDefault="00000000">
      <w:pPr>
        <w:spacing w:after="160" w:line="320" w:lineRule="auto"/>
        <w:jc w:val="both"/>
      </w:pPr>
      <w:r>
        <w:t>| Eagle Ford | state-basin | Single-state basin; equivalent to basin level |</w:t>
      </w:r>
    </w:p>
    <w:p w14:paraId="36BCFC27" w14:textId="77777777" w:rsidR="008E1B31" w:rsidRDefault="00000000">
      <w:pPr>
        <w:spacing w:after="160" w:line="320" w:lineRule="auto"/>
        <w:jc w:val="both"/>
      </w:pPr>
      <w:r>
        <w:t>| Gulf of America, Alaska | physical node | Reported separately by EIA |</w:t>
      </w:r>
    </w:p>
    <w:p w14:paraId="36BCFC28" w14:textId="77777777" w:rsidR="008E1B31" w:rsidRDefault="00000000">
      <w:pPr>
        <w:spacing w:after="160" w:line="320" w:lineRule="auto"/>
        <w:jc w:val="both"/>
      </w:pPr>
      <w:r>
        <w:t>| Rest of Lower 48 | residual aggregate | EIA publishes the residual only |</w:t>
      </w:r>
    </w:p>
    <w:p w14:paraId="36BCFC29" w14:textId="77777777" w:rsidR="008E1B31" w:rsidRDefault="00000000">
      <w:pPr>
        <w:spacing w:after="160" w:line="320" w:lineRule="auto"/>
        <w:jc w:val="both"/>
      </w:pPr>
      <w:r>
        <w:t>| Strategic Petroleum Reserve | site level | EIA PSM Table 38 publishes per-site monthly inventories |</w:t>
      </w:r>
    </w:p>
    <w:p w14:paraId="36BCFC2A" w14:textId="77777777" w:rsidR="008E1B31" w:rsidRDefault="00000000">
      <w:pPr>
        <w:spacing w:after="160" w:line="320" w:lineRule="auto"/>
        <w:jc w:val="both"/>
      </w:pPr>
      <w:r>
        <w:t>| Cushing | hub level | Operator sub-terminals inactive; the storage report is at hub level |</w:t>
      </w:r>
    </w:p>
    <w:p w14:paraId="36BCFC2B" w14:textId="77777777" w:rsidR="008E1B31" w:rsidRDefault="00000000">
      <w:pPr>
        <w:spacing w:after="160" w:line="320" w:lineRule="auto"/>
        <w:jc w:val="both"/>
      </w:pPr>
      <w:r>
        <w:t>| Houston exports | export aggregate | Facility sub-terminals inactive under a single aggregate |</w:t>
      </w:r>
    </w:p>
    <w:p w14:paraId="36BCFC2C" w14:textId="77777777" w:rsidR="008E1B31" w:rsidRDefault="00000000">
      <w:pPr>
        <w:spacing w:after="160" w:line="320" w:lineRule="auto"/>
        <w:jc w:val="both"/>
      </w:pPr>
      <w:r>
        <w:t>| Stocks | PADD level (auxiliary at sub-PADD) | MCRSFP plus MCRSSP at PADD level; sub-decomposition would double-count |</w:t>
      </w:r>
    </w:p>
    <w:p w14:paraId="36BCFC2D" w14:textId="77777777" w:rsidR="008E1B31" w:rsidRDefault="00000000">
      <w:pPr>
        <w:spacing w:after="160" w:line="320" w:lineRule="auto"/>
        <w:jc w:val="both"/>
      </w:pPr>
      <w:r>
        <w:t>| Balancing item B | PADD and USA | MCRUA series, promoted to time-series-observed in the ninth migration pass |</w:t>
      </w:r>
    </w:p>
    <w:p w14:paraId="36BCFC2E" w14:textId="77777777" w:rsidR="008E1B31" w:rsidRDefault="00000000">
      <w:pPr>
        <w:spacing w:after="160" w:line="320" w:lineRule="auto"/>
        <w:jc w:val="both"/>
      </w:pPr>
      <w:r>
        <w:t>| Inter-PADD flows | PADD-aggregate level | MCRMP series at the combined aggregate; per-pipeline split latent |</w:t>
      </w:r>
    </w:p>
    <w:p w14:paraId="36BCFC2F" w14:textId="77777777" w:rsidR="008E1B31" w:rsidRDefault="00000000">
      <w:pPr>
        <w:spacing w:after="160" w:line="320" w:lineRule="auto"/>
        <w:jc w:val="both"/>
      </w:pPr>
      <w:r>
        <w:lastRenderedPageBreak/>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proofErr w:type="spellStart"/>
      <w:r>
        <w:rPr>
          <w:rFonts w:ascii="Consolas" w:eastAsia="Consolas" w:hAnsi="Consolas" w:cs="Consolas"/>
        </w:rPr>
        <w:t>starter_basin</w:t>
      </w:r>
      <w:proofErr w:type="spellEnd"/>
      <w:r>
        <w:t>) is queued for the next development pass and will exercise the cross-scenario closure test directly.</w:t>
      </w:r>
    </w:p>
    <w:p w14:paraId="36BCFC30" w14:textId="77777777" w:rsidR="008E1B31" w:rsidRDefault="00000000">
      <w:pPr>
        <w:pStyle w:val="Heading2"/>
      </w:pPr>
      <w:r>
        <w:t>5.9 The end-to-end pipeline</w:t>
      </w:r>
    </w:p>
    <w:p w14:paraId="36BCFC31" w14:textId="77777777" w:rsidR="008E1B31" w:rsidRDefault="00000000">
      <w:pPr>
        <w:spacing w:after="160" w:line="320" w:lineRule="auto"/>
        <w:jc w:val="both"/>
      </w:pPr>
      <w:r>
        <w:t>A complete run of the framework follows three phases. Each phase has a single concern and writes to a well-defined subset of tables.</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486400" cy="2490673"/>
            <wp:docPr id="3" name="Picture 3"/>
            <wp:cNvGraphicFramePr>
              <a:graphicFrameLocks noChangeAspect="1"/>
            </wp:cNvGraphicFramePr>
            <a:graphic>
              <a:graphicData uri="http://schemas.openxmlformats.org/drawingml/2006/picture">
                <pic:pic>
                  <pic:nvPicPr>
                    <pic:cNvPr id="0" name="fig_pipeline.png"/>
                    <pic:cNvPicPr/>
                  </pic:nvPicPr>
                  <pic:blipFill>
                    <a:blip r:embed="rId13"/>
                    <a:stretch>
                      <a:fillRect/>
                    </a:stretch>
                  </pic:blipFill>
                  <pic:spPr>
                    <a:xfrm>
                      <a:off x="0" y="0"/>
                      <a:ext cx="5486400" cy="2490673"/>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2. End-to-end pipeline — load, resolve, render — with the L4 analytic views consumed by the audit machinery.</w:t>
      </w:r>
    </w:p>
    <w:p w14:paraId="36BCFC32" w14:textId="77777777" w:rsidR="008E1B31" w:rsidRDefault="00000000">
      <w:pPr>
        <w:spacing w:after="160" w:line="320" w:lineRule="auto"/>
        <w:jc w:val="both"/>
      </w:pPr>
      <w:r>
        <w:rPr>
          <w:b/>
          <w:bCs/>
        </w:rPr>
        <w:t>Phase 1 — Load.</w:t>
      </w:r>
      <w:r>
        <w:t xml:space="preserve"> The seed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is loaded into the persistent asset graph (</w:t>
      </w:r>
      <w:proofErr w:type="spellStart"/>
      <w:r>
        <w:rPr>
          <w:rFonts w:ascii="Consolas" w:eastAsia="Consolas" w:hAnsi="Consolas" w:cs="Consolas"/>
        </w:rPr>
        <w:t>load_asset_</w:t>
      </w:r>
      <w:proofErr w:type="gramStart"/>
      <w:r>
        <w:rPr>
          <w:rFonts w:ascii="Consolas" w:eastAsia="Consolas" w:hAnsi="Consolas" w:cs="Consolas"/>
        </w:rPr>
        <w:t>graph.ipynb</w:t>
      </w:r>
      <w:proofErr w:type="spellEnd"/>
      <w:proofErr w:type="gramEnd"/>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The EIA series catalogue and monthly facts are loaded (</w:t>
      </w:r>
      <w:proofErr w:type="spellStart"/>
      <w:r>
        <w:rPr>
          <w:rFonts w:ascii="Consolas" w:eastAsia="Consolas" w:hAnsi="Consolas" w:cs="Consolas"/>
        </w:rPr>
        <w:t>assign_</w:t>
      </w:r>
      <w:proofErr w:type="gramStart"/>
      <w:r>
        <w:rPr>
          <w:rFonts w:ascii="Consolas" w:eastAsia="Consolas" w:hAnsi="Consolas" w:cs="Consolas"/>
        </w:rPr>
        <w:t>eia.ipynb</w:t>
      </w:r>
      <w:proofErr w:type="spellEnd"/>
      <w:proofErr w:type="gramEnd"/>
      <w:r>
        <w:t xml:space="preserve"> writes to </w:t>
      </w:r>
      <w:r>
        <w:rPr>
          <w:rFonts w:ascii="Consolas" w:eastAsia="Consolas" w:hAnsi="Consolas" w:cs="Consolas"/>
        </w:rPr>
        <w:t>timeseries</w:t>
      </w:r>
      <w:r>
        <w:t xml:space="preserve">, </w:t>
      </w:r>
      <w:proofErr w:type="spellStart"/>
      <w:r>
        <w:rPr>
          <w:rFonts w:ascii="Consolas" w:eastAsia="Consolas" w:hAnsi="Consolas" w:cs="Consolas"/>
        </w:rPr>
        <w:t>timeseries_data</w:t>
      </w:r>
      <w:proofErr w:type="spellEnd"/>
      <w:r>
        <w:t>). The per-scenario assignment rows are produced (</w:t>
      </w:r>
      <w:proofErr w:type="spellStart"/>
      <w:r>
        <w:rPr>
          <w:rFonts w:ascii="Consolas" w:eastAsia="Consolas" w:hAnsi="Consolas" w:cs="Consolas"/>
        </w:rPr>
        <w:t>assign_</w:t>
      </w:r>
      <w:proofErr w:type="gramStart"/>
      <w:r>
        <w:rPr>
          <w:rFonts w:ascii="Consolas" w:eastAsia="Consolas" w:hAnsi="Consolas" w:cs="Consolas"/>
        </w:rPr>
        <w:t>formulas.ipynb</w:t>
      </w:r>
      <w:proofErr w:type="spellEnd"/>
      <w:proofErr w:type="gramEnd"/>
      <w:r>
        <w:t xml:space="preserve"> writes to </w:t>
      </w:r>
      <w:proofErr w:type="spellStart"/>
      <w:r>
        <w:rPr>
          <w:rFonts w:ascii="Consolas" w:eastAsia="Consolas" w:hAnsi="Consolas" w:cs="Consolas"/>
        </w:rPr>
        <w:t>variable_assignments</w:t>
      </w:r>
      <w:proofErr w:type="spellEnd"/>
      <w:r>
        <w:t>). The node-type default formulas are populated (</w:t>
      </w:r>
      <w:r>
        <w:rPr>
          <w:rFonts w:ascii="Consolas" w:eastAsia="Consolas" w:hAnsi="Consolas" w:cs="Consolas"/>
        </w:rPr>
        <w:t>populate_node_type_defaults.py</w:t>
      </w:r>
      <w:r>
        <w:t xml:space="preserve"> writes to </w:t>
      </w:r>
      <w:proofErr w:type="spellStart"/>
      <w:r>
        <w:rPr>
          <w:rFonts w:ascii="Consolas" w:eastAsia="Consolas" w:hAnsi="Consolas" w:cs="Consolas"/>
        </w:rPr>
        <w:t>node_type_default_formulas</w:t>
      </w:r>
      <w:proofErr w:type="spellEnd"/>
      <w:r>
        <w:t xml:space="preserve">). Migration scripts (the </w:t>
      </w:r>
      <w:r>
        <w:rPr>
          <w:rFonts w:ascii="Consolas" w:eastAsia="Consolas" w:hAnsi="Consolas" w:cs="Consolas"/>
        </w:rPr>
        <w:t>add_*.</w:t>
      </w:r>
      <w:proofErr w:type="spellStart"/>
      <w:r>
        <w:rPr>
          <w:rFonts w:ascii="Consolas" w:eastAsia="Consolas" w:hAnsi="Consolas" w:cs="Consolas"/>
        </w:rPr>
        <w:t>py</w:t>
      </w:r>
      <w:proofErr w:type="spellEnd"/>
      <w:r>
        <w:t xml:space="preserve">, </w:t>
      </w:r>
      <w:r>
        <w:rPr>
          <w:rFonts w:ascii="Consolas" w:eastAsia="Consolas" w:hAnsi="Consolas" w:cs="Consolas"/>
        </w:rPr>
        <w:t>split_*.</w:t>
      </w:r>
      <w:proofErr w:type="spellStart"/>
      <w:r>
        <w:rPr>
          <w:rFonts w:ascii="Consolas" w:eastAsia="Consolas" w:hAnsi="Consolas" w:cs="Consolas"/>
        </w:rPr>
        <w:t>py</w:t>
      </w:r>
      <w:proofErr w:type="spellEnd"/>
      <w:r>
        <w:t xml:space="preserve">, </w:t>
      </w:r>
      <w:r>
        <w:rPr>
          <w:rFonts w:ascii="Consolas" w:eastAsia="Consolas" w:hAnsi="Consolas" w:cs="Consolas"/>
        </w:rPr>
        <w:t>apply_*.</w:t>
      </w:r>
      <w:proofErr w:type="spellStart"/>
      <w:r>
        <w:rPr>
          <w:rFonts w:ascii="Consolas" w:eastAsia="Consolas" w:hAnsi="Consolas" w:cs="Consolas"/>
        </w:rPr>
        <w:t>py</w:t>
      </w:r>
      <w:proofErr w:type="spellEnd"/>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000000">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proofErr w:type="spellStart"/>
      <w:r>
        <w:rPr>
          <w:rFonts w:ascii="Consolas" w:eastAsia="Consolas" w:hAnsi="Consolas" w:cs="Consolas"/>
        </w:rPr>
        <w:t>scenario_resolved_values</w:t>
      </w:r>
      <w:proofErr w:type="spellEnd"/>
      <w:r>
        <w:t xml:space="preserve">. An audit row is written to </w:t>
      </w:r>
      <w:proofErr w:type="spellStart"/>
      <w:r>
        <w:rPr>
          <w:rFonts w:ascii="Consolas" w:eastAsia="Consolas" w:hAnsi="Consolas" w:cs="Consolas"/>
        </w:rPr>
        <w:t>scenario_resolver_runs</w:t>
      </w:r>
      <w:proofErr w:type="spellEnd"/>
      <w:r>
        <w:t xml:space="preserve"> capturing the run's metadata (start and end timestamps, duration, dispatch counts as JSONB, optional notes). On completion, the L4 analytic views are refreshed automatically.</w:t>
      </w:r>
    </w:p>
    <w:p w14:paraId="36BCFC34" w14:textId="77777777" w:rsidR="008E1B31" w:rsidRDefault="00000000">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proofErr w:type="spellStart"/>
      <w:r>
        <w:rPr>
          <w:rFonts w:ascii="Consolas" w:eastAsia="Consolas" w:hAnsi="Consolas" w:cs="Consolas"/>
        </w:rPr>
        <w:t>scenario_html_artefacts</w:t>
      </w:r>
      <w:proofErr w:type="spellEnd"/>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000000">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000000">
      <w:pPr>
        <w:pStyle w:val="Heading1"/>
        <w:pageBreakBefore/>
      </w:pPr>
      <w:r>
        <w:lastRenderedPageBreak/>
        <w:t>6. The Resolver</w:t>
      </w:r>
    </w:p>
    <w:p w14:paraId="36BCFC37" w14:textId="77777777" w:rsidR="008E1B31" w:rsidRDefault="00000000">
      <w:pPr>
        <w:spacing w:after="160" w:line="320" w:lineRule="auto"/>
        <w:jc w:val="both"/>
      </w:pPr>
      <w:r>
        <w:t>The resolver is the mechanism that consumes the persistent asset graph and the per-scenario assignment set, evaluates every variable at every observation date, and writes the resulting per</w:t>
      </w:r>
      <w:proofErr w:type="gramStart"/>
      <w:r>
        <w:t>-(</w:t>
      </w:r>
      <w:proofErr w:type="gramEnd"/>
      <w:r>
        <w:t>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000000">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000000">
      <w:pPr>
        <w:pStyle w:val="Heading2"/>
      </w:pPr>
      <w:r>
        <w:t>6.1 Why the resolver exists</w:t>
      </w:r>
    </w:p>
    <w:p w14:paraId="36BCFC3A" w14:textId="77777777" w:rsidR="008E1B31" w:rsidRDefault="00000000">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000000">
      <w:pPr>
        <w:spacing w:after="160" w:line="320" w:lineRule="auto"/>
        <w:jc w:val="both"/>
      </w:pPr>
      <w:r>
        <w:t>The resolver collapses every consumer's resolution logic into a single deterministic pass:</w:t>
      </w:r>
    </w:p>
    <w:p w14:paraId="36BCFC3C" w14:textId="77777777" w:rsidR="008E1B31" w:rsidRDefault="00000000">
      <w:pPr>
        <w:shd w:val="clear" w:color="auto" w:fill="F4F4F4"/>
      </w:pPr>
      <w:proofErr w:type="gramStart"/>
      <w:r>
        <w:rPr>
          <w:rFonts w:ascii="Consolas" w:eastAsia="Consolas" w:hAnsi="Consolas" w:cs="Consolas"/>
          <w:sz w:val="20"/>
          <w:szCs w:val="20"/>
        </w:rPr>
        <w:t>inputs :</w:t>
      </w:r>
      <w:proofErr w:type="gramEnd"/>
      <w:r>
        <w:rPr>
          <w:rFonts w:ascii="Consolas" w:eastAsia="Consolas" w:hAnsi="Consolas" w:cs="Consolas"/>
          <w:sz w:val="20"/>
          <w:szCs w:val="20"/>
        </w:rPr>
        <w:t xml:space="preserve"> variables + </w:t>
      </w:r>
      <w:proofErr w:type="spellStart"/>
      <w:r>
        <w:rPr>
          <w:rFonts w:ascii="Consolas" w:eastAsia="Consolas" w:hAnsi="Consolas" w:cs="Consolas"/>
          <w:sz w:val="20"/>
          <w:szCs w:val="20"/>
        </w:rPr>
        <w:t>variable_assignments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timeseries_data</w:t>
      </w:r>
      <w:proofErr w:type="spellEnd"/>
    </w:p>
    <w:p w14:paraId="36BCFC3D" w14:textId="77777777" w:rsidR="008E1B31" w:rsidRDefault="00000000">
      <w:pPr>
        <w:shd w:val="clear" w:color="auto" w:fill="F4F4F4"/>
      </w:pPr>
      <w:r>
        <w:rPr>
          <w:rFonts w:ascii="Consolas" w:eastAsia="Consolas" w:hAnsi="Consolas" w:cs="Consolas"/>
          <w:sz w:val="20"/>
          <w:szCs w:val="20"/>
        </w:rPr>
        <w:t xml:space="preserve">         + the active </w:t>
      </w:r>
      <w:proofErr w:type="spellStart"/>
      <w:r>
        <w:rPr>
          <w:rFonts w:ascii="Consolas" w:eastAsia="Consolas" w:hAnsi="Consolas" w:cs="Consolas"/>
          <w:sz w:val="20"/>
          <w:szCs w:val="20"/>
        </w:rPr>
        <w:t>scenario_id</w:t>
      </w:r>
      <w:proofErr w:type="spellEnd"/>
    </w:p>
    <w:p w14:paraId="36BCFC3E" w14:textId="77777777" w:rsidR="008E1B31" w:rsidRDefault="00000000">
      <w:pPr>
        <w:shd w:val="clear" w:color="auto" w:fill="F4F4F4"/>
      </w:pPr>
      <w:proofErr w:type="gramStart"/>
      <w:r>
        <w:rPr>
          <w:rFonts w:ascii="Consolas" w:eastAsia="Consolas" w:hAnsi="Consolas" w:cs="Consolas"/>
          <w:sz w:val="20"/>
          <w:szCs w:val="20"/>
        </w:rPr>
        <w:t>output :</w:t>
      </w:r>
      <w:proofErr w:type="gramEnd"/>
      <w:r>
        <w:rPr>
          <w:rFonts w:ascii="Consolas" w:eastAsia="Consolas" w:hAnsi="Consolas" w:cs="Consolas"/>
          <w:sz w:val="20"/>
          <w:szCs w:val="20"/>
        </w:rPr>
        <w:t xml:space="preserve"> one row per (variable, date) in </w:t>
      </w:r>
      <w:proofErr w:type="spellStart"/>
      <w:r>
        <w:rPr>
          <w:rFonts w:ascii="Consolas" w:eastAsia="Consolas" w:hAnsi="Consolas" w:cs="Consolas"/>
          <w:sz w:val="20"/>
          <w:szCs w:val="20"/>
        </w:rPr>
        <w:t>scenario_resolved_values</w:t>
      </w:r>
      <w:proofErr w:type="spellEnd"/>
    </w:p>
    <w:p w14:paraId="36BCFC3F" w14:textId="77777777" w:rsidR="008E1B31" w:rsidRDefault="00000000">
      <w:pPr>
        <w:spacing w:after="120"/>
      </w:pPr>
      <w:r>
        <w:rPr>
          <w:sz w:val="12"/>
          <w:szCs w:val="12"/>
        </w:rPr>
        <w:t xml:space="preserve"> </w:t>
      </w:r>
    </w:p>
    <w:p w14:paraId="36BCFC40" w14:textId="77777777" w:rsidR="008E1B31" w:rsidRDefault="00000000">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000000">
      <w:pPr>
        <w:pStyle w:val="Heading2"/>
      </w:pPr>
      <w:r>
        <w:t>6.2 The output table</w:t>
      </w:r>
    </w:p>
    <w:p w14:paraId="36BCFC42" w14:textId="77777777" w:rsidR="008E1B31" w:rsidRDefault="00000000">
      <w:pPr>
        <w:spacing w:after="160" w:line="320" w:lineRule="auto"/>
        <w:jc w:val="both"/>
      </w:pPr>
      <w:r>
        <w:t xml:space="preserve">The resolver writes to </w:t>
      </w:r>
      <w:proofErr w:type="spellStart"/>
      <w:r>
        <w:rPr>
          <w:rFonts w:ascii="Consolas" w:eastAsia="Consolas" w:hAnsi="Consolas" w:cs="Consolas"/>
        </w:rPr>
        <w:t>oil_</w:t>
      </w:r>
      <w:proofErr w:type="gramStart"/>
      <w:r>
        <w:rPr>
          <w:rFonts w:ascii="Consolas" w:eastAsia="Consolas" w:hAnsi="Consolas" w:cs="Consolas"/>
        </w:rPr>
        <w:t>network.scenario</w:t>
      </w:r>
      <w:proofErr w:type="gramEnd"/>
      <w:r>
        <w:rPr>
          <w:rFonts w:ascii="Consolas" w:eastAsia="Consolas" w:hAnsi="Consolas" w:cs="Consolas"/>
        </w:rPr>
        <w:t>_resolved_values</w:t>
      </w:r>
      <w:proofErr w:type="spellEnd"/>
      <w:r>
        <w:t>. Two columns from the table definition deserve particular attention:</w:t>
      </w:r>
    </w:p>
    <w:p w14:paraId="36BCFC43" w14:textId="77777777" w:rsidR="008E1B31" w:rsidRDefault="00000000">
      <w:pPr>
        <w:shd w:val="clear" w:color="auto" w:fill="F4F4F4"/>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oil_</w:t>
      </w:r>
      <w:proofErr w:type="gramStart"/>
      <w:r>
        <w:rPr>
          <w:rFonts w:ascii="Consolas" w:eastAsia="Consolas" w:hAnsi="Consolas" w:cs="Consolas"/>
          <w:sz w:val="20"/>
          <w:szCs w:val="20"/>
        </w:rPr>
        <w:t>network.scenario</w:t>
      </w:r>
      <w:proofErr w:type="gramEnd"/>
      <w:r>
        <w:rPr>
          <w:rFonts w:ascii="Consolas" w:eastAsia="Consolas" w:hAnsi="Consolas" w:cs="Consolas"/>
          <w:sz w:val="20"/>
          <w:szCs w:val="20"/>
        </w:rPr>
        <w:t>_resolved_values</w:t>
      </w:r>
      <w:proofErr w:type="spellEnd"/>
      <w:r>
        <w:rPr>
          <w:rFonts w:ascii="Consolas" w:eastAsia="Consolas" w:hAnsi="Consolas" w:cs="Consolas"/>
          <w:sz w:val="20"/>
          <w:szCs w:val="20"/>
        </w:rPr>
        <w:t xml:space="preserve"> (</w:t>
      </w:r>
    </w:p>
    <w:p w14:paraId="36BCFC44"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TEXT NOT NULL REFERENCES scenarios ON DELETE CASCADE,</w:t>
      </w:r>
    </w:p>
    <w:p w14:paraId="36BCFC45"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TEXT NOT NULL REFERENCES variables ON DELETE CASCADE,</w:t>
      </w:r>
    </w:p>
    <w:p w14:paraId="36BCFC46"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observation_</w:t>
      </w:r>
      <w:proofErr w:type="gramStart"/>
      <w:r>
        <w:rPr>
          <w:rFonts w:ascii="Consolas" w:eastAsia="Consolas" w:hAnsi="Consolas" w:cs="Consolas"/>
          <w:sz w:val="20"/>
          <w:szCs w:val="20"/>
        </w:rPr>
        <w:t>date</w:t>
      </w:r>
      <w:proofErr w:type="spellEnd"/>
      <w:r>
        <w:rPr>
          <w:rFonts w:ascii="Consolas" w:eastAsia="Consolas" w:hAnsi="Consolas" w:cs="Consolas"/>
          <w:sz w:val="20"/>
          <w:szCs w:val="20"/>
        </w:rPr>
        <w:t xml:space="preserve">  DATE</w:t>
      </w:r>
      <w:proofErr w:type="gramEnd"/>
      <w:r>
        <w:rPr>
          <w:rFonts w:ascii="Consolas" w:eastAsia="Consolas" w:hAnsi="Consolas" w:cs="Consolas"/>
          <w:sz w:val="20"/>
          <w:szCs w:val="20"/>
        </w:rPr>
        <w:t xml:space="preserve"> NOT NULL,</w:t>
      </w:r>
    </w:p>
    <w:p w14:paraId="36BCFC47" w14:textId="77777777" w:rsidR="008E1B31" w:rsidRDefault="00000000">
      <w:pPr>
        <w:shd w:val="clear" w:color="auto" w:fill="F4F4F4"/>
      </w:pPr>
      <w:r>
        <w:rPr>
          <w:rFonts w:ascii="Consolas" w:eastAsia="Consolas" w:hAnsi="Consolas" w:cs="Consolas"/>
          <w:sz w:val="20"/>
          <w:szCs w:val="20"/>
        </w:rPr>
        <w:t xml:space="preserve">    value             DOUBLE PRECISION,</w:t>
      </w:r>
    </w:p>
    <w:p w14:paraId="36BCFC48" w14:textId="77777777" w:rsidR="008E1B31" w:rsidRDefault="00000000">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000000">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000000">
      <w:pPr>
        <w:shd w:val="clear" w:color="auto" w:fill="F4F4F4"/>
      </w:pP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formula_used</w:t>
      </w:r>
      <w:proofErr w:type="spellEnd"/>
      <w:r>
        <w:rPr>
          <w:rFonts w:ascii="Consolas" w:eastAsia="Consolas" w:hAnsi="Consolas" w:cs="Consolas"/>
          <w:sz w:val="20"/>
          <w:szCs w:val="20"/>
        </w:rPr>
        <w:t xml:space="preserve">      TEXT,</w:t>
      </w:r>
    </w:p>
    <w:p w14:paraId="36BCFC4B"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TEXT,</w:t>
      </w:r>
    </w:p>
    <w:p w14:paraId="36BCFC4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saved_date</w:t>
      </w:r>
      <w:proofErr w:type="spellEnd"/>
      <w:r>
        <w:rPr>
          <w:rFonts w:ascii="Consolas" w:eastAsia="Consolas" w:hAnsi="Consolas" w:cs="Consolas"/>
          <w:sz w:val="20"/>
          <w:szCs w:val="20"/>
        </w:rPr>
        <w:t xml:space="preserve">        TIMESTAMPTZ DEFAULT </w:t>
      </w:r>
      <w:proofErr w:type="gramStart"/>
      <w:r>
        <w:rPr>
          <w:rFonts w:ascii="Consolas" w:eastAsia="Consolas" w:hAnsi="Consolas" w:cs="Consolas"/>
          <w:sz w:val="20"/>
          <w:szCs w:val="20"/>
        </w:rPr>
        <w:t>NOW(</w:t>
      </w:r>
      <w:proofErr w:type="gramEnd"/>
      <w:r>
        <w:rPr>
          <w:rFonts w:ascii="Consolas" w:eastAsia="Consolas" w:hAnsi="Consolas" w:cs="Consolas"/>
          <w:sz w:val="20"/>
          <w:szCs w:val="20"/>
        </w:rPr>
        <w:t>),</w:t>
      </w:r>
    </w:p>
    <w:p w14:paraId="36BCFC4D"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run_id</w:t>
      </w:r>
      <w:proofErr w:type="spellEnd"/>
      <w:r>
        <w:rPr>
          <w:rFonts w:ascii="Consolas" w:eastAsia="Consolas" w:hAnsi="Consolas" w:cs="Consolas"/>
          <w:sz w:val="20"/>
          <w:szCs w:val="20"/>
        </w:rPr>
        <w:t xml:space="preserve">            BIGINT REFERENCES </w:t>
      </w:r>
      <w:proofErr w:type="spellStart"/>
      <w:r>
        <w:rPr>
          <w:rFonts w:ascii="Consolas" w:eastAsia="Consolas" w:hAnsi="Consolas" w:cs="Consolas"/>
          <w:sz w:val="20"/>
          <w:szCs w:val="20"/>
        </w:rPr>
        <w:t>scenario_resolver_runs</w:t>
      </w:r>
      <w:proofErr w:type="spellEnd"/>
      <w:r>
        <w:rPr>
          <w:rFonts w:ascii="Consolas" w:eastAsia="Consolas" w:hAnsi="Consolas" w:cs="Consolas"/>
          <w:sz w:val="20"/>
          <w:szCs w:val="20"/>
        </w:rPr>
        <w:t>,</w:t>
      </w:r>
    </w:p>
    <w:p w14:paraId="36BCFC4E" w14:textId="77777777" w:rsidR="008E1B31" w:rsidRDefault="00000000">
      <w:pPr>
        <w:shd w:val="clear" w:color="auto" w:fill="F4F4F4"/>
      </w:pPr>
      <w:r>
        <w:rPr>
          <w:rFonts w:ascii="Consolas" w:eastAsia="Consolas" w:hAnsi="Consolas" w:cs="Consolas"/>
          <w:sz w:val="20"/>
          <w:szCs w:val="20"/>
        </w:rPr>
        <w:t xml:space="preserve">    PRIMARY KEY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w:t>
      </w:r>
    </w:p>
    <w:p w14:paraId="36BCFC4F" w14:textId="77777777" w:rsidR="008E1B31" w:rsidRDefault="00000000">
      <w:pPr>
        <w:shd w:val="clear" w:color="auto" w:fill="F4F4F4"/>
      </w:pPr>
      <w:r>
        <w:rPr>
          <w:rFonts w:ascii="Consolas" w:eastAsia="Consolas" w:hAnsi="Consolas" w:cs="Consolas"/>
          <w:sz w:val="20"/>
          <w:szCs w:val="20"/>
        </w:rPr>
        <w:t>);</w:t>
      </w:r>
    </w:p>
    <w:p w14:paraId="36BCFC50" w14:textId="77777777" w:rsidR="008E1B31" w:rsidRDefault="00000000">
      <w:pPr>
        <w:spacing w:after="120"/>
      </w:pPr>
      <w:r>
        <w:rPr>
          <w:sz w:val="12"/>
          <w:szCs w:val="12"/>
        </w:rPr>
        <w:t xml:space="preserve"> </w:t>
      </w:r>
    </w:p>
    <w:p w14:paraId="36BCFC51" w14:textId="77777777" w:rsidR="008E1B31" w:rsidRDefault="00000000">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000000">
      <w:pPr>
        <w:spacing w:after="160" w:line="320" w:lineRule="auto"/>
        <w:jc w:val="both"/>
      </w:pPr>
      <w:r>
        <w:t xml:space="preserve">The </w:t>
      </w:r>
      <w:r>
        <w:rPr>
          <w:rFonts w:ascii="Consolas" w:eastAsia="Consolas" w:hAnsi="Consolas" w:cs="Consolas"/>
        </w:rPr>
        <w:t>source</w:t>
      </w:r>
      <w:r>
        <w:t xml:space="preserve"> column is a constrained </w:t>
      </w:r>
      <w:proofErr w:type="spellStart"/>
      <w:r>
        <w:t>enum</w:t>
      </w:r>
      <w:proofErr w:type="spellEnd"/>
      <w:r>
        <w:t xml:space="preserve"> with five categories:</w:t>
      </w:r>
    </w:p>
    <w:p w14:paraId="36BCFC53" w14:textId="77777777" w:rsidR="008E1B31" w:rsidRDefault="00000000">
      <w:pPr>
        <w:spacing w:after="160" w:line="320" w:lineRule="auto"/>
        <w:jc w:val="both"/>
      </w:pPr>
      <w:r>
        <w:t>| Source | Meaning |</w:t>
      </w:r>
    </w:p>
    <w:p w14:paraId="36BCFC54" w14:textId="77777777" w:rsidR="008E1B31" w:rsidRDefault="00000000">
      <w:pPr>
        <w:spacing w:after="160" w:line="320" w:lineRule="auto"/>
        <w:jc w:val="both"/>
      </w:pPr>
      <w:r>
        <w:t>|—|—|</w:t>
      </w:r>
    </w:p>
    <w:p w14:paraId="36BCFC55" w14:textId="77777777" w:rsidR="008E1B31" w:rsidRDefault="00000000">
      <w:pPr>
        <w:spacing w:after="160" w:line="320" w:lineRule="auto"/>
        <w:jc w:val="both"/>
      </w:pPr>
      <w:r>
        <w:t>| observed | Direct time-series lookup. The ground-truth measurement |</w:t>
      </w:r>
    </w:p>
    <w:p w14:paraId="36BCFC56" w14:textId="77777777" w:rsidR="008E1B31" w:rsidRDefault="00000000">
      <w:pPr>
        <w:spacing w:after="160" w:line="320" w:lineRule="auto"/>
        <w:jc w:val="both"/>
      </w:pPr>
      <w:r>
        <w:t>| derived | Value computed by a formula (alias, sum, closure, arithmetic, reverse mirror) |</w:t>
      </w:r>
    </w:p>
    <w:p w14:paraId="36BCFC57" w14:textId="77777777" w:rsidR="008E1B31" w:rsidRDefault="00000000">
      <w:pPr>
        <w:spacing w:after="160" w:line="320" w:lineRule="auto"/>
        <w:jc w:val="both"/>
      </w:pPr>
      <w:r>
        <w:t>| zero | Structural zero, encoding a physical fact (a refinery does not produce crude) |</w:t>
      </w:r>
    </w:p>
    <w:p w14:paraId="36BCFC58" w14:textId="77777777" w:rsidR="008E1B31" w:rsidRDefault="00000000">
      <w:pPr>
        <w:spacing w:after="160" w:line="320" w:lineRule="auto"/>
        <w:jc w:val="both"/>
      </w:pPr>
      <w:r>
        <w:t>| latent | Declared variable with no resolution path. Value is NULL by design |</w:t>
      </w:r>
    </w:p>
    <w:p w14:paraId="36BCFC59" w14:textId="77777777" w:rsidR="008E1B31" w:rsidRDefault="00000000">
      <w:pPr>
        <w:spacing w:after="160" w:line="320" w:lineRule="auto"/>
        <w:jc w:val="both"/>
      </w:pPr>
      <w:r>
        <w:t>| unresolved | A formula was given but could not be evaluated. Zero rows in a healthy run |</w:t>
      </w:r>
    </w:p>
    <w:p w14:paraId="36BCFC5A" w14:textId="77777777" w:rsidR="008E1B31" w:rsidRDefault="00000000">
      <w:pPr>
        <w:spacing w:after="160" w:line="320" w:lineRule="auto"/>
        <w:jc w:val="both"/>
      </w:pPr>
      <w:r>
        <w:t xml:space="preserve">The </w:t>
      </w:r>
      <w:proofErr w:type="spellStart"/>
      <w:r>
        <w:rPr>
          <w:rFonts w:ascii="Consolas" w:eastAsia="Consolas" w:hAnsi="Consolas" w:cs="Consolas"/>
        </w:rPr>
        <w:t>formula_used</w:t>
      </w:r>
      <w:proofErr w:type="spellEnd"/>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000000">
      <w:pPr>
        <w:spacing w:after="160" w:line="320" w:lineRule="auto"/>
        <w:jc w:val="both"/>
      </w:pPr>
      <w:r>
        <w:t xml:space="preserve">Every run of the resolver writes an audit row to </w:t>
      </w:r>
      <w:proofErr w:type="spellStart"/>
      <w:r>
        <w:rPr>
          <w:rFonts w:ascii="Consolas" w:eastAsia="Consolas" w:hAnsi="Consolas" w:cs="Consolas"/>
        </w:rPr>
        <w:t>scenario_resolver_runs</w:t>
      </w:r>
      <w:proofErr w:type="spellEnd"/>
      <w:r>
        <w:t xml:space="preserve"> recording the start and end timestamps, the elapsed duration, the dispatch counts as a JSONB object, and optional free-text notes. Every resolved-value row carries the </w:t>
      </w:r>
      <w:proofErr w:type="spellStart"/>
      <w:r>
        <w:rPr>
          <w:rFonts w:ascii="Consolas" w:eastAsia="Consolas" w:hAnsi="Consolas" w:cs="Consolas"/>
        </w:rPr>
        <w:t>run_id</w:t>
      </w:r>
      <w:proofErr w:type="spellEnd"/>
      <w:r>
        <w:t xml:space="preserve"> that produced it, so historical comparisons across runs reduce to a single SQL join.</w:t>
      </w:r>
    </w:p>
    <w:p w14:paraId="36BCFC5C" w14:textId="77777777" w:rsidR="008E1B31" w:rsidRDefault="00000000">
      <w:pPr>
        <w:pStyle w:val="Heading2"/>
      </w:pPr>
      <w:r>
        <w:t>6.3 How a run flows end to end</w:t>
      </w:r>
    </w:p>
    <w:p w14:paraId="36BCFC5D" w14:textId="77777777" w:rsidR="008E1B31" w:rsidRDefault="00000000">
      <w:pPr>
        <w:spacing w:after="160" w:line="320" w:lineRule="auto"/>
        <w:jc w:val="both"/>
      </w:pPr>
      <w:r>
        <w:t>The top-level shape of the resolver follows five phases:</w:t>
      </w:r>
    </w:p>
    <w:p w14:paraId="36BCFC5E"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load(</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build_</w:t>
      </w:r>
      <w:proofErr w:type="gramStart"/>
      <w:r>
        <w:rPr>
          <w:rFonts w:ascii="Consolas" w:eastAsia="Consolas" w:hAnsi="Consolas" w:cs="Consolas"/>
          <w:sz w:val="20"/>
          <w:szCs w:val="20"/>
        </w:rPr>
        <w:t>deps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topo</w:t>
      </w:r>
      <w:proofErr w:type="spellEnd"/>
      <w:r>
        <w:rPr>
          <w:rFonts w:ascii="Consolas" w:eastAsia="Consolas" w:hAnsi="Consolas" w:cs="Consolas"/>
          <w:sz w:val="20"/>
          <w:szCs w:val="20"/>
        </w:rPr>
        <w:t xml:space="preserve"> sort</w:t>
      </w:r>
    </w:p>
    <w:p w14:paraId="36BCFC5F" w14:textId="77777777" w:rsidR="008E1B31" w:rsidRDefault="00000000">
      <w:pPr>
        <w:shd w:val="clear" w:color="auto" w:fill="F4F4F4"/>
      </w:pPr>
      <w:r>
        <w:rPr>
          <w:rFonts w:ascii="Consolas" w:eastAsia="Consolas" w:hAnsi="Consolas" w:cs="Consolas"/>
          <w:sz w:val="20"/>
          <w:szCs w:val="20"/>
        </w:rPr>
        <w:t xml:space="preserve">DB ────────► assignments ──────► deps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 xml:space="preserve"> ────────►</w:t>
      </w:r>
    </w:p>
    <w:p w14:paraId="36BCFC60" w14:textId="77777777" w:rsidR="008E1B31" w:rsidRDefault="00000000">
      <w:pPr>
        <w:shd w:val="clear" w:color="auto" w:fill="F4F4F4"/>
      </w:pPr>
      <w:r>
        <w:rPr>
          <w:rFonts w:ascii="Consolas" w:eastAsia="Consolas" w:hAnsi="Consolas" w:cs="Consolas"/>
          <w:sz w:val="20"/>
          <w:szCs w:val="20"/>
        </w:rPr>
        <w:t xml:space="preserve">                                                      │</w:t>
      </w:r>
    </w:p>
    <w:p w14:paraId="36BCFC61" w14:textId="77777777" w:rsidR="008E1B31" w:rsidRDefault="00000000">
      <w:pPr>
        <w:shd w:val="clear" w:color="auto" w:fill="F4F4F4"/>
      </w:pPr>
      <w:r>
        <w:rPr>
          <w:rFonts w:ascii="Consolas" w:eastAsia="Consolas" w:hAnsi="Consolas" w:cs="Consolas"/>
          <w:sz w:val="20"/>
          <w:szCs w:val="20"/>
        </w:rPr>
        <w:t xml:space="preserve">                                                      ▼</w:t>
      </w:r>
    </w:p>
    <w:p w14:paraId="36BCFC62" w14:textId="77777777" w:rsidR="008E1B31" w:rsidRDefault="00000000">
      <w:pPr>
        <w:shd w:val="clear" w:color="auto" w:fill="F4F4F4"/>
      </w:pPr>
      <w:r>
        <w:rPr>
          <w:rFonts w:ascii="Consolas" w:eastAsia="Consolas" w:hAnsi="Consolas" w:cs="Consolas"/>
          <w:sz w:val="20"/>
          <w:szCs w:val="20"/>
        </w:rPr>
        <w:t xml:space="preserve">                                            dispatch loop (rules </w:t>
      </w:r>
      <w:proofErr w:type="gramStart"/>
      <w:r>
        <w:rPr>
          <w:rFonts w:ascii="Consolas" w:eastAsia="Consolas" w:hAnsi="Consolas" w:cs="Consolas"/>
          <w:sz w:val="20"/>
          <w:szCs w:val="20"/>
        </w:rPr>
        <w:t>1..</w:t>
      </w:r>
      <w:proofErr w:type="gramEnd"/>
      <w:r>
        <w:rPr>
          <w:rFonts w:ascii="Consolas" w:eastAsia="Consolas" w:hAnsi="Consolas" w:cs="Consolas"/>
          <w:sz w:val="20"/>
          <w:szCs w:val="20"/>
        </w:rPr>
        <w:t>9)</w:t>
      </w:r>
    </w:p>
    <w:p w14:paraId="36BCFC63" w14:textId="77777777" w:rsidR="008E1B31" w:rsidRDefault="00000000">
      <w:pPr>
        <w:shd w:val="clear" w:color="auto" w:fill="F4F4F4"/>
      </w:pPr>
      <w:r>
        <w:rPr>
          <w:rFonts w:ascii="Consolas" w:eastAsia="Consolas" w:hAnsi="Consolas" w:cs="Consolas"/>
          <w:sz w:val="20"/>
          <w:szCs w:val="20"/>
        </w:rPr>
        <w:t xml:space="preserve">                                                      │</w:t>
      </w:r>
    </w:p>
    <w:p w14:paraId="36BCFC64" w14:textId="77777777" w:rsidR="008E1B31" w:rsidRDefault="00000000">
      <w:pPr>
        <w:shd w:val="clear" w:color="auto" w:fill="F4F4F4"/>
      </w:pPr>
      <w:r>
        <w:rPr>
          <w:rFonts w:ascii="Consolas" w:eastAsia="Consolas" w:hAnsi="Consolas" w:cs="Consolas"/>
          <w:sz w:val="20"/>
          <w:szCs w:val="20"/>
        </w:rPr>
        <w:lastRenderedPageBreak/>
        <w:t xml:space="preserve">                                                      ▼</w:t>
      </w:r>
    </w:p>
    <w:p w14:paraId="36BCFC65" w14:textId="77777777" w:rsidR="008E1B31" w:rsidRDefault="00000000">
      <w:pPr>
        <w:shd w:val="clear" w:color="auto" w:fill="F4F4F4"/>
      </w:pPr>
      <w:r>
        <w:rPr>
          <w:rFonts w:ascii="Consolas" w:eastAsia="Consolas" w:hAnsi="Consolas" w:cs="Consolas"/>
          <w:sz w:val="20"/>
          <w:szCs w:val="20"/>
        </w:rPr>
        <w:t xml:space="preserve">                                      persist to </w:t>
      </w:r>
      <w:proofErr w:type="spellStart"/>
      <w:r>
        <w:rPr>
          <w:rFonts w:ascii="Consolas" w:eastAsia="Consolas" w:hAnsi="Consolas" w:cs="Consolas"/>
          <w:sz w:val="20"/>
          <w:szCs w:val="20"/>
        </w:rPr>
        <w:t>scenario_resolved_values</w:t>
      </w:r>
      <w:proofErr w:type="spellEnd"/>
    </w:p>
    <w:p w14:paraId="36BCFC66" w14:textId="77777777" w:rsidR="008E1B31" w:rsidRDefault="00000000">
      <w:pPr>
        <w:spacing w:after="120"/>
      </w:pPr>
      <w:r>
        <w:rPr>
          <w:sz w:val="12"/>
          <w:szCs w:val="12"/>
        </w:rPr>
        <w:t xml:space="preserve"> </w:t>
      </w:r>
    </w:p>
    <w:p w14:paraId="36BCFC67" w14:textId="77777777" w:rsidR="008E1B31" w:rsidRDefault="00000000">
      <w:pPr>
        <w:spacing w:after="160" w:line="320" w:lineRule="auto"/>
        <w:jc w:val="both"/>
      </w:pPr>
      <w:r>
        <w:t>Each phase has a single concern, isolated from the others. The dispatch loop never reads from the database; the loader never evaluates formulas; the topological sort never produces values. Mistakes in any one phase are diagnosed by inspecting that phase's single concern.</w:t>
      </w:r>
    </w:p>
    <w:p w14:paraId="36BCFC68" w14:textId="77777777" w:rsidR="008E1B31" w:rsidRDefault="00000000">
      <w:pPr>
        <w:spacing w:after="160" w:line="320" w:lineRule="auto"/>
        <w:jc w:val="both"/>
      </w:pPr>
      <w:r>
        <w:t xml:space="preserve">A common framing of the resolver is that it starts from "production nodes with P observed and outflow equal to production". That is a special case, not the rule. The actual starting points are the leaves of the dependency DAG — every variable with no upstream dependency. There are two categories of leaf. First, </w:t>
      </w:r>
      <w:r>
        <w:rPr>
          <w:b/>
          <w:bCs/>
        </w:rPr>
        <w:t>observed variables</w:t>
      </w:r>
      <w:r>
        <w:t xml:space="preserve">: any variable with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time-series lookup is the ground truth; no other rule contributes to its value. Second, </w:t>
      </w:r>
      <w:r>
        <w:rPr>
          <w:b/>
          <w:bCs/>
        </w:rPr>
        <w:t>structural zeros</w:t>
      </w:r>
      <w:r>
        <w:t xml:space="preserve">: any variable with </w:t>
      </w:r>
      <w:r>
        <w:rPr>
          <w:rFonts w:ascii="Consolas" w:eastAsia="Consolas" w:hAnsi="Consolas" w:cs="Consolas"/>
        </w:rPr>
        <w:t>formula = '0'</w:t>
      </w:r>
      <w:r>
        <w:t xml:space="preserve">. These come from </w:t>
      </w:r>
      <w:proofErr w:type="spellStart"/>
      <w:r>
        <w:rPr>
          <w:rFonts w:ascii="Consolas" w:eastAsia="Consolas" w:hAnsi="Consolas" w:cs="Consolas"/>
        </w:rPr>
        <w:t>node_type_default_formulas</w:t>
      </w:r>
      <w:proofErr w:type="spellEnd"/>
      <w:r>
        <w:t xml:space="preserve"> — a pipeline's P, C, ΔS, and B are zero by physical construction; a refinery's outflow is zero (refineries consume crude, they do not return it). No upstream variable contributes to a structural zero either.</w:t>
      </w:r>
    </w:p>
    <w:p w14:paraId="36BCFC69" w14:textId="77777777" w:rsidR="008E1B31" w:rsidRDefault="00000000">
      <w:pPr>
        <w:spacing w:after="160" w:line="320" w:lineRule="auto"/>
        <w:jc w:val="both"/>
      </w:pPr>
      <w:r>
        <w:t>Everything else is derived from these leaves through the topologically ordered dispatch loop. The propagation is bottom-up: an alias needs its target resolved first; a sum needs its inputs; a closure needs the inventory delta and the flows. The topological sort guarantees that each variable is visited only after its dependencies are.</w:t>
      </w:r>
    </w:p>
    <w:p w14:paraId="36BCFC6A" w14:textId="77777777" w:rsidR="008E1B31" w:rsidRDefault="00000000">
      <w:pPr>
        <w:pStyle w:val="Heading2"/>
      </w:pPr>
      <w:r>
        <w:t>6.4 The dispatch loop</w:t>
      </w:r>
    </w:p>
    <w:p w14:paraId="36BCFC6B" w14:textId="77777777" w:rsidR="008E1B31" w:rsidRDefault="00000000">
      <w:pPr>
        <w:spacing w:after="160" w:line="320" w:lineRule="auto"/>
        <w:jc w:val="both"/>
      </w:pPr>
      <w:r>
        <w:t>Rules are tried in priority order. The first rule that succeeds produces a value and short-circuits the rest. The unresolved fallback (the last rule) should fire zero times in a healthy run.</w:t>
      </w:r>
    </w:p>
    <w:p w14:paraId="36BCFC6C" w14:textId="77777777" w:rsidR="008E1B31" w:rsidRDefault="00000000">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proofErr w:type="spellStart"/>
      <w:r>
        <w:rPr>
          <w:rFonts w:ascii="Consolas" w:eastAsia="Consolas" w:hAnsi="Consolas" w:cs="Consolas"/>
        </w:rPr>
        <w:t>scenario_resolved_values</w:t>
      </w:r>
      <w:proofErr w:type="spellEnd"/>
      <w:r>
        <w:t xml:space="preserve"> ever records — is the short list given in Section 6.2.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000000">
      <w:pPr>
        <w:spacing w:after="160" w:line="320" w:lineRule="auto"/>
        <w:jc w:val="both"/>
      </w:pPr>
      <w:r>
        <w:t>The rules are as follows:</w:t>
      </w:r>
    </w:p>
    <w:p w14:paraId="36BCFC6E" w14:textId="77777777" w:rsidR="008E1B31" w:rsidRDefault="00000000">
      <w:pPr>
        <w:spacing w:after="160" w:line="320" w:lineRule="auto"/>
        <w:jc w:val="both"/>
      </w:pPr>
      <w:r>
        <w:rPr>
          <w:b/>
          <w:bCs/>
        </w:rPr>
        <w:t>Rule 1: Observed.</w:t>
      </w:r>
      <w:r>
        <w:t xml:space="preserve"> Fires when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Performs a direct time-series lookup at the observation date. This is the ground truth; every other rule is downstream of these. In the starter scenario, 80 variables fire this rule.</w:t>
      </w:r>
    </w:p>
    <w:p w14:paraId="36BCFC6F" w14:textId="77777777" w:rsidR="008E1B31" w:rsidRDefault="00000000">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proofErr w:type="spellStart"/>
      <w:r>
        <w:rPr>
          <w:rFonts w:ascii="Consolas" w:eastAsia="Consolas" w:hAnsi="Consolas" w:cs="Consolas"/>
        </w:rPr>
        <w:t>node_type_default_formulas</w:t>
      </w:r>
      <w:proofErr w:type="spellEnd"/>
      <w:r>
        <w:t>.</w:t>
      </w:r>
    </w:p>
    <w:p w14:paraId="36BCFC70" w14:textId="77777777" w:rsidR="008E1B31" w:rsidRDefault="00000000">
      <w:pPr>
        <w:spacing w:after="160" w:line="320" w:lineRule="auto"/>
        <w:jc w:val="both"/>
      </w:pPr>
      <w:r>
        <w:rPr>
          <w:b/>
          <w:bCs/>
        </w:rPr>
        <w:lastRenderedPageBreak/>
        <w:t>Rule 3: Latent, with reverse-mirror promotion.</w:t>
      </w:r>
      <w:r>
        <w:t xml:space="preserve"> Fires when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proofErr w:type="spellStart"/>
      <w:r>
        <w:rPr>
          <w:rFonts w:ascii="Consolas" w:eastAsia="Consolas" w:hAnsi="Consolas" w:cs="Consolas"/>
        </w:rPr>
        <w:t>canadian_oil_sands</w:t>
      </w:r>
      <w:proofErr w:type="spellEnd"/>
      <w:r>
        <w:t xml:space="preserve"> to PADD 2 would record NULL even when the inflow side of the same edge had an observed value. With the promotion, the latent borrows correctly. The rule fires 652 times in the starter scenario after the promotion attempt; the 15 that succeeded are counted separately under Rule 6.</w:t>
      </w:r>
    </w:p>
    <w:p w14:paraId="36BCFC71" w14:textId="77777777" w:rsidR="008E1B31" w:rsidRDefault="00000000">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proofErr w:type="spellStart"/>
      <w:r>
        <w:rPr>
          <w:rFonts w:ascii="Consolas" w:eastAsia="Consolas" w:hAnsi="Consolas" w:cs="Consolas"/>
        </w:rPr>
        <w:t>formula_inputs</w:t>
      </w:r>
      <w:proofErr w:type="spellEnd"/>
      <w:r>
        <w:t xml:space="preserve">; NULL inputs are skipped. This is the twelfth-pass collapse of three earlier sum-type labels into one canonical rule. The semantic role of any given sum — aggregation parent, fan-out total — is recoverable from the structure of </w:t>
      </w:r>
      <w:proofErr w:type="spellStart"/>
      <w:r>
        <w:rPr>
          <w:rFonts w:ascii="Consolas" w:eastAsia="Consolas" w:hAnsi="Consolas" w:cs="Consolas"/>
        </w:rPr>
        <w:t>formula_inputs</w:t>
      </w:r>
      <w:proofErr w:type="spellEnd"/>
      <w:r>
        <w:t xml:space="preserve"> (same-type and same-commodity inputs imply aggregation; mixed-type at same node implies fan-out), so the formula text does not need to encode it.</w:t>
      </w:r>
    </w:p>
    <w:p w14:paraId="36BCFC72" w14:textId="77777777" w:rsidR="008E1B31" w:rsidRDefault="00000000">
      <w:pPr>
        <w:spacing w:after="160" w:line="320" w:lineRule="auto"/>
        <w:jc w:val="both"/>
      </w:pPr>
      <w:r>
        <w:rPr>
          <w:b/>
          <w:bCs/>
        </w:rPr>
        <w:t>Rule 5: Single-variable alias.</w:t>
      </w:r>
      <w:r>
        <w:t xml:space="preserve"> Fires when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and the </w:t>
      </w:r>
      <w:proofErr w:type="spellStart"/>
      <w:r>
        <w:rPr>
          <w:rFonts w:ascii="Consolas" w:eastAsia="Consolas" w:hAnsi="Consolas" w:cs="Consolas"/>
        </w:rPr>
        <w:t>formula_inputs</w:t>
      </w:r>
      <w:proofErr w:type="spellEnd"/>
      <w:r>
        <w:t xml:space="preserve"> list </w:t>
      </w:r>
      <w:proofErr w:type="gramStart"/>
      <w:r>
        <w:t>contains</w:t>
      </w:r>
      <w:proofErr w:type="gramEnd"/>
      <w:r>
        <w:t xml:space="preserve"> at most that one entry. The variable inherits its value from the named target. Most aggregate-to-aggregate alias chains fire this rule; in the starter scenario, 442 variables resolve via alias.</w:t>
      </w:r>
    </w:p>
    <w:p w14:paraId="36BCFC73" w14:textId="77777777" w:rsidR="008E1B31" w:rsidRDefault="00000000">
      <w:pPr>
        <w:spacing w:after="160" w:line="320" w:lineRule="auto"/>
        <w:jc w:val="both"/>
      </w:pPr>
      <w:r>
        <w:rPr>
          <w:b/>
          <w:bCs/>
        </w:rPr>
        <w:t>Rule 6: Reverse mirror.</w:t>
      </w:r>
      <w:r>
        <w:t xml:space="preserve"> Fires when a relational variable has no own </w:t>
      </w:r>
      <w:proofErr w:type="gramStart"/>
      <w:r>
        <w:t>resolution</w:t>
      </w:r>
      <w:proofErr w:type="gramEnd"/>
      <w:r>
        <w:t xml:space="preserve"> but its paired direction (opposite type, swapped endpoints) has a resolved value. The variable borrows that value through the mirror identity. After a sequence of dependency-graph fixes (the "</w:t>
      </w:r>
      <w:proofErr w:type="gramStart"/>
      <w:r>
        <w:t>ninth-pass</w:t>
      </w:r>
      <w:proofErr w:type="gramEnd"/>
      <w:r>
        <w:t xml:space="preserve">" fix described in Section 6.6), this rule fires deterministically: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000000">
      <w:pPr>
        <w:spacing w:after="160" w:line="320" w:lineRule="auto"/>
        <w:jc w:val="both"/>
      </w:pPr>
      <w:r>
        <w:rPr>
          <w:b/>
          <w:bCs/>
        </w:rPr>
        <w:t>Rule 7: Closure formula.</w:t>
      </w:r>
      <w:r>
        <w:t xml:space="preserve"> Fires when the variable is a balancing item whose </w:t>
      </w:r>
      <w:proofErr w:type="spellStart"/>
      <w:r>
        <w:rPr>
          <w:rFonts w:ascii="Consolas" w:eastAsia="Consolas" w:hAnsi="Consolas" w:cs="Consolas"/>
        </w:rPr>
        <w:t>formula_inputs</w:t>
      </w:r>
      <w:proofErr w:type="spellEnd"/>
      <w:r>
        <w:t xml:space="preserve"> include a mix of inventory, inflow, and outflow variables. Evaluates the closure equation:</w:t>
      </w:r>
    </w:p>
    <w:p w14:paraId="36BCFC75"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C76" w14:textId="77777777" w:rsidR="008E1B31" w:rsidRDefault="00000000">
      <w:pPr>
        <w:spacing w:after="160" w:line="320" w:lineRule="auto"/>
        <w:jc w:val="both"/>
      </w:pPr>
      <w:r>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000000">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w:t>
      </w:r>
      <w:proofErr w:type="gramStart"/>
      <w:r>
        <w:rPr>
          <w:rFonts w:ascii="Consolas" w:eastAsia="Consolas" w:hAnsi="Consolas" w:cs="Consolas"/>
        </w:rPr>
        <w:t>other.P</w:t>
      </w:r>
      <w:proofErr w:type="gramEnd"/>
      <w:r>
        <w:rPr>
          <w:rFonts w:ascii="Consolas" w:eastAsia="Consolas" w:hAnsi="Consolas" w:cs="Consolas"/>
        </w:rPr>
        <w:t xml:space="preserve"> = 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parser is intentionally minimal — a </w:t>
      </w:r>
      <w:r>
        <w:lastRenderedPageBreak/>
        <w:t xml:space="preserve">regular expression that pulls out signed terms — and aborts cleanly if any term fails to match a variable in </w:t>
      </w:r>
      <w:proofErr w:type="spellStart"/>
      <w:r>
        <w:rPr>
          <w:rFonts w:ascii="Consolas" w:eastAsia="Consolas" w:hAnsi="Consolas" w:cs="Consolas"/>
        </w:rPr>
        <w:t>formula_inputs</w:t>
      </w:r>
      <w:proofErr w:type="spellEnd"/>
      <w:r>
        <w:t>. Eight variables in the starter scenario fire this rule.</w:t>
      </w:r>
    </w:p>
    <w:p w14:paraId="36BCFC78" w14:textId="77777777" w:rsidR="008E1B31" w:rsidRDefault="00000000">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xml:space="preserve">. In a healthy run </w:t>
      </w:r>
      <w:proofErr w:type="gramStart"/>
      <w:r>
        <w:t>this fires</w:t>
      </w:r>
      <w:proofErr w:type="gramEnd"/>
      <w:r>
        <w:t xml:space="preserve"> zero times; non-zero counts indicate a bug or an unmodelled formula pattern. The expected operator response is to fix the assignment or extend the resolver, never to silently treat the row as latent.</w:t>
      </w:r>
    </w:p>
    <w:p w14:paraId="36BCFC79" w14:textId="77777777" w:rsidR="008E1B31" w:rsidRDefault="00000000">
      <w:pPr>
        <w:spacing w:after="160" w:line="320" w:lineRule="auto"/>
        <w:jc w:val="both"/>
      </w:pPr>
      <w:r>
        <w:t>The current dispatch counts in the starter scenario, with the canonical labels, are:</w:t>
      </w:r>
    </w:p>
    <w:p w14:paraId="36BCFC7A" w14:textId="77777777" w:rsidR="008E1B31" w:rsidRDefault="00000000">
      <w:pPr>
        <w:spacing w:after="160" w:line="320" w:lineRule="auto"/>
        <w:jc w:val="both"/>
      </w:pPr>
      <w:r>
        <w:t>| Rule | Count |</w:t>
      </w:r>
    </w:p>
    <w:p w14:paraId="36BCFC7B" w14:textId="77777777" w:rsidR="008E1B31" w:rsidRDefault="00000000">
      <w:pPr>
        <w:spacing w:after="160" w:line="320" w:lineRule="auto"/>
        <w:jc w:val="both"/>
      </w:pPr>
      <w:r>
        <w:t>|—|—|</w:t>
      </w:r>
    </w:p>
    <w:p w14:paraId="36BCFC7C" w14:textId="77777777" w:rsidR="008E1B31" w:rsidRDefault="00000000">
      <w:pPr>
        <w:spacing w:after="160" w:line="320" w:lineRule="auto"/>
        <w:jc w:val="both"/>
      </w:pPr>
      <w:r>
        <w:t>| observed (time-series lookup) | 80 |</w:t>
      </w:r>
    </w:p>
    <w:p w14:paraId="36BCFC7D" w14:textId="77777777" w:rsidR="008E1B31" w:rsidRDefault="00000000">
      <w:pPr>
        <w:spacing w:after="160" w:line="320" w:lineRule="auto"/>
        <w:jc w:val="both"/>
      </w:pPr>
      <w:r>
        <w:t>| zero (structural) | 628 |</w:t>
      </w:r>
    </w:p>
    <w:p w14:paraId="36BCFC7E" w14:textId="77777777" w:rsidR="008E1B31" w:rsidRDefault="00000000">
      <w:pPr>
        <w:spacing w:after="160" w:line="320" w:lineRule="auto"/>
        <w:jc w:val="both"/>
      </w:pPr>
      <w:r>
        <w:t>| latent (including reverse-mirror failures) | 652 |</w:t>
      </w:r>
    </w:p>
    <w:p w14:paraId="36BCFC7F" w14:textId="77777777" w:rsidR="008E1B31" w:rsidRDefault="00000000">
      <w:pPr>
        <w:spacing w:after="160" w:line="320" w:lineRule="auto"/>
        <w:jc w:val="both"/>
      </w:pPr>
      <w:r>
        <w:t>| alias (single-variable) | 442 |</w:t>
      </w:r>
    </w:p>
    <w:p w14:paraId="36BCFC80" w14:textId="77777777" w:rsidR="008E1B31" w:rsidRDefault="00000000">
      <w:pPr>
        <w:spacing w:after="160" w:line="320" w:lineRule="auto"/>
        <w:jc w:val="both"/>
      </w:pPr>
      <w:r>
        <w:t>| reverse-mirror (Rule 3 promotion plus Rule 6) | 15 |</w:t>
      </w:r>
    </w:p>
    <w:p w14:paraId="36BCFC81" w14:textId="77777777" w:rsidR="008E1B31" w:rsidRDefault="00000000">
      <w:pPr>
        <w:spacing w:after="160" w:line="320" w:lineRule="auto"/>
        <w:jc w:val="both"/>
      </w:pPr>
      <w:r>
        <w:t>| arithmetic | 8 |</w:t>
      </w:r>
    </w:p>
    <w:p w14:paraId="36BCFC82" w14:textId="77777777" w:rsidR="008E1B31" w:rsidRDefault="00000000">
      <w:pPr>
        <w:spacing w:after="160" w:line="320" w:lineRule="auto"/>
        <w:jc w:val="both"/>
      </w:pPr>
      <w:r>
        <w:t>| sum (canonical) | 5 |</w:t>
      </w:r>
    </w:p>
    <w:p w14:paraId="36BCFC83" w14:textId="77777777" w:rsidR="008E1B31" w:rsidRDefault="00000000">
      <w:pPr>
        <w:spacing w:after="160" w:line="320" w:lineRule="auto"/>
        <w:jc w:val="both"/>
      </w:pPr>
      <w:r>
        <w:t>| closure | 0 |</w:t>
      </w:r>
    </w:p>
    <w:p w14:paraId="36BCFC84" w14:textId="77777777" w:rsidR="008E1B31" w:rsidRDefault="00000000">
      <w:pPr>
        <w:spacing w:after="160" w:line="320" w:lineRule="auto"/>
        <w:jc w:val="both"/>
      </w:pPr>
      <w:r>
        <w:t>| unresolved | 0 |</w:t>
      </w:r>
    </w:p>
    <w:p w14:paraId="36BCFC85" w14:textId="77777777" w:rsidR="008E1B31" w:rsidRDefault="00000000">
      <w:pPr>
        <w:spacing w:after="160" w:line="320" w:lineRule="auto"/>
        <w:jc w:val="both"/>
      </w:pPr>
      <w:r>
        <w:t xml:space="preserve">The zero in the last row is the load-bearing invariant. Every declared variable has either a value or an explicit latent marker. Downstream consumers can rely on the presence of a row for every (variable, date) pair, and on the </w:t>
      </w:r>
      <w:proofErr w:type="gramStart"/>
      <w:r>
        <w:t>source</w:t>
      </w:r>
      <w:proofErr w:type="gramEnd"/>
      <w:r>
        <w:t xml:space="preserve"> column telling them whether a NULL is by design (latent, to be treated as a free variable in optimisation) or by failure (unresolved, an unmodelled case requiring attention).</w:t>
      </w:r>
    </w:p>
    <w:p w14:paraId="36BCFC86" w14:textId="77777777" w:rsidR="008E1B31" w:rsidRDefault="00000000">
      <w:pPr>
        <w:pStyle w:val="Heading2"/>
      </w:pPr>
      <w:r>
        <w:t>6.5 Building the dependency graph</w:t>
      </w:r>
    </w:p>
    <w:p w14:paraId="36BCFC87" w14:textId="77777777" w:rsidR="008E1B31" w:rsidRDefault="00000000">
      <w:pPr>
        <w:spacing w:after="160" w:line="320" w:lineRule="auto"/>
        <w:jc w:val="both"/>
      </w:pPr>
      <w:r>
        <w:t xml:space="preserve">The function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walks every assignment and produces a </w:t>
      </w:r>
      <w:proofErr w:type="gramStart"/>
      <w:r>
        <w:t xml:space="preserve">dictionary </w:t>
      </w:r>
      <w:r>
        <w:rPr>
          <w:rFonts w:ascii="Consolas" w:eastAsia="Consolas" w:hAnsi="Consolas" w:cs="Consolas"/>
        </w:rPr>
        <w:t>deps[variable]</w:t>
      </w:r>
      <w:proofErr w:type="gramEnd"/>
      <w:r>
        <w:t xml:space="preserve"> containing the set of upstream variable IDs for that variable. The set must be acyclic so that the topological sorter can produce a valid evaluation order. Three sources of dependencies contribute to the dictionary:</w:t>
      </w:r>
    </w:p>
    <w:p w14:paraId="36BCFC88" w14:textId="77777777" w:rsidR="008E1B31" w:rsidRDefault="00000000">
      <w:pPr>
        <w:spacing w:after="160" w:line="320" w:lineRule="auto"/>
        <w:jc w:val="both"/>
      </w:pPr>
      <w:r>
        <w:t xml:space="preserve">First, </w:t>
      </w:r>
      <w:r>
        <w:rPr>
          <w:b/>
          <w:bCs/>
        </w:rPr>
        <w:t>formula inputs.</w:t>
      </w:r>
      <w:r>
        <w:t xml:space="preserve"> Every variable ID listed in </w:t>
      </w:r>
      <w:proofErr w:type="spellStart"/>
      <w:r>
        <w:rPr>
          <w:rFonts w:ascii="Consolas" w:eastAsia="Consolas" w:hAnsi="Consolas" w:cs="Consolas"/>
        </w:rPr>
        <w:t>formula_inputs</w:t>
      </w:r>
      <w:proofErr w:type="spellEnd"/>
      <w:r>
        <w:t xml:space="preserve"> that exists in the assignment set becomes a dependency. This handles all sum, alias, and arithmetic formulas.</w:t>
      </w:r>
    </w:p>
    <w:p w14:paraId="36BCFC89" w14:textId="77777777" w:rsidR="008E1B31" w:rsidRDefault="00000000">
      <w:pPr>
        <w:spacing w:after="160" w:line="320" w:lineRule="auto"/>
        <w:jc w:val="both"/>
      </w:pPr>
      <w:r>
        <w:lastRenderedPageBreak/>
        <w:t xml:space="preserve">Second, </w:t>
      </w:r>
      <w:r>
        <w:rPr>
          <w:b/>
          <w:bCs/>
        </w:rPr>
        <w:t>fan-out at the same node.</w:t>
      </w:r>
      <w:r>
        <w:t xml:space="preserve"> When a variable's formula is a sum over outflows, the variable depends on every outflow variable at the same node, except itself. This is the only case where a dependency is inferred rather than declared.</w:t>
      </w:r>
    </w:p>
    <w:p w14:paraId="36BCFC8A" w14:textId="77777777" w:rsidR="008E1B31" w:rsidRDefault="00000000">
      <w:pPr>
        <w:spacing w:after="160" w:line="320" w:lineRule="auto"/>
        <w:jc w:val="both"/>
      </w:pPr>
      <w:r>
        <w:t xml:space="preserve">Third, </w:t>
      </w:r>
      <w:r>
        <w:rPr>
          <w:b/>
          <w:bCs/>
        </w:rPr>
        <w:t>reverse-mirror dependency, hoisted above the early-continue path.</w:t>
      </w:r>
      <w:r>
        <w:t xml:space="preserve"> When a variable is latent and its paired direction is resolved, the paired direction is added as a dependency. Two cycle-avoidance gates protect this addition. The paired side must not itself be plain latent (else neither side has a value); and the paired side must not already alias from us (else a two-node cycle forms). The second gate, called </w:t>
      </w:r>
      <w:proofErr w:type="spellStart"/>
      <w:r>
        <w:rPr>
          <w:rFonts w:ascii="Consolas" w:eastAsia="Consolas" w:hAnsi="Consolas" w:cs="Consolas"/>
        </w:rPr>
        <w:t>paired_aliases_us</w:t>
      </w:r>
      <w:proofErr w:type="spellEnd"/>
      <w:r>
        <w:t xml:space="preserve">, is the result of the </w:t>
      </w:r>
      <w:proofErr w:type="gramStart"/>
      <w:r>
        <w:t>ninth-pass</w:t>
      </w:r>
      <w:proofErr w:type="gramEnd"/>
      <w:r>
        <w:t xml:space="preserve"> debugging episode described below.</w:t>
      </w:r>
    </w:p>
    <w:p w14:paraId="36BCFC8B" w14:textId="77777777" w:rsidR="008E1B31" w:rsidRDefault="00000000">
      <w:pPr>
        <w:spacing w:after="160" w:line="320" w:lineRule="auto"/>
        <w:jc w:val="both"/>
      </w:pPr>
      <w:r>
        <w:t xml:space="preserve">Cycle gates matter because the topological sort raises a </w:t>
      </w:r>
      <w:proofErr w:type="spellStart"/>
      <w:r>
        <w:rPr>
          <w:rFonts w:ascii="Consolas" w:eastAsia="Consolas" w:hAnsi="Consolas" w:cs="Consolas"/>
        </w:rPr>
        <w:t>CycleError</w:t>
      </w:r>
      <w:proofErr w:type="spellEnd"/>
      <w:r>
        <w:t xml:space="preserve"> on the first cycle it encounters. The resolver tolerates many alias-and-mirror patterns precisely because of these gates; the cost is that a few subtle conditions in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need to be read together rather than in isolation.</w:t>
      </w:r>
    </w:p>
    <w:p w14:paraId="36BCFC8C" w14:textId="77777777" w:rsidR="008E1B31" w:rsidRDefault="00000000">
      <w:pPr>
        <w:pStyle w:val="Heading2"/>
      </w:pPr>
      <w:r>
        <w:t>6.6 Bugs encountered and fixed</w:t>
      </w:r>
    </w:p>
    <w:p w14:paraId="36BCFC8D" w14:textId="77777777" w:rsidR="008E1B31" w:rsidRDefault="00000000">
      <w:pPr>
        <w:spacing w:after="160" w:line="320" w:lineRule="auto"/>
        <w:jc w:val="both"/>
      </w:pPr>
      <w:r>
        <w:t xml:space="preserve">The resolver's current design is the result of three specific failures encountered during implementation. Each failure exposed an assumption that was implicit in the earlier design; each fix </w:t>
      </w:r>
      <w:proofErr w:type="gramStart"/>
      <w:r>
        <w:t>made the assumption</w:t>
      </w:r>
      <w:proofErr w:type="gramEnd"/>
      <w:r>
        <w:t xml:space="preserve"> explicit and enforced it.</w:t>
      </w:r>
    </w:p>
    <w:p w14:paraId="36BCFC8E" w14:textId="77777777" w:rsidR="008E1B31" w:rsidRDefault="00000000">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proofErr w:type="spellStart"/>
      <w:r>
        <w:rPr>
          <w:rFonts w:ascii="Consolas" w:eastAsia="Consolas" w:hAnsi="Consolas" w:cs="Consolas"/>
        </w:rPr>
        <w:t>CycleError</w:t>
      </w:r>
      <w:proofErr w:type="spellEnd"/>
      <w:r>
        <w:t>. The fix was to require the paired side to be non-latent before adding the dependency — the first of the two cycle gates above.</w:t>
      </w:r>
    </w:p>
    <w:p w14:paraId="36BCFC8F" w14:textId="77777777" w:rsidR="008E1B31" w:rsidRDefault="00000000">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proofErr w:type="spellStart"/>
      <w:r>
        <w:rPr>
          <w:rFonts w:ascii="Consolas" w:eastAsia="Consolas" w:hAnsi="Consolas" w:cs="Consolas"/>
        </w:rPr>
        <w:t>build_deps</w:t>
      </w:r>
      <w:proofErr w:type="spellEnd"/>
      <w:r>
        <w:rPr>
          <w:rFonts w:ascii="Consolas" w:eastAsia="Consolas" w:hAnsi="Consolas" w:cs="Consolas"/>
        </w:rPr>
        <w:t>()</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000000">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w:t>
      </w:r>
      <w:proofErr w:type="spellStart"/>
      <w:r>
        <w:rPr>
          <w:rFonts w:ascii="Consolas" w:eastAsia="Consolas" w:hAnsi="Consolas" w:cs="Consolas"/>
        </w:rPr>
        <w:t>variable_id</w:t>
      </w:r>
      <w:proofErr w:type="spellEnd"/>
      <w:r>
        <w:rPr>
          <w:rFonts w:ascii="Consolas" w:eastAsia="Consolas" w:hAnsi="Consolas" w:cs="Consolas"/>
        </w:rPr>
        <w:t>)'</w:t>
      </w:r>
      <w:r>
        <w:t xml:space="preserve"> with the explicit wrapper string; Rule 5 missed those </w:t>
      </w:r>
      <w:proofErr w:type="gramStart"/>
      <w:r>
        <w:t>rows</w:t>
      </w:r>
      <w:proofErr w:type="gramEnd"/>
      <w:r>
        <w:t xml:space="preserve"> and they were picked up by a different rule by coincidence. The fix was in the migration scripts: the canonical storage is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with the wrapper string retained only as the display label in </w:t>
      </w:r>
      <w:proofErr w:type="spellStart"/>
      <w:r>
        <w:rPr>
          <w:rFonts w:ascii="Consolas" w:eastAsia="Consolas" w:hAnsi="Consolas" w:cs="Consolas"/>
        </w:rPr>
        <w:t>formula_used</w:t>
      </w:r>
      <w:proofErr w:type="spellEnd"/>
      <w:r>
        <w:t xml:space="preserve"> on resolved rows.</w:t>
      </w:r>
    </w:p>
    <w:p w14:paraId="36BCFC91" w14:textId="77777777" w:rsidR="008E1B31" w:rsidRDefault="00000000">
      <w:pPr>
        <w:spacing w:after="160" w:line="320" w:lineRule="auto"/>
        <w:jc w:val="both"/>
      </w:pPr>
      <w:r>
        <w:lastRenderedPageBreak/>
        <w:t xml:space="preserve">The pattern across all three fixes is the same: an assumption that an earlier implementation took for granted (that </w:t>
      </w:r>
      <w:proofErr w:type="spellStart"/>
      <w:r>
        <w:t>latents</w:t>
      </w:r>
      <w:proofErr w:type="spellEnd"/>
      <w:r>
        <w:t xml:space="preserve">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36BCFC92" w14:textId="77777777" w:rsidR="008E1B31" w:rsidRDefault="00000000">
      <w:pPr>
        <w:pStyle w:val="Heading2"/>
      </w:pPr>
      <w:r>
        <w:t>6.7 Latent versus unresolved</w:t>
      </w:r>
    </w:p>
    <w:p w14:paraId="36BCFC93" w14:textId="77777777" w:rsidR="008E1B31" w:rsidRDefault="00000000">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000000">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000000">
      <w:pPr>
        <w:spacing w:after="160" w:line="320" w:lineRule="auto"/>
        <w:jc w:val="both"/>
      </w:pPr>
      <w:r>
        <w:t xml:space="preserve">The starter scenario at the time of writing has 652 </w:t>
      </w:r>
      <w:proofErr w:type="spellStart"/>
      <w:r>
        <w:t>latents</w:t>
      </w:r>
      <w:proofErr w:type="spellEnd"/>
      <w:r>
        <w:t xml:space="preserve"> and zero unresolved. The 652 </w:t>
      </w:r>
      <w:proofErr w:type="spellStart"/>
      <w:r>
        <w:t>latents</w:t>
      </w:r>
      <w:proofErr w:type="spellEnd"/>
      <w:r>
        <w:t xml:space="preserve"> are concentrated where the framework already expects them to be: junction fan-outs in the Permian and Bakken gathering systems, the multiple offshore Gulf production routes, and the per-pipeline splits inside each inter-PADD aggregate. The zero unresolved is the guarantee that the framework has no unmodelled cases under the current assignment set.</w:t>
      </w:r>
    </w:p>
    <w:p w14:paraId="36BCFC97" w14:textId="77777777" w:rsidR="008E1B31" w:rsidRDefault="00000000">
      <w:pPr>
        <w:pStyle w:val="Heading2"/>
      </w:pPr>
      <w:r>
        <w:t>6.8 The layered view structure</w:t>
      </w:r>
    </w:p>
    <w:p w14:paraId="36BCFC98" w14:textId="77777777" w:rsidR="008E1B31" w:rsidRDefault="00000000">
      <w:pPr>
        <w:spacing w:after="160" w:line="320" w:lineRule="auto"/>
        <w:jc w:val="both"/>
      </w:pPr>
      <w:r>
        <w:t xml:space="preserve">Once </w:t>
      </w:r>
      <w:proofErr w:type="spellStart"/>
      <w:r>
        <w:rPr>
          <w:rFonts w:ascii="Consolas" w:eastAsia="Consolas" w:hAnsi="Consolas" w:cs="Consolas"/>
        </w:rPr>
        <w:t>variable_assignments</w:t>
      </w:r>
      <w:proofErr w:type="spellEnd"/>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p w14:paraId="36BCFC99" w14:textId="77777777" w:rsidR="008E1B31" w:rsidRDefault="00000000">
      <w:pPr>
        <w:spacing w:after="160" w:line="320" w:lineRule="auto"/>
        <w:jc w:val="both"/>
      </w:pPr>
      <w:r>
        <w:t>| Layer | View | Reads from | Provides |</w:t>
      </w:r>
    </w:p>
    <w:p w14:paraId="36BCFC9A" w14:textId="77777777" w:rsidR="008E1B31" w:rsidRDefault="00000000">
      <w:pPr>
        <w:spacing w:after="160" w:line="320" w:lineRule="auto"/>
        <w:jc w:val="both"/>
      </w:pPr>
      <w:r>
        <w:t>|—|—|—|—|</w:t>
      </w:r>
    </w:p>
    <w:p w14:paraId="36BCFC9B" w14:textId="77777777" w:rsidR="008E1B31" w:rsidRDefault="00000000">
      <w:pPr>
        <w:spacing w:after="160" w:line="320" w:lineRule="auto"/>
        <w:jc w:val="both"/>
      </w:pPr>
      <w:r>
        <w:lastRenderedPageBreak/>
        <w:t xml:space="preserve">| L1 | </w:t>
      </w:r>
      <w:proofErr w:type="spellStart"/>
      <w:r>
        <w:t>v_effective_assignments</w:t>
      </w:r>
      <w:proofErr w:type="spellEnd"/>
      <w:r>
        <w:t xml:space="preserve"> | </w:t>
      </w:r>
      <w:proofErr w:type="spellStart"/>
      <w:r>
        <w:t>variable_assignments</w:t>
      </w:r>
      <w:proofErr w:type="spellEnd"/>
      <w:r>
        <w:t xml:space="preserve"> + defaults | One row per (scenario, variable) with the layered recipe and an audit tag for where the formula came from |</w:t>
      </w:r>
    </w:p>
    <w:p w14:paraId="36BCFC9C" w14:textId="77777777" w:rsidR="008E1B31" w:rsidRDefault="00000000">
      <w:pPr>
        <w:spacing w:after="160" w:line="320" w:lineRule="auto"/>
        <w:jc w:val="both"/>
      </w:pPr>
      <w:r>
        <w:t xml:space="preserve">| L2a | </w:t>
      </w:r>
      <w:proofErr w:type="spellStart"/>
      <w:r>
        <w:t>v_formula_input_links</w:t>
      </w:r>
      <w:proofErr w:type="spellEnd"/>
      <w:r>
        <w:t xml:space="preserve"> | L1 | One row per arrow in </w:t>
      </w:r>
      <w:proofErr w:type="spellStart"/>
      <w:r>
        <w:rPr>
          <w:rFonts w:ascii="Consolas" w:eastAsia="Consolas" w:hAnsi="Consolas" w:cs="Consolas"/>
        </w:rPr>
        <w:t>formula_inputs</w:t>
      </w:r>
      <w:proofErr w:type="spellEnd"/>
      <w:r>
        <w:t xml:space="preserve"> — the atomic (parent, child) pair, scenario-tagged |</w:t>
      </w:r>
    </w:p>
    <w:p w14:paraId="36BCFC9D" w14:textId="77777777" w:rsidR="008E1B31" w:rsidRDefault="00000000">
      <w:pPr>
        <w:spacing w:after="160" w:line="320" w:lineRule="auto"/>
        <w:jc w:val="both"/>
      </w:pPr>
      <w:r>
        <w:t xml:space="preserve">| L2b | </w:t>
      </w:r>
      <w:proofErr w:type="spellStart"/>
      <w:r>
        <w:t>v_aggregation_edges</w:t>
      </w:r>
      <w:proofErr w:type="spellEnd"/>
      <w:r>
        <w:t xml:space="preserve"> | L2a + variables | The aggregation graph: every cross-node reference, annotated with the parent's formula and time-series-bound flag |</w:t>
      </w:r>
    </w:p>
    <w:p w14:paraId="36BCFC9E" w14:textId="77777777" w:rsidR="008E1B31" w:rsidRDefault="00000000">
      <w:pPr>
        <w:spacing w:after="160" w:line="320" w:lineRule="auto"/>
        <w:jc w:val="both"/>
      </w:pPr>
      <w:r>
        <w:t xml:space="preserve">| L2c | </w:t>
      </w:r>
      <w:proofErr w:type="spellStart"/>
      <w:r>
        <w:t>v_flow_edges</w:t>
      </w:r>
      <w:proofErr w:type="spellEnd"/>
      <w:r>
        <w:t xml:space="preserve"> | variables | The physical flow topology: one row per outflow variable with a related node, interpreted as (source → target) |</w:t>
      </w:r>
    </w:p>
    <w:p w14:paraId="36BCFC9F" w14:textId="77777777" w:rsidR="008E1B31" w:rsidRDefault="00000000">
      <w:pPr>
        <w:spacing w:after="160" w:line="320" w:lineRule="auto"/>
        <w:jc w:val="both"/>
      </w:pPr>
      <w:r>
        <w:t xml:space="preserve">| L3a | </w:t>
      </w:r>
      <w:proofErr w:type="spellStart"/>
      <w:r>
        <w:t>v_partition_tree</w:t>
      </w:r>
      <w:proofErr w:type="spellEnd"/>
      <w:r>
        <w:t xml:space="preserve"> | </w:t>
      </w:r>
      <w:proofErr w:type="spellStart"/>
      <w:r>
        <w:t>v_aggregation_edges</w:t>
      </w:r>
      <w:proofErr w:type="spellEnd"/>
      <w:r>
        <w:t xml:space="preserve"> | The partition spine: same-type, same-commodity, same-related-node aggregation edges, with arithmetic residuals excluded |</w:t>
      </w:r>
    </w:p>
    <w:p w14:paraId="36BCFCA0" w14:textId="77777777" w:rsidR="008E1B31" w:rsidRDefault="00000000">
      <w:pPr>
        <w:spacing w:after="160" w:line="320" w:lineRule="auto"/>
        <w:jc w:val="both"/>
      </w:pPr>
      <w:proofErr w:type="spellStart"/>
      <w:proofErr w:type="spellEnd"/>
      <w:r>
        <w:t>| L3b | v_node_status | L1 | The per-(scenario, node) status from Section 4.5: authoritative, derived, or inactive |</w:t>
      </w:r>
    </w:p>
    <w:p w14:paraId="36BCFCA1" w14:textId="77777777" w:rsidR="008E1B31" w:rsidRDefault="00000000">
      <w:pPr>
        <w:spacing w:after="160" w:line="320" w:lineRule="auto"/>
        <w:jc w:val="both"/>
      </w:pPr>
      <w:r>
        <w:t xml:space="preserve">| L4a | </w:t>
      </w:r>
      <w:proofErr w:type="spellStart"/>
      <w:r>
        <w:t>v_node_balance_check</w:t>
      </w:r>
      <w:proofErr w:type="spellEnd"/>
      <w:r>
        <w:t xml:space="preserve"> | </w:t>
      </w:r>
      <w:proofErr w:type="spellStart"/>
      <w:r>
        <w:t>scenario_resolved_values</w:t>
      </w:r>
      <w:proofErr w:type="spellEnd"/>
      <w:r>
        <w:t xml:space="preserve"> + </w:t>
      </w:r>
      <w:proofErr w:type="spellStart"/>
      <w:r>
        <w:t>v_flow_edges</w:t>
      </w:r>
      <w:proofErr w:type="spellEnd"/>
      <w:r>
        <w:t xml:space="preserve"> | Per</w:t>
      </w:r>
      <w:proofErr w:type="gramStart"/>
      <w:r>
        <w:t>-(</w:t>
      </w:r>
      <w:proofErr w:type="gramEnd"/>
      <w:r>
        <w:t xml:space="preserve">node, date) mass-balance closure: </w:t>
      </w:r>
      <w:proofErr w:type="spellStart"/>
      <w:r>
        <w:t>sum_in</w:t>
      </w:r>
      <w:proofErr w:type="spellEnd"/>
      <w:r>
        <w:t xml:space="preserve">, </w:t>
      </w:r>
      <w:proofErr w:type="spellStart"/>
      <w:r>
        <w:t>sum_out_obs</w:t>
      </w:r>
      <w:proofErr w:type="spellEnd"/>
      <w:r>
        <w:t xml:space="preserve">, </w:t>
      </w:r>
      <w:proofErr w:type="spellStart"/>
      <w:r>
        <w:t>sum_out_implied</w:t>
      </w:r>
      <w:proofErr w:type="spellEnd"/>
      <w:r>
        <w:t xml:space="preserve">, </w:t>
      </w:r>
      <w:proofErr w:type="spellStart"/>
      <w:r>
        <w:t>gap_kbd</w:t>
      </w:r>
      <w:proofErr w:type="spellEnd"/>
      <w:r>
        <w:t xml:space="preserve"> |</w:t>
      </w:r>
    </w:p>
    <w:p w14:paraId="36BCFCA2" w14:textId="77777777" w:rsidR="008E1B31" w:rsidRDefault="00000000">
      <w:pPr>
        <w:spacing w:after="160" w:line="320" w:lineRule="auto"/>
        <w:jc w:val="both"/>
      </w:pPr>
      <w:r>
        <w:t xml:space="preserve">| L4b | </w:t>
      </w:r>
      <w:proofErr w:type="spellStart"/>
      <w:r>
        <w:t>v_aggregation_consistency</w:t>
      </w:r>
      <w:proofErr w:type="spellEnd"/>
      <w:r>
        <w:t xml:space="preserve"> | </w:t>
      </w:r>
      <w:proofErr w:type="spellStart"/>
      <w:r>
        <w:t>v_partition_tree</w:t>
      </w:r>
      <w:proofErr w:type="spellEnd"/>
      <w:r>
        <w:t xml:space="preserve"> + </w:t>
      </w:r>
      <w:proofErr w:type="spellStart"/>
      <w:r>
        <w:t>scenario_resolved_values</w:t>
      </w:r>
      <w:proofErr w:type="spellEnd"/>
      <w:r>
        <w:t xml:space="preserve"> | For every time-series-observed aggregate, the cross-check </w:t>
      </w:r>
      <w:proofErr w:type="gramStart"/>
      <w:r>
        <w:t>abs(</w:t>
      </w:r>
      <w:proofErr w:type="gramEnd"/>
      <w:r>
        <w:t>TS value − Σ constituents) — flagged ok / partial / inconsistent |</w:t>
      </w:r>
    </w:p>
    <w:p w14:paraId="36BCFCA3" w14:textId="77777777" w:rsidR="008E1B31" w:rsidRDefault="00000000">
      <w:pPr>
        <w:spacing w:after="160" w:line="320" w:lineRule="auto"/>
        <w:jc w:val="both"/>
      </w:pPr>
      <w:r>
        <w:t xml:space="preserve">| L4c | </w:t>
      </w:r>
      <w:proofErr w:type="spellStart"/>
      <w:r>
        <w:t>v_inventory_changes</w:t>
      </w:r>
      <w:proofErr w:type="spellEnd"/>
      <w:r>
        <w:t xml:space="preserve"> | </w:t>
      </w:r>
      <w:proofErr w:type="spellStart"/>
      <w:r>
        <w:t>scenario_resolved_values</w:t>
      </w:r>
      <w:proofErr w:type="spellEnd"/>
      <w:r>
        <w:t xml:space="preserve"> | Per-stock-series ΔS in MBBL and </w:t>
      </w:r>
      <w:proofErr w:type="spellStart"/>
      <w:r>
        <w:t>kbd</w:t>
      </w:r>
      <w:proofErr w:type="spellEnd"/>
      <w:r>
        <w:t>; used by the balance UI to display inventory deltas |</w:t>
      </w:r>
    </w:p>
    <w:p w14:paraId="36BCFCA4" w14:textId="77777777" w:rsidR="008E1B31" w:rsidRDefault="00000000">
      <w:pPr>
        <w:spacing w:after="160" w:line="320" w:lineRule="auto"/>
        <w:jc w:val="both"/>
      </w:pPr>
      <w:r>
        <w:t xml:space="preserve">| L4d | </w:t>
      </w:r>
      <w:proofErr w:type="spellStart"/>
      <w:r>
        <w:t>v_aggregate_balance</w:t>
      </w:r>
      <w:proofErr w:type="spellEnd"/>
      <w:r>
        <w:t xml:space="preserve"> | </w:t>
      </w:r>
      <w:proofErr w:type="spellStart"/>
      <w:r>
        <w:t>v_partition_tree</w:t>
      </w:r>
      <w:proofErr w:type="spellEnd"/>
      <w:r>
        <w:t xml:space="preserve"> + L4a | Closed mass balance for the active scenario's balance-role aggregates (</w:t>
      </w:r>
      <w:proofErr w:type="spellStart"/>
      <w:r>
        <w:t>usa_view</w:t>
      </w:r>
      <w:proofErr w:type="spellEnd"/>
      <w:r>
        <w:t xml:space="preserve"> plus the five PADD views) |</w:t>
      </w:r>
    </w:p>
    <w:p w14:paraId="36BCFCA5" w14:textId="77777777" w:rsidR="008E1B31" w:rsidRDefault="00000000">
      <w:pPr>
        <w:spacing w:after="160" w:line="320" w:lineRule="auto"/>
        <w:jc w:val="both"/>
      </w:pPr>
      <w:r>
        <w:t xml:space="preserve">| L4e | </w:t>
      </w:r>
      <w:proofErr w:type="spellStart"/>
      <w:r>
        <w:t>v_node_pcisob</w:t>
      </w:r>
      <w:proofErr w:type="spellEnd"/>
      <w:r>
        <w:t xml:space="preserve"> | </w:t>
      </w:r>
      <w:proofErr w:type="spellStart"/>
      <w:r>
        <w:t>scenario_resolved_values</w:t>
      </w:r>
      <w:proofErr w:type="spellEnd"/>
      <w:r>
        <w:t xml:space="preserve"> | Per</w:t>
      </w:r>
      <w:proofErr w:type="gramStart"/>
      <w:r>
        <w:t>-(</w:t>
      </w:r>
      <w:proofErr w:type="gramEnd"/>
      <w:r>
        <w:t>node, date) totals for the six variable types, pre-aggregated so renderers do not redo the GROUP BY at every page load |</w:t>
      </w:r>
    </w:p>
    <w:p w14:paraId="36BCFCA6" w14:textId="77777777" w:rsidR="008E1B31" w:rsidRDefault="00000000">
      <w:pPr>
        <w:spacing w:after="160" w:line="320" w:lineRule="auto"/>
        <w:jc w:val="both"/>
      </w:pPr>
      <w:r>
        <w:t xml:space="preserve">The refresh discipline is straightforward. The L2 and L3 views are refreshed only when </w:t>
      </w:r>
      <w:proofErr w:type="spellStart"/>
      <w:r>
        <w:rPr>
          <w:rFonts w:ascii="Consolas" w:eastAsia="Consolas" w:hAnsi="Consolas" w:cs="Consolas"/>
        </w:rPr>
        <w:t>variable_assignments</w:t>
      </w:r>
      <w:proofErr w:type="spellEnd"/>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proofErr w:type="spellStart"/>
      <w:r>
        <w:rPr>
          <w:rFonts w:ascii="Consolas" w:eastAsia="Consolas" w:hAnsi="Consolas" w:cs="Consolas"/>
        </w:rPr>
        <w:t>scenario_resolved_values</w:t>
      </w:r>
      <w:proofErr w:type="spellEnd"/>
      <w:r>
        <w:t xml:space="preserve">. The resolver script calls </w:t>
      </w:r>
      <w:proofErr w:type="spellStart"/>
      <w:r>
        <w:rPr>
          <w:rFonts w:ascii="Consolas" w:eastAsia="Consolas" w:hAnsi="Consolas" w:cs="Consolas"/>
        </w:rPr>
        <w:t>refresh_</w:t>
      </w:r>
      <w:proofErr w:type="gramStart"/>
      <w:r>
        <w:rPr>
          <w:rFonts w:ascii="Consolas" w:eastAsia="Consolas" w:hAnsi="Consolas" w:cs="Consolas"/>
        </w:rPr>
        <w:t>analytic</w:t>
      </w:r>
      <w:proofErr w:type="spellEnd"/>
      <w:r>
        <w:rPr>
          <w:rFonts w:ascii="Consolas" w:eastAsia="Consolas" w:hAnsi="Consolas" w:cs="Consolas"/>
        </w:rPr>
        <w:t>(</w:t>
      </w:r>
      <w:proofErr w:type="gramEnd"/>
      <w:r>
        <w:rPr>
          <w:rFonts w:ascii="Consolas" w:eastAsia="Consolas" w:hAnsi="Consolas" w:cs="Consolas"/>
        </w:rPr>
        <w:t>)</w:t>
      </w:r>
      <w:r>
        <w:t xml:space="preserve"> automatically after a successful run.</w:t>
      </w:r>
    </w:p>
    <w:p w14:paraId="36BCFCA7" w14:textId="77777777" w:rsidR="008E1B31" w:rsidRDefault="00000000">
      <w:pPr>
        <w:pStyle w:val="Heading2"/>
      </w:pPr>
      <w:r>
        <w:t>6.9 Persistence and the audit trail</w:t>
      </w:r>
    </w:p>
    <w:p w14:paraId="36BCFCA8" w14:textId="77777777" w:rsidR="008E1B31" w:rsidRDefault="00000000">
      <w:pPr>
        <w:spacing w:after="160" w:line="320" w:lineRule="auto"/>
        <w:jc w:val="both"/>
      </w:pPr>
      <w:r>
        <w:t xml:space="preserve">After the dispatch loop finishes, the resolver clears the scenario's existing rows in </w:t>
      </w:r>
      <w:proofErr w:type="spellStart"/>
      <w:r>
        <w:rPr>
          <w:rFonts w:ascii="Consolas" w:eastAsia="Consolas" w:hAnsi="Consolas" w:cs="Consolas"/>
        </w:rPr>
        <w:t>scenario_resolved_values</w:t>
      </w:r>
      <w:proofErr w:type="spellEnd"/>
      <w:r>
        <w:t xml:space="preserve"> and writes the new ones via </w:t>
      </w:r>
      <w:proofErr w:type="spellStart"/>
      <w:r>
        <w:rPr>
          <w:rFonts w:ascii="Consolas" w:eastAsia="Consolas" w:hAnsi="Consolas" w:cs="Consolas"/>
        </w:rPr>
        <w:t>execute_values</w:t>
      </w:r>
      <w:proofErr w:type="spellEnd"/>
      <w:r>
        <w:t xml:space="preserve"> in batches of 5,000. The audit row in </w:t>
      </w:r>
      <w:proofErr w:type="spellStart"/>
      <w:r>
        <w:rPr>
          <w:rFonts w:ascii="Consolas" w:eastAsia="Consolas" w:hAnsi="Consolas" w:cs="Consolas"/>
        </w:rPr>
        <w:t>scenario_resolver_runs</w:t>
      </w:r>
      <w:proofErr w:type="spellEnd"/>
      <w:r>
        <w:t xml:space="preserve"> is updated with the completion timestamp, the elapsed milliseconds, and the dispatch counts as JSONB.</w:t>
      </w:r>
    </w:p>
    <w:p w14:paraId="36BCFCA9" w14:textId="77777777" w:rsidR="008E1B31" w:rsidRDefault="00000000">
      <w:pPr>
        <w:spacing w:after="160" w:line="320" w:lineRule="auto"/>
        <w:jc w:val="both"/>
      </w:pPr>
      <w:r>
        <w:lastRenderedPageBreak/>
        <w:t xml:space="preserve">If the resolver crashes mid-way, the open audit row with </w:t>
      </w:r>
      <w:r>
        <w:rPr>
          <w:rFonts w:ascii="Consolas" w:eastAsia="Consolas" w:hAnsi="Consolas" w:cs="Consolas"/>
        </w:rPr>
        <w:t>NULL</w:t>
      </w:r>
      <w:r>
        <w:t xml:space="preserve"> in </w:t>
      </w:r>
      <w:proofErr w:type="spellStart"/>
      <w:r>
        <w:rPr>
          <w:rFonts w:ascii="Consolas" w:eastAsia="Consolas" w:hAnsi="Consolas" w:cs="Consolas"/>
        </w:rPr>
        <w:t>completed_at</w:t>
      </w:r>
      <w:proofErr w:type="spellEnd"/>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000000">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6918CDA7" w14:textId="77777777" w:rsidR="008E1B31" w:rsidRDefault="00000000">
      <w:pPr>
        <w:pStyle w:val="Heading2"/>
      </w:pPr>
      <w:r>
        <w:t>6.10 Last-observation-carried-forward</w:t>
      </w:r>
    </w:p>
    <w:p w14:paraId="77967B85" w14:textId="77777777" w:rsidR="008E1B31" w:rsidRDefault="00000000">
      <w:pPr>
        <w:spacing w:after="160" w:line="320" w:lineRule="auto"/>
        <w:jc w:val="both"/>
      </w:pPr>
      <w:r>
        <w:t>Rule 1 (observed) implements the temporal convention introduced as Corollary D-bis: last-observation-carried-forward, or LOCF. At each evaluation date the resolver looks up the most recent time-series value at or before that date and returns it as the resolved value. Dates earlier than the first observation receive no row. Section 4.11 sets out why LOCF is the right convention; this section covers how the resolver records it and what to look for in the audit trail.</w:t>
      </w:r>
    </w:p>
    <w:p w14:paraId="630DA72F" w14:textId="77777777" w:rsidR="008E1B31" w:rsidRDefault="00000000">
      <w:pPr>
        <w:spacing w:after="160" w:line="320" w:lineRule="auto"/>
        <w:jc w:val="both"/>
      </w:pPr>
      <w:r>
        <w:t>Every resolved row records LOCF in the formula_used column on scenario_resolved_values. Fresh observations carry formula_used = NULL. Carried-forward rows record the source date as formula_used = 'locf(YYYY-MM-DD)'. A downstream consumer can therefore tell freshly published values from carried-over ones. A frequency-gap audit can also flag long LOCF runs against the expected publication cadence, which is useful when a series has lapsed without a fresh release.</w:t>
      </w:r>
    </w:p>
    <w:p w14:paraId="1DD3984F" w14:textId="77777777" w:rsidR="008E1B31" w:rsidRDefault="00000000">
      <w:pPr>
        <w:spacing w:after="160" w:line="320" w:lineRule="auto"/>
        <w:jc w:val="both"/>
      </w:pPr>
      <w:r>
        <w:t>A live example illustrates Corollary D-bis at work. The variable montana_other.production is defined as montana_state.production minus bakken_mt.production. The state-level series MCRFPMT2 ends earlier than the STEO basin forecast COPRBK. LOCF holds Montana flat from MCRFPMT2's last observation onward while Bakken-MT keeps forecasting upward, and the residual goes negative for the months between the two horizons. This is not a resolver bug; it is the framework registering a real divergence between source publications. The v_resolution_anomalies view tags the pattern as a low-severity anomaly for review.</w:t>
      </w:r>
    </w:p>
    <w:p w14:paraId="05A43D87" w14:textId="77777777" w:rsidR="006E3777" w:rsidRDefault="006E3777">
      <w:pPr>
        <w:spacing w:after="160" w:line="319" w:lineRule="auto"/>
        <w:jc w:val="both"/>
        <w:rPr>
          <w:kern w:val="2"/>
          <w14:ligatures w14:val="standardContextual"/>
        </w:rPr>
      </w:pPr>
      <w:r>
        <w:t>LOCF is the convention most commercial data providers follow as well. Kpler reports vessel positions and cargo manifests by carrying forward the most recent observation until a new AIS ping or manifest update arrives; Genscape's tank-level imagery is taken at a daily cadence and held flat between captures; Wood Mackenzie's IIR holds refinery status flat between successive surveys. Adopting LOCF in the framework therefore keeps the temporal convention identical to what downstream consumers already expect from their commercial feeds, and the formula_used audit trail makes the convention auditable in a way that most providers' downstream data delivery does not.</w:t>
      </w:r>
    </w:p>
    <w:p w14:paraId="36BCFCAB" w14:textId="77777777" w:rsidR="008E1B31" w:rsidRDefault="00000000">
      <w:pPr>
        <w:pStyle w:val="Heading1"/>
        <w:pageBreakBefore/>
      </w:pPr>
      <w:r>
        <w:lastRenderedPageBreak/>
        <w:t>7. Consistency Guarantees</w:t>
      </w:r>
    </w:p>
    <w:p w14:paraId="36BCFCAC" w14:textId="77777777" w:rsidR="008E1B31" w:rsidRDefault="00000000">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000000">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000000">
      <w:pPr>
        <w:pStyle w:val="Heading2"/>
      </w:pPr>
      <w:r>
        <w:t>7.1 Claim 1: Schema-level single attribution</w:t>
      </w:r>
    </w:p>
    <w:p w14:paraId="36BCFCAF" w14:textId="77777777" w:rsidR="008E1B31" w:rsidRDefault="00000000">
      <w:pPr>
        <w:spacing w:after="160" w:line="320" w:lineRule="auto"/>
        <w:jc w:val="both"/>
      </w:pPr>
      <w:proofErr w:type="spellStart"/>
      <w:proofErr w:type="spellEnd"/>
      <w:r>
        <w:t>The first claim concerns the source of value for each variable assignment and is enforced at the database schema level rather than verified after the fact. For each (scenario, variable, commodity, timestamp), the value of the variable comes from exactly one source. Either the variable is bound to a time series, or it is bound to a formula. It cannot be both and it cannot be neither. Aggregation relationships declared in formula_inputs are independent of the value source and are not affected by this constraint (the dual role is explained in Section 4.8). The CHECK constraint on variable_assignments is:</w:t>
      </w:r>
    </w:p>
    <w:p w14:paraId="36BCFCB0"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CB1" w14:textId="77777777" w:rsidR="008E1B31" w:rsidRDefault="00000000">
      <w:pPr>
        <w:spacing w:after="120"/>
      </w:pPr>
      <w:r>
        <w:rPr>
          <w:sz w:val="12"/>
          <w:szCs w:val="12"/>
        </w:rPr>
        <w:t xml:space="preserve"> </w:t>
      </w:r>
    </w:p>
    <w:p w14:paraId="36BCFCB2" w14:textId="77777777" w:rsidR="008E1B31" w:rsidRDefault="00000000">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000000">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000000">
      <w:pPr>
        <w:shd w:val="clear" w:color="auto" w:fill="F4F4F4"/>
      </w:pPr>
      <w:r>
        <w:rPr>
          <w:rFonts w:ascii="Consolas" w:eastAsia="Consolas" w:hAnsi="Consolas" w:cs="Consolas"/>
          <w:sz w:val="20"/>
          <w:szCs w:val="20"/>
        </w:rPr>
        <w:t xml:space="preserve">SELECT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 AS </w:t>
      </w:r>
      <w:proofErr w:type="spellStart"/>
      <w:r>
        <w:rPr>
          <w:rFonts w:ascii="Consolas" w:eastAsia="Consolas" w:hAnsi="Consolas" w:cs="Consolas"/>
          <w:sz w:val="20"/>
          <w:szCs w:val="20"/>
        </w:rPr>
        <w:t>n_bindings</w:t>
      </w:r>
      <w:proofErr w:type="spellEnd"/>
    </w:p>
    <w:p w14:paraId="36BCFCB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variable_assignments</w:t>
      </w:r>
      <w:proofErr w:type="spellEnd"/>
    </w:p>
    <w:p w14:paraId="36BCFCB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B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IS NOT NULL</w:t>
      </w:r>
    </w:p>
    <w:p w14:paraId="36BCFCB8" w14:textId="77777777" w:rsidR="008E1B31" w:rsidRDefault="00000000">
      <w:pPr>
        <w:shd w:val="clear" w:color="auto" w:fill="F4F4F4"/>
      </w:pPr>
      <w:r>
        <w:rPr>
          <w:rFonts w:ascii="Consolas" w:eastAsia="Consolas" w:hAnsi="Consolas" w:cs="Consolas"/>
          <w:sz w:val="20"/>
          <w:szCs w:val="20"/>
        </w:rPr>
        <w:t xml:space="preserve">GROUP BY </w:t>
      </w:r>
      <w:proofErr w:type="spellStart"/>
      <w:r>
        <w:rPr>
          <w:rFonts w:ascii="Consolas" w:eastAsia="Consolas" w:hAnsi="Consolas" w:cs="Consolas"/>
          <w:sz w:val="20"/>
          <w:szCs w:val="20"/>
        </w:rPr>
        <w:t>timeseries_id</w:t>
      </w:r>
      <w:proofErr w:type="spellEnd"/>
    </w:p>
    <w:p w14:paraId="36BCFCB9" w14:textId="77777777" w:rsidR="008E1B31" w:rsidRDefault="00000000">
      <w:pPr>
        <w:shd w:val="clear" w:color="auto" w:fill="F4F4F4"/>
      </w:pPr>
      <w:r>
        <w:rPr>
          <w:rFonts w:ascii="Consolas" w:eastAsia="Consolas" w:hAnsi="Consolas" w:cs="Consolas"/>
          <w:sz w:val="20"/>
          <w:szCs w:val="20"/>
        </w:rPr>
        <w:t xml:space="preserve">HAVING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&gt; 1;</w:t>
      </w:r>
    </w:p>
    <w:p w14:paraId="36BCFCBA" w14:textId="77777777" w:rsidR="008E1B31" w:rsidRDefault="00000000">
      <w:pPr>
        <w:spacing w:after="120"/>
      </w:pPr>
      <w:r>
        <w:rPr>
          <w:sz w:val="12"/>
          <w:szCs w:val="12"/>
        </w:rPr>
        <w:t xml:space="preserve"> </w:t>
      </w:r>
    </w:p>
    <w:p w14:paraId="36BCFCBB" w14:textId="77777777" w:rsidR="008E1B31" w:rsidRDefault="00000000">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000000">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000000">
      <w:pPr>
        <w:pStyle w:val="Heading2"/>
      </w:pPr>
      <w:r>
        <w:t>7.2 Claim 2: Partition closure</w:t>
      </w:r>
    </w:p>
    <w:p w14:paraId="36BCFCBE" w14:textId="77777777" w:rsidR="008E1B31" w:rsidRDefault="00000000">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000000">
      <w:pPr>
        <w:spacing w:after="160" w:line="320" w:lineRule="auto"/>
        <w:jc w:val="both"/>
      </w:pPr>
      <w:r>
        <w:t xml:space="preserve">The partition closure test is implemented in the view </w:t>
      </w:r>
      <w:proofErr w:type="spellStart"/>
      <w:r>
        <w:rPr>
          <w:rFonts w:ascii="Consolas" w:eastAsia="Consolas" w:hAnsi="Consolas" w:cs="Consolas"/>
        </w:rPr>
        <w:t>v_node_balance_check</w:t>
      </w:r>
      <w:proofErr w:type="spellEnd"/>
      <w:r>
        <w:t xml:space="preserve"> (the inflow and outflow sides are tested separately, since aggregation works the same way in both directions) and the per-variable-type aggregation is in </w:t>
      </w:r>
      <w:proofErr w:type="spellStart"/>
      <w:r>
        <w:rPr>
          <w:rFonts w:ascii="Consolas" w:eastAsia="Consolas" w:hAnsi="Consolas" w:cs="Consolas"/>
        </w:rPr>
        <w:t>v_aggregation_consistency</w:t>
      </w:r>
      <w:proofErr w:type="spellEnd"/>
      <w:r>
        <w:t>. The audit query for the inflow side at a representative aggregate is:</w:t>
      </w:r>
    </w:p>
    <w:p w14:paraId="36BCFCC0" w14:textId="77777777" w:rsidR="008E1B31" w:rsidRDefault="00000000">
      <w:pPr>
        <w:shd w:val="clear" w:color="auto" w:fill="F4F4F4"/>
      </w:pPr>
      <w:r>
        <w:rPr>
          <w:rFonts w:ascii="Consolas" w:eastAsia="Consolas" w:hAnsi="Consolas" w:cs="Consolas"/>
          <w:sz w:val="20"/>
          <w:szCs w:val="20"/>
        </w:rPr>
        <w:t>SELECT</w:t>
      </w:r>
    </w:p>
    <w:p w14:paraId="36BCFCC1"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w:t>
      </w:r>
    </w:p>
    <w:p w14:paraId="36BCFCC2"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sum_in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own_value</w:t>
      </w:r>
      <w:proofErr w:type="spellEnd"/>
      <w:r>
        <w:rPr>
          <w:rFonts w:ascii="Consolas" w:eastAsia="Consolas" w:hAnsi="Consolas" w:cs="Consolas"/>
          <w:sz w:val="20"/>
          <w:szCs w:val="20"/>
        </w:rPr>
        <w:t>,</w:t>
      </w:r>
    </w:p>
    <w:p w14:paraId="36BCFCC3"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sum_of_children</w:t>
      </w:r>
      <w:proofErr w:type="spellEnd"/>
      <w:r>
        <w:rPr>
          <w:rFonts w:ascii="Consolas" w:eastAsia="Consolas" w:hAnsi="Consolas" w:cs="Consolas"/>
          <w:sz w:val="20"/>
          <w:szCs w:val="20"/>
        </w:rPr>
        <w:t>,</w:t>
      </w:r>
    </w:p>
    <w:p w14:paraId="36BCFCC4"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abs(</w:t>
      </w:r>
      <w:proofErr w:type="spellStart"/>
      <w:proofErr w:type="gramEnd"/>
      <w:r>
        <w:rPr>
          <w:rFonts w:ascii="Consolas" w:eastAsia="Consolas" w:hAnsi="Consolas" w:cs="Consolas"/>
          <w:sz w:val="20"/>
          <w:szCs w:val="20"/>
        </w:rPr>
        <w:t>sum_in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AS gap</w:t>
      </w:r>
    </w:p>
    <w:p w14:paraId="36BCFCC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v_node_balance_check</w:t>
      </w:r>
      <w:proofErr w:type="spellEnd"/>
    </w:p>
    <w:p w14:paraId="36BCFCC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C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 xml:space="preserve"> IN ('</w:t>
      </w:r>
      <w:proofErr w:type="spellStart"/>
      <w:r>
        <w:rPr>
          <w:rFonts w:ascii="Consolas" w:eastAsia="Consolas" w:hAnsi="Consolas" w:cs="Consolas"/>
          <w:sz w:val="20"/>
          <w:szCs w:val="20"/>
        </w:rPr>
        <w:t>usa_view</w:t>
      </w:r>
      <w:proofErr w:type="spellEnd"/>
      <w:r>
        <w:rPr>
          <w:rFonts w:ascii="Consolas" w:eastAsia="Consolas" w:hAnsi="Consolas" w:cs="Consolas"/>
          <w:sz w:val="20"/>
          <w:szCs w:val="20"/>
        </w:rPr>
        <w:t>', 'padd1_view', 'padd2_view',</w:t>
      </w:r>
    </w:p>
    <w:p w14:paraId="36BCFCC8" w14:textId="77777777" w:rsidR="008E1B31" w:rsidRDefault="00000000">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 xml:space="preserve"> = '2024-06-01';</w:t>
      </w:r>
    </w:p>
    <w:p w14:paraId="36BCFCCA" w14:textId="77777777" w:rsidR="008E1B31" w:rsidRDefault="00000000">
      <w:pPr>
        <w:spacing w:after="120"/>
      </w:pPr>
      <w:r>
        <w:rPr>
          <w:sz w:val="12"/>
          <w:szCs w:val="12"/>
        </w:rPr>
        <w:t xml:space="preserve"> </w:t>
      </w:r>
    </w:p>
    <w:p w14:paraId="36BCFCCB" w14:textId="77777777" w:rsidR="008E1B31" w:rsidRDefault="00000000">
      <w:pPr>
        <w:spacing w:after="160" w:line="320" w:lineRule="auto"/>
        <w:jc w:val="both"/>
      </w:pPr>
      <w:r>
        <w:t>The result of this query, averaged across all 156 monthly observation dates in the scenario, is:</w:t>
      </w:r>
    </w:p>
    <w:p w14:paraId="36BCFCCC" w14:textId="77777777" w:rsidR="008E1B31" w:rsidRDefault="00000000">
      <w:pPr>
        <w:spacing w:after="160" w:line="320" w:lineRule="auto"/>
        <w:jc w:val="both"/>
      </w:pPr>
      <w:r>
        <w:t>| Node | Own inflow (</w:t>
      </w:r>
      <w:proofErr w:type="spellStart"/>
      <w:r>
        <w:t>kbd</w:t>
      </w:r>
      <w:proofErr w:type="spellEnd"/>
      <w:r>
        <w:t>) | Σ children inflow (</w:t>
      </w:r>
      <w:proofErr w:type="spellStart"/>
      <w:r>
        <w:t>kbd</w:t>
      </w:r>
      <w:proofErr w:type="spellEnd"/>
      <w:r>
        <w:t>) | Gap (</w:t>
      </w:r>
      <w:proofErr w:type="spellStart"/>
      <w:r>
        <w:t>kbd</w:t>
      </w:r>
      <w:proofErr w:type="spellEnd"/>
      <w:r>
        <w:t>) | Own outflow (</w:t>
      </w:r>
      <w:proofErr w:type="spellStart"/>
      <w:r>
        <w:t>kbd</w:t>
      </w:r>
      <w:proofErr w:type="spellEnd"/>
      <w:r>
        <w:t>) | Σ children outflow (</w:t>
      </w:r>
      <w:proofErr w:type="spellStart"/>
      <w:r>
        <w:t>kbd</w:t>
      </w:r>
      <w:proofErr w:type="spellEnd"/>
      <w:r>
        <w:t>) | Gap (</w:t>
      </w:r>
      <w:proofErr w:type="spellStart"/>
      <w:r>
        <w:t>kbd</w:t>
      </w:r>
      <w:proofErr w:type="spellEnd"/>
      <w:r>
        <w:t>) |</w:t>
      </w:r>
    </w:p>
    <w:p w14:paraId="36BCFCCD" w14:textId="77777777" w:rsidR="008E1B31" w:rsidRDefault="00000000">
      <w:pPr>
        <w:spacing w:after="160" w:line="320" w:lineRule="auto"/>
        <w:jc w:val="both"/>
      </w:pPr>
      <w:r>
        <w:t>|—|—|—|—|—|—|—|</w:t>
      </w:r>
    </w:p>
    <w:p w14:paraId="36BCFCCE" w14:textId="77777777" w:rsidR="008E1B31" w:rsidRDefault="00000000">
      <w:pPr>
        <w:spacing w:after="160" w:line="320" w:lineRule="auto"/>
        <w:jc w:val="both"/>
      </w:pPr>
      <w:r>
        <w:t xml:space="preserve">| </w:t>
      </w:r>
      <w:proofErr w:type="spellStart"/>
      <w:r>
        <w:t>usa_view</w:t>
      </w:r>
      <w:proofErr w:type="spellEnd"/>
      <w:r>
        <w:t xml:space="preserve"> | 6,557 | 6,557 | 0 | 3,752 | 3,752 | 0 |</w:t>
      </w:r>
    </w:p>
    <w:p w14:paraId="36BCFCCF" w14:textId="77777777" w:rsidR="008E1B31" w:rsidRDefault="00000000">
      <w:pPr>
        <w:spacing w:after="160" w:line="320" w:lineRule="auto"/>
        <w:jc w:val="both"/>
      </w:pPr>
      <w:r>
        <w:t>| padd1_view | 705 | 705 | 0 | 92.2 | 92.2 | 0 |</w:t>
      </w:r>
    </w:p>
    <w:p w14:paraId="36BCFCD0" w14:textId="77777777" w:rsidR="008E1B31" w:rsidRDefault="00000000">
      <w:pPr>
        <w:spacing w:after="160" w:line="320" w:lineRule="auto"/>
        <w:jc w:val="both"/>
      </w:pPr>
      <w:r>
        <w:t>| padd2_view | 4,503 | 4,503 | 0 | 2,426 | 2,426 | 0 |</w:t>
      </w:r>
    </w:p>
    <w:p w14:paraId="36BCFCD1" w14:textId="77777777" w:rsidR="008E1B31" w:rsidRDefault="00000000">
      <w:pPr>
        <w:spacing w:after="160" w:line="320" w:lineRule="auto"/>
        <w:jc w:val="both"/>
      </w:pPr>
      <w:r>
        <w:t>| padd3_view | 3,631 | 3,631 | 0 | 4,264 | 4,264 | 0 |</w:t>
      </w:r>
    </w:p>
    <w:p w14:paraId="36BCFCD2" w14:textId="77777777" w:rsidR="008E1B31" w:rsidRDefault="00000000">
      <w:pPr>
        <w:spacing w:after="160" w:line="320" w:lineRule="auto"/>
        <w:jc w:val="both"/>
      </w:pPr>
      <w:r>
        <w:t>| padd4_view | 552.7 | 552.7 | 0 | 987.5 | 987.5 | 0 |</w:t>
      </w:r>
    </w:p>
    <w:p w14:paraId="36BCFCD3" w14:textId="77777777" w:rsidR="008E1B31" w:rsidRDefault="00000000">
      <w:pPr>
        <w:spacing w:after="160" w:line="320" w:lineRule="auto"/>
        <w:jc w:val="both"/>
      </w:pPr>
      <w:r>
        <w:t>| padd5_view | 1,183 | 1,183 | 0 | — | 0 | 0 |</w:t>
      </w:r>
    </w:p>
    <w:p w14:paraId="36BCFCD4" w14:textId="77777777" w:rsidR="008E1B31" w:rsidRDefault="00000000">
      <w:pPr>
        <w:spacing w:after="160" w:line="320" w:lineRule="auto"/>
        <w:jc w:val="both"/>
      </w:pPr>
      <w:r>
        <w:t xml:space="preserve">Partition closure holds at every PADD aggregate and at the USA aggregate, in both the inflow and outflow directions, after twelve passes of refinement to the assignment set. The closure is exact (gap = 0 to the rounding precision of the underlying data) rather than approximate, </w:t>
      </w:r>
      <w:r>
        <w:lastRenderedPageBreak/>
        <w:t>because the same-type aggregation links in the partition tree are exact algebraic sums, not estimates.</w:t>
      </w:r>
    </w:p>
    <w:p w14:paraId="36BCFCD5" w14:textId="77777777" w:rsidR="008E1B31" w:rsidRDefault="00000000">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5986C732" w14:textId="77777777" w:rsidR="008E1B31" w:rsidRDefault="00000000">
      <w:pPr>
        <w:spacing w:after="160" w:line="320" w:lineRule="auto"/>
        <w:jc w:val="both"/>
      </w:pPr>
      <w:r>
        <w:t>The audit distinguishes two failure modes for a partition row. In the first, every declared constituent has a value and the sum disagrees with the observed parent: a genuine inconsistency in the underlying data. In the second, one or more constituents are missing or latent; the sum is necessarily incomplete and the comparison cannot be made. The framework reports only the first as a true inconsistency. The second is reported as partial_coverage. Without external knowledge, the framework cannot reliably distinguish 'the partition is wrong' from 'the partition is incomplete', so the inconsistent label is not applied in practice; every non-conforming row is reported as partial_coverage, and the user interface separates them visually. A red cell indicates that every constituent is present and the gap exceeds tolerance; a yellow cell indicates that at least one constituent is missing or latent and the gap is unverifiable. At the time of writing, no cell is red at the USA or PADD level; all open partition gaps are partial_coverage attributable to documented latent constituents.</w:t>
      </w:r>
    </w:p>
    <w:p w14:paraId="36BCFCD6" w14:textId="77777777" w:rsidR="008E1B31" w:rsidRDefault="00000000">
      <w:pPr>
        <w:pStyle w:val="Heading2"/>
      </w:pPr>
      <w:r>
        <w:t>7.3 Claim 3: Mass balance at every node</w:t>
      </w:r>
    </w:p>
    <w:p w14:paraId="36BCFCD7" w14:textId="77777777" w:rsidR="008E1B31" w:rsidRDefault="00000000">
      <w:pPr>
        <w:spacing w:after="160" w:line="320" w:lineRule="auto"/>
        <w:jc w:val="both"/>
      </w:pPr>
      <w:r>
        <w:t xml:space="preserve">The third claim is per-node and per-date. For every node </w:t>
      </w:r>
      <w:proofErr w:type="spellStart"/>
      <w:r>
        <w:t>i</w:t>
      </w:r>
      <w:proofErr w:type="spellEnd"/>
      <w:r>
        <w:t>, every commodity g, and every observation date t:</w:t>
      </w:r>
    </w:p>
    <w:p w14:paraId="36BCFCD8"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CD9" w14:textId="77777777" w:rsidR="008E1B31" w:rsidRDefault="00000000">
      <w:pPr>
        <w:spacing w:after="160" w:line="320" w:lineRule="auto"/>
        <w:jc w:val="both"/>
      </w:pPr>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000000">
      <w:pPr>
        <w:spacing w:after="160" w:line="320" w:lineRule="auto"/>
        <w:jc w:val="both"/>
      </w:pPr>
      <w:r>
        <w:t xml:space="preserve">The mass-balance check is universal: it applies to every node type, with pass-through nodes (gathering, pipelines, terminals) inheriting P = C = ΔS = B = 0 from </w:t>
      </w:r>
      <w:proofErr w:type="spellStart"/>
      <w:r>
        <w:rPr>
          <w:rFonts w:ascii="Consolas" w:eastAsia="Consolas" w:hAnsi="Consolas" w:cs="Consolas"/>
        </w:rPr>
        <w:t>node_type_default_formulas</w:t>
      </w:r>
      <w:proofErr w:type="spellEnd"/>
      <w:r>
        <w:t xml:space="preserve">, so that for pass-through nodes the constraint reduces to </w:t>
      </w:r>
      <w:proofErr w:type="spellStart"/>
      <w:r>
        <w:t>ΣF_in</w:t>
      </w:r>
      <w:proofErr w:type="spellEnd"/>
      <w:r>
        <w:t xml:space="preserve"> = </w:t>
      </w:r>
      <w:proofErr w:type="spellStart"/>
      <w:r>
        <w:t>ΣF_out</w:t>
      </w:r>
      <w:proofErr w:type="spellEnd"/>
      <w:r>
        <w: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000000">
      <w:pPr>
        <w:spacing w:after="160" w:line="320" w:lineRule="auto"/>
        <w:jc w:val="both"/>
      </w:pPr>
      <w:r>
        <w:t xml:space="preserve">Where the mass balance does not close exactly at a node — typically a node with both an observed stock series and observed flow series, where measurement timing and rounding produce a small residual — the residual is absorbed into </w:t>
      </w:r>
      <w:proofErr w:type="gramStart"/>
      <w:r>
        <w:t>B(</w:t>
      </w:r>
      <w:proofErr w:type="spellStart"/>
      <w:proofErr w:type="gramEnd"/>
      <w:r>
        <w:t>i</w:t>
      </w:r>
      <w:proofErr w:type="spellEnd"/>
      <w:r>
        <w:t xml:space="preserve">, g, t). At the USA aggregate, B is itself time-series-observed (the EIA MCRUA series), so its value at every date is an independently published quantity. The framework's mass balance therefore reduces, at the </w:t>
      </w:r>
      <w:r>
        <w:lastRenderedPageBreak/>
        <w:t>USA level, to a check that EIA's published balancing item matches the closure-derived balancing item that the framework would compute if it were not observed.</w:t>
      </w:r>
    </w:p>
    <w:p w14:paraId="36BCFCDC" w14:textId="77777777" w:rsidR="008E1B31" w:rsidRDefault="00000000">
      <w:pPr>
        <w:spacing w:after="160" w:line="320" w:lineRule="auto"/>
        <w:jc w:val="both"/>
      </w:pPr>
      <w:r>
        <w:t>That comparison is the subject of the next claim.</w:t>
      </w:r>
    </w:p>
    <w:p w14:paraId="36BCFCDD" w14:textId="77777777" w:rsidR="008E1B31" w:rsidRDefault="00000000">
      <w:pPr>
        <w:pStyle w:val="Heading2"/>
      </w:pPr>
      <w:r>
        <w:t>7.4 Claim 4: Observed B versus closure-derived B</w:t>
      </w:r>
    </w:p>
    <w:p w14:paraId="36BCFCDE" w14:textId="77777777" w:rsidR="008E1B31" w:rsidRDefault="00000000">
      <w:pPr>
        <w:spacing w:after="160" w:line="320" w:lineRule="auto"/>
        <w:jc w:val="both"/>
      </w:pPr>
      <w:r>
        <w:t>The fourth claim is a richer one. Because the balancing item is independently time-series-observed at the PADD and USA levels (via the MCRUA series, promoted to authoritative in 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000000">
      <w:pPr>
        <w:spacing w:after="160" w:line="320" w:lineRule="auto"/>
        <w:jc w:val="both"/>
      </w:pPr>
      <w:r>
        <w:t>In a perfectly consistent framework — one in which every flow at every level is observed without error, every stock is reported precisely, and every measurement is timed identically — the two values of B would coincide at every date. In a real framework operating on real public data, they differ. The magnitude and timing of the difference is operationally informative.</w:t>
      </w:r>
    </w:p>
    <w:p w14:paraId="36BCFCE0" w14:textId="77777777" w:rsidR="008E1B31" w:rsidRDefault="00000000">
      <w:pPr>
        <w:spacing w:after="160" w:line="320" w:lineRule="auto"/>
        <w:jc w:val="both"/>
      </w:pPr>
      <w:r>
        <w:t xml:space="preserve">The view </w:t>
      </w:r>
      <w:proofErr w:type="spellStart"/>
      <w:r>
        <w:rPr>
          <w:rFonts w:ascii="Consolas" w:eastAsia="Consolas" w:hAnsi="Consolas" w:cs="Consolas"/>
        </w:rPr>
        <w:t>v_aggregation_consistency</w:t>
      </w:r>
      <w:proofErr w:type="spellEnd"/>
      <w:r>
        <w:t xml:space="preserve"> computes the difference at the USA aggregate, and a downstream chart (the "Claim 4 chart" in the renderer code) plots it monthly from 2015 onwards. The signal that emerges is striking: the difference is small and unsigned in normal periods (a few tens of </w:t>
      </w:r>
      <w:proofErr w:type="spellStart"/>
      <w:r>
        <w:t>kbd</w:t>
      </w:r>
      <w:proofErr w:type="spellEnd"/>
      <w:r>
        <w:t xml:space="preserve"> around a mean of zero</w:t>
      </w:r>
      <w:proofErr w:type="gramStart"/>
      <w:r>
        <w:t>), and</w:t>
      </w:r>
      <w:proofErr w:type="gramEnd"/>
      <w:r>
        <w:t xml:space="preserve"> sharply spiked around named disruption events.</w:t>
      </w:r>
    </w:p>
    <w:p w14:paraId="36BCFCE1" w14:textId="77777777" w:rsidR="008E1B31" w:rsidRDefault="00000000">
      <w:pPr>
        <w:spacing w:after="160" w:line="320" w:lineRule="auto"/>
        <w:jc w:val="both"/>
      </w:pPr>
      <w:r>
        <w:t>The specific events that appear as spikes in the chart are:</w:t>
      </w:r>
    </w:p>
    <w:p w14:paraId="36BCFCE2" w14:textId="77777777" w:rsidR="008E1B31" w:rsidRDefault="00000000">
      <w:pPr>
        <w:spacing w:after="160" w:line="320" w:lineRule="auto"/>
        <w:jc w:val="both"/>
      </w:pPr>
      <w:r>
        <w:t>| Period | Event | Approximate magnitude |</w:t>
      </w:r>
    </w:p>
    <w:p w14:paraId="36BCFCE3" w14:textId="77777777" w:rsidR="008E1B31" w:rsidRDefault="00000000">
      <w:pPr>
        <w:spacing w:after="160" w:line="320" w:lineRule="auto"/>
        <w:jc w:val="both"/>
      </w:pPr>
      <w:r>
        <w:t>|—|—|—|</w:t>
      </w:r>
    </w:p>
    <w:p w14:paraId="36BCFCE4" w14:textId="77777777" w:rsidR="008E1B31" w:rsidRDefault="00000000">
      <w:pPr>
        <w:spacing w:after="160" w:line="320" w:lineRule="auto"/>
        <w:jc w:val="both"/>
      </w:pPr>
      <w:r>
        <w:t xml:space="preserve">| August–September 2017 | Hurricane Harvey | 400–600 </w:t>
      </w:r>
      <w:proofErr w:type="spellStart"/>
      <w:r>
        <w:t>kbd</w:t>
      </w:r>
      <w:proofErr w:type="spellEnd"/>
      <w:r>
        <w:t xml:space="preserve"> spike in observed-minus-closure B |</w:t>
      </w:r>
    </w:p>
    <w:p w14:paraId="36BCFCE5" w14:textId="77777777" w:rsidR="008E1B31" w:rsidRDefault="00000000">
      <w:pPr>
        <w:spacing w:after="160" w:line="320" w:lineRule="auto"/>
        <w:jc w:val="both"/>
      </w:pPr>
      <w:r>
        <w:t xml:space="preserve">| March–May 2020 | COVID-19 demand collapse | 300–500 </w:t>
      </w:r>
      <w:proofErr w:type="spellStart"/>
      <w:r>
        <w:t>kbd</w:t>
      </w:r>
      <w:proofErr w:type="spellEnd"/>
      <w:r>
        <w:t xml:space="preserve"> persistent residual |</w:t>
      </w:r>
    </w:p>
    <w:p w14:paraId="36BCFCE6" w14:textId="77777777" w:rsidR="008E1B31" w:rsidRDefault="00000000">
      <w:pPr>
        <w:spacing w:after="160" w:line="320" w:lineRule="auto"/>
        <w:jc w:val="both"/>
      </w:pPr>
      <w:r>
        <w:t xml:space="preserve">| May 2021 | Colonial Pipeline ransomware shutdown | 200–300 </w:t>
      </w:r>
      <w:proofErr w:type="spellStart"/>
      <w:r>
        <w:t>kbd</w:t>
      </w:r>
      <w:proofErr w:type="spellEnd"/>
      <w:r>
        <w:t xml:space="preserve"> spike |</w:t>
      </w:r>
    </w:p>
    <w:p w14:paraId="36BCFCE7" w14:textId="77777777" w:rsidR="008E1B31" w:rsidRDefault="00000000">
      <w:pPr>
        <w:spacing w:after="160" w:line="320" w:lineRule="auto"/>
        <w:jc w:val="both"/>
      </w:pPr>
      <w:r>
        <w:t xml:space="preserve">| April–November 2022 | SPR strategic release | 100–250 </w:t>
      </w:r>
      <w:proofErr w:type="spellStart"/>
      <w:r>
        <w:t>kbd</w:t>
      </w:r>
      <w:proofErr w:type="spellEnd"/>
      <w:r>
        <w:t xml:space="preserve"> persistent residual matching the release schedule |</w:t>
      </w:r>
    </w:p>
    <w:p w14:paraId="36BCFCE8" w14:textId="77777777" w:rsidR="008E1B31" w:rsidRDefault="00000000">
      <w:pPr>
        <w:spacing w:after="160" w:line="320" w:lineRule="auto"/>
        <w:jc w:val="both"/>
      </w:pPr>
      <w:r>
        <w:t xml:space="preserve">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w:t>
      </w:r>
      <w:r>
        <w:lastRenderedPageBreak/>
        <w:t>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000000">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000000">
      <w:pPr>
        <w:pStyle w:val="Heading2"/>
      </w:pPr>
      <w:r>
        <w:t>7.5 Cross-scenario consistency</w:t>
      </w:r>
    </w:p>
    <w:p w14:paraId="36BCFCEB" w14:textId="77777777" w:rsidR="008E1B31" w:rsidRDefault="00000000">
      <w:pPr>
        <w:spacing w:after="160" w:line="320" w:lineRule="auto"/>
        <w:jc w:val="both"/>
      </w:pPr>
      <w:r>
        <w:t>The four claims above hold under the framework as committed. A fifth, cross-scenario consistency, asks whether a second scenario binding the same underlying time series at a different resolution would produce aggregate values that agree with the first wherever the two scenarios overlap. The schema and the resolver admit such a test without modification; executing it is future work.</w:t>
      </w:r>
    </w:p>
    <w:p w14:paraId="36BCFCEE" w14:textId="77777777" w:rsidR="008E1B31" w:rsidRDefault="00000000">
      <w:pPr>
        <w:pStyle w:val="Heading2"/>
      </w:pPr>
      <w:r>
        <w:t>7.6 Operational consistency of the resolver</w:t>
      </w:r>
    </w:p>
    <w:p w14:paraId="36BCFCEF" w14:textId="77777777" w:rsidR="008E1B31" w:rsidRDefault="00000000">
      <w:pPr>
        <w:spacing w:after="160" w:line="320" w:lineRule="auto"/>
        <w:jc w:val="both"/>
      </w:pPr>
      <w:r>
        <w:t>A separate class of consistency claim concerns the resolver itself. Two properties hold by construction:</w:t>
      </w:r>
    </w:p>
    <w:p w14:paraId="36BCFCF0" w14:textId="77777777" w:rsidR="008E1B31" w:rsidRDefault="00000000">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w:t>
      </w:r>
      <w:proofErr w:type="spellStart"/>
      <w:r>
        <w:t>observation_date</w:t>
      </w:r>
      <w:proofErr w:type="spellEnd"/>
      <w:r>
        <w:t>) tuple.</w:t>
      </w:r>
    </w:p>
    <w:p w14:paraId="36BCFCF1" w14:textId="77777777" w:rsidR="008E1B31" w:rsidRDefault="00000000">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proofErr w:type="spellStart"/>
      <w:r>
        <w:rPr>
          <w:rFonts w:ascii="Consolas" w:eastAsia="Consolas" w:hAnsi="Consolas" w:cs="Consolas"/>
        </w:rPr>
        <w:t>scenario_resolver_runs</w:t>
      </w:r>
      <w:proofErr w:type="spellEnd"/>
      <w:r>
        <w:t xml:space="preserve"> and can be cross-checked between runs. The current dispatch counts (from Section 6.4) are stable across repeated runs of the same scenario.</w:t>
      </w:r>
    </w:p>
    <w:p w14:paraId="36BCFCF2" w14:textId="77777777" w:rsidR="008E1B31" w:rsidRDefault="00000000">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000000">
      <w:pPr>
        <w:pStyle w:val="Heading2"/>
      </w:pPr>
      <w:r>
        <w:t>7.7 What the consistency claims do not cover</w:t>
      </w:r>
    </w:p>
    <w:p w14:paraId="36BCFCF4" w14:textId="77777777" w:rsidR="008E1B31" w:rsidRDefault="00000000">
      <w:pPr>
        <w:spacing w:after="160" w:line="320" w:lineRule="auto"/>
        <w:jc w:val="both"/>
      </w:pPr>
      <w:r>
        <w:lastRenderedPageBreak/>
        <w:t>The framework's consistency claims are about internal coherence, not about external correctness. Specifically, the claims do not establish:</w:t>
      </w:r>
    </w:p>
    <w:p w14:paraId="36BCFCF5" w14:textId="77777777" w:rsidR="008E1B31" w:rsidRDefault="00000000">
      <w:pPr>
        <w:spacing w:after="160" w:line="320" w:lineRule="auto"/>
        <w:jc w:val="both"/>
      </w:pPr>
      <w:r>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000000">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000000">
      <w:pPr>
        <w:spacing w:after="160" w:line="320" w:lineRule="auto"/>
        <w:jc w:val="both"/>
      </w:pPr>
      <w:r>
        <w:t>The realism of the latent allocations. The framework leaves per-edge flows latent at junctions and does not commit to specific values for them. Whether the eventual LP or GNN allocation matches what is physically happening on the ground is a question for the consumer model, not for the schema. The framework guarantees only that the aggregate constraint is satisfied, not that the per-edge split is correct.</w:t>
      </w:r>
    </w:p>
    <w:p w14:paraId="36BCFCF8" w14:textId="77777777" w:rsidR="008E1B31" w:rsidRDefault="00000000">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000000">
      <w:pPr>
        <w:pStyle w:val="Heading2"/>
      </w:pPr>
      <w:r>
        <w:t>7.8 Summary</w:t>
      </w:r>
    </w:p>
    <w:p w14:paraId="36BCFCFA" w14:textId="77777777" w:rsidR="008E1B31" w:rsidRDefault="00000000">
      <w:pPr>
        <w:spacing w:after="160" w:line="320" w:lineRule="auto"/>
        <w:jc w:val="both"/>
      </w:pPr>
      <w:r>
        <w:t>The framework supports four numerical consistency claims: schema-level single attribution, partition closure, per-node mass balance, and observed-versus-closure B. A fifth claim, cross-scenario consistency, is admissible by construction but is left to future work. Each claim corresponds to a specific audit query and a specific view in the live system.</w:t>
      </w:r>
    </w:p>
    <w:p w14:paraId="36BCFCFB" w14:textId="77777777" w:rsidR="008E1B31" w:rsidRDefault="00000000">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36BCFCFC" w14:textId="77777777" w:rsidR="008E1B31" w:rsidRDefault="00000000">
      <w:pPr>
        <w:pStyle w:val="Heading1"/>
        <w:pageBreakBefore/>
      </w:pPr>
      <w:r>
        <w:lastRenderedPageBreak/>
        <w:t>8. Linear Programming as a Downstream Consumer</w:t>
      </w:r>
    </w:p>
    <w:p w14:paraId="36BCFCFD" w14:textId="77777777" w:rsidR="008E1B31" w:rsidRDefault="00000000">
      <w:pPr>
        <w:spacing w:after="160" w:line="320" w:lineRule="auto"/>
        <w:jc w:val="both"/>
      </w:pPr>
      <w:r>
        <w:t xml:space="preserve">The asset-centric schema, the resolver, and the consistency </w:t>
      </w:r>
      <w:proofErr w:type="gramStart"/>
      <w:r>
        <w:t>guarantees</w:t>
      </w:r>
      <w:proofErr w:type="gramEnd"/>
      <w:r>
        <w:t xml:space="preserve">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000000">
      <w:pPr>
        <w:spacing w:after="160" w:line="320" w:lineRule="auto"/>
        <w:jc w:val="both"/>
      </w:pPr>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000000">
      <w:pPr>
        <w:pStyle w:val="Heading2"/>
      </w:pPr>
      <w:r>
        <w:t>8.1 What the LP takes as input</w:t>
      </w:r>
    </w:p>
    <w:p w14:paraId="36BCFD00" w14:textId="77777777" w:rsidR="008E1B31" w:rsidRDefault="00000000">
      <w:pPr>
        <w:spacing w:after="160" w:line="320" w:lineRule="auto"/>
        <w:jc w:val="both"/>
      </w:pPr>
      <w:r>
        <w:t>The LP reads from the resolved table and the structural views. Specifically, it consumes four tensors:</w:t>
      </w:r>
    </w:p>
    <w:p w14:paraId="36BCFD01" w14:textId="77777777" w:rsidR="008E1B31" w:rsidRDefault="00000000">
      <w:pPr>
        <w:spacing w:after="160" w:line="320" w:lineRule="auto"/>
        <w:jc w:val="both"/>
      </w:pPr>
      <w:r>
        <w:rPr>
          <w:b/>
          <w:bCs/>
        </w:rPr>
        <w:t>The node-by-time value matrix.</w:t>
      </w:r>
      <w:r>
        <w:t xml:space="preserve"> Built from </w:t>
      </w:r>
      <w:proofErr w:type="spellStart"/>
      <w:r>
        <w:rPr>
          <w:rFonts w:ascii="Consolas" w:eastAsia="Consolas" w:hAnsi="Consolas" w:cs="Consolas"/>
        </w:rP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Each row is a variable; each column is a date. Cells contain the resolved value, with NULL where the value is latent or unresolved.</w:t>
      </w:r>
    </w:p>
    <w:p w14:paraId="36BCFD02" w14:textId="77777777" w:rsidR="008E1B31" w:rsidRDefault="00000000">
      <w:pPr>
        <w:spacing w:after="160" w:line="320" w:lineRule="auto"/>
        <w:jc w:val="both"/>
      </w:pPr>
      <w:r>
        <w:t>The adjacency structure. Built from v_flow_edges. Each row is a directed edge (source node, target node, edge variable). This is the fixed topology that holds across all dates, in accordance with Axiom 2.</w:t>
      </w:r>
    </w:p>
    <w:p w14:paraId="36BCFD03" w14:textId="77777777" w:rsidR="008E1B31" w:rsidRDefault="00000000">
      <w:pPr>
        <w:spacing w:after="160" w:line="320" w:lineRule="auto"/>
        <w:jc w:val="both"/>
      </w:pPr>
      <w:r>
        <w:rPr>
          <w:b/>
          <w:bCs/>
        </w:rPr>
        <w:t>The constraint structure.</w:t>
      </w:r>
      <w:r>
        <w:t xml:space="preserve"> Built from </w:t>
      </w:r>
      <w:proofErr w:type="spellStart"/>
      <w:r>
        <w:rPr>
          <w:rFonts w:ascii="Consolas" w:eastAsia="Consolas" w:hAnsi="Consolas" w:cs="Consolas"/>
        </w:rPr>
        <w:t>v_node_balance_check</w:t>
      </w:r>
      <w:proofErr w:type="spellEnd"/>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000000">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000000">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000000">
      <w:pPr>
        <w:pStyle w:val="Heading2"/>
      </w:pPr>
      <w:r>
        <w:t>8.2 Mass balance as LP rows</w:t>
      </w:r>
    </w:p>
    <w:p w14:paraId="36BCFD07" w14:textId="77777777" w:rsidR="008E1B31" w:rsidRDefault="00000000">
      <w:pPr>
        <w:spacing w:after="160" w:line="320" w:lineRule="auto"/>
        <w:jc w:val="both"/>
      </w:pPr>
      <w:r>
        <w:t>For each node i, each commodity g, and each observation date t, the mass balance equation from Corollary A contributes one equality row to the LP:</w:t>
      </w:r>
    </w:p>
    <w:p w14:paraId="36BCFD08" w14:textId="77777777" w:rsidR="008E1B31" w:rsidRDefault="00000000">
      <w:pPr>
        <w:spacing w:after="160" w:line="320" w:lineRule="auto"/>
        <w:jc w:val="both"/>
      </w:pP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 − Δ</w:t>
      </w:r>
      <w:proofErr w:type="gramStart"/>
      <w:r>
        <w:t>S(</w:t>
      </w:r>
      <w:proofErr w:type="spellStart"/>
      <w:proofErr w:type="gramEnd"/>
      <w:r>
        <w:t>i</w:t>
      </w:r>
      <w:proofErr w:type="spellEnd"/>
      <w:r>
        <w:t>, g, t) = 0</w:t>
      </w:r>
    </w:p>
    <w:p w14:paraId="36BCFD09" w14:textId="77777777" w:rsidR="008E1B31" w:rsidRDefault="00000000">
      <w:pPr>
        <w:spacing w:after="160" w:line="320" w:lineRule="auto"/>
        <w:jc w:val="both"/>
      </w:pPr>
      <w:r>
        <w:t>Substituting the relational variables in terms of their per-edge components:</w:t>
      </w:r>
    </w:p>
    <w:p w14:paraId="36BCFD0A" w14:textId="77777777" w:rsidR="008E1B31" w:rsidRDefault="00000000">
      <w:pPr>
        <w:spacing w:after="160" w:line="320" w:lineRule="auto"/>
        <w:jc w:val="both"/>
      </w:pPr>
      <w:r>
        <w:t>P(</w:t>
      </w:r>
      <w:proofErr w:type="spellStart"/>
      <w:r>
        <w:t>i</w:t>
      </w:r>
      <w:proofErr w:type="spellEnd"/>
      <w:r>
        <w:t xml:space="preserve">, g, t) + Σ_{j ∈ </w:t>
      </w:r>
      <w:proofErr w:type="spellStart"/>
      <w:r>
        <w:t>N_in</w:t>
      </w:r>
      <w:proofErr w:type="spellEnd"/>
      <w:r>
        <w:t>(</w:t>
      </w:r>
      <w:proofErr w:type="spellStart"/>
      <w:r>
        <w:t>i</w:t>
      </w:r>
      <w:proofErr w:type="spellEnd"/>
      <w:r>
        <w:t xml:space="preserve">)} ϕ(j, </w:t>
      </w:r>
      <w:proofErr w:type="spellStart"/>
      <w:r>
        <w:t>i</w:t>
      </w:r>
      <w:proofErr w:type="spellEnd"/>
      <w:r>
        <w:t>, g, t) − C(</w:t>
      </w:r>
      <w:proofErr w:type="spellStart"/>
      <w:r>
        <w:t>i</w:t>
      </w:r>
      <w:proofErr w:type="spellEnd"/>
      <w:r>
        <w:t xml:space="preserve">, g, t) − Σ_{k ∈ </w:t>
      </w:r>
      <w:proofErr w:type="spellStart"/>
      <w:r>
        <w:t>N_out</w:t>
      </w:r>
      <w:proofErr w:type="spellEnd"/>
      <w:r>
        <w:t>(</w:t>
      </w:r>
      <w:proofErr w:type="spellStart"/>
      <w:r>
        <w:t>i</w:t>
      </w:r>
      <w:proofErr w:type="spellEnd"/>
      <w:r>
        <w:t>)} ϕ(</w:t>
      </w:r>
      <w:proofErr w:type="spellStart"/>
      <w:r>
        <w:t>i</w:t>
      </w:r>
      <w:proofErr w:type="spellEnd"/>
      <w:r>
        <w:t>, k, g, t) + B(</w:t>
      </w:r>
      <w:proofErr w:type="spellStart"/>
      <w:r>
        <w:t>i</w:t>
      </w:r>
      <w:proofErr w:type="spellEnd"/>
      <w:r>
        <w:t>, g, t) − ΔS(</w:t>
      </w:r>
      <w:proofErr w:type="spellStart"/>
      <w:r>
        <w:t>i</w:t>
      </w:r>
      <w:proofErr w:type="spellEnd"/>
      <w:r>
        <w:t>, g, t) = 0</w:t>
      </w:r>
    </w:p>
    <w:p w14:paraId="36BCFD0B" w14:textId="77777777" w:rsidR="008E1B31" w:rsidRDefault="00000000">
      <w:pPr>
        <w:spacing w:after="160" w:line="320" w:lineRule="auto"/>
        <w:jc w:val="both"/>
      </w:pPr>
      <w:r>
        <w:t xml:space="preserve">where </w:t>
      </w:r>
      <w:proofErr w:type="gramStart"/>
      <w:r>
        <w:t>ϕ(</w:t>
      </w:r>
      <w:proofErr w:type="gramEnd"/>
      <w:r>
        <w:t xml:space="preserve">j, </w:t>
      </w:r>
      <w:proofErr w:type="spellStart"/>
      <w:r>
        <w:t>i</w:t>
      </w:r>
      <w:proofErr w:type="spellEnd"/>
      <w:r>
        <w:t xml:space="preserve">, g, t) is the per-edge flow from j to </w:t>
      </w:r>
      <w:proofErr w:type="spellStart"/>
      <w:r>
        <w:t>i</w:t>
      </w:r>
      <w:proofErr w:type="spellEnd"/>
      <w:r>
        <w:t xml:space="preserve"> on commodity g at date t, and </w:t>
      </w:r>
      <w:proofErr w:type="spellStart"/>
      <w:r>
        <w:t>N_in</w:t>
      </w:r>
      <w:proofErr w:type="spellEnd"/>
      <w:r>
        <w:t>(</w:t>
      </w:r>
      <w:proofErr w:type="spellStart"/>
      <w:r>
        <w:t>i</w:t>
      </w:r>
      <w:proofErr w:type="spellEnd"/>
      <w:r>
        <w:t xml:space="preserve">), </w:t>
      </w:r>
      <w:proofErr w:type="spellStart"/>
      <w:r>
        <w:t>N_out</w:t>
      </w:r>
      <w:proofErr w:type="spellEnd"/>
      <w:r>
        <w:t>(</w:t>
      </w:r>
      <w:proofErr w:type="spellStart"/>
      <w:r>
        <w:t>i</w:t>
      </w:r>
      <w:proofErr w:type="spellEnd"/>
      <w:r>
        <w:t xml:space="preserve">) are the predecessor and successor sets of </w:t>
      </w:r>
      <w:proofErr w:type="spellStart"/>
      <w:r>
        <w:t>i</w:t>
      </w:r>
      <w:proofErr w:type="spellEnd"/>
      <w:r>
        <w:t xml:space="preserve"> in the flow topology.</w:t>
      </w:r>
    </w:p>
    <w:p w14:paraId="36BCFD0C" w14:textId="77777777" w:rsidR="008E1B31" w:rsidRDefault="00000000">
      <w:pPr>
        <w:spacing w:after="160" w:line="320" w:lineRule="auto"/>
        <w:jc w:val="both"/>
      </w:pPr>
      <w:r>
        <w:t>The structure of the row depends on which terms are constants (resolved values</w:t>
      </w:r>
      <w:proofErr w:type="gramStart"/>
      <w:r>
        <w:t>)</w:t>
      </w:r>
      <w:proofErr w:type="gramEnd"/>
      <w:r>
        <w:t xml:space="preserve"> and which are decision variables (</w:t>
      </w:r>
      <w:proofErr w:type="spellStart"/>
      <w:r>
        <w:t>latents</w:t>
      </w:r>
      <w:proofErr w:type="spellEnd"/>
      <w:r>
        <w:t xml:space="preserve">). At a junction node such as </w:t>
      </w:r>
      <w:proofErr w:type="spellStart"/>
      <w:r>
        <w:rPr>
          <w:rFonts w:ascii="Consolas" w:eastAsia="Consolas" w:hAnsi="Consolas" w:cs="Consolas"/>
        </w:rPr>
        <w:t>permian_tx</w:t>
      </w:r>
      <w:proofErr w:type="spellEnd"/>
      <w:r>
        <w:t xml:space="preserve"> with observed production but latent outflows, the row becomes:</w:t>
      </w:r>
    </w:p>
    <w:p w14:paraId="36BCFD0D" w14:textId="77777777" w:rsidR="008E1B31" w:rsidRDefault="00000000">
      <w:pPr>
        <w:spacing w:after="160" w:line="320" w:lineRule="auto"/>
        <w:jc w:val="both"/>
      </w:pPr>
      <w:r>
        <w:t xml:space="preserve">[constant: </w:t>
      </w:r>
      <w:proofErr w:type="spellStart"/>
      <w:r>
        <w:t>P_permian_tx</w:t>
      </w:r>
      <w:proofErr w:type="spellEnd"/>
      <w:r>
        <w:t xml:space="preserve">] − </w:t>
      </w:r>
      <w:proofErr w:type="spellStart"/>
      <w:r>
        <w:t>Σ_k</w:t>
      </w:r>
      <w:proofErr w:type="spellEnd"/>
      <w:r>
        <w:t xml:space="preserve"> </w:t>
      </w:r>
      <w:proofErr w:type="gramStart"/>
      <w:r>
        <w:t>ϕ(</w:t>
      </w:r>
      <w:proofErr w:type="spellStart"/>
      <w:proofErr w:type="gramEnd"/>
      <w:r>
        <w:t>permian_tx</w:t>
      </w:r>
      <w:proofErr w:type="spellEnd"/>
      <w:r>
        <w:t>, k) = 0</w:t>
      </w:r>
    </w:p>
    <w:p w14:paraId="36BCFD0E" w14:textId="77777777" w:rsidR="008E1B31" w:rsidRDefault="00000000">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000000">
      <w:pPr>
        <w:spacing w:after="160" w:line="320" w:lineRule="auto"/>
        <w:jc w:val="both"/>
      </w:pPr>
      <w:r>
        <w:t xml:space="preserve">For pass-through node types (gathering, pipeline, import and export terminals, foreign aggregates), the defaults from </w:t>
      </w:r>
      <w:proofErr w:type="spellStart"/>
      <w:r>
        <w:rPr>
          <w:rFonts w:ascii="Consolas" w:eastAsia="Consolas" w:hAnsi="Consolas" w:cs="Consolas"/>
        </w:rPr>
        <w:t>node_type_default_formulas</w:t>
      </w:r>
      <w:proofErr w:type="spellEnd"/>
      <w:r>
        <w:t xml:space="preserve"> give P = C = ΔS = B = 0, and the mass balance reduces to:</w:t>
      </w:r>
    </w:p>
    <w:p w14:paraId="36BCFD10" w14:textId="77777777" w:rsidR="008E1B31" w:rsidRDefault="00000000">
      <w:pPr>
        <w:spacing w:after="160" w:line="320" w:lineRule="auto"/>
        <w:jc w:val="both"/>
      </w:pPr>
      <w:r>
        <w:t>Σ</w:t>
      </w:r>
      <w:proofErr w:type="gramStart"/>
      <w:r>
        <w:t>_{</w:t>
      </w:r>
      <w:proofErr w:type="gramEnd"/>
      <w:r>
        <w:t xml:space="preserve">j ∈ </w:t>
      </w:r>
      <w:proofErr w:type="spellStart"/>
      <w:r>
        <w:t>N_in</w:t>
      </w:r>
      <w:proofErr w:type="spellEnd"/>
      <w:r>
        <w:t>(</w:t>
      </w:r>
      <w:proofErr w:type="spellStart"/>
      <w:r>
        <w:t>i</w:t>
      </w:r>
      <w:proofErr w:type="spellEnd"/>
      <w:r>
        <w:t xml:space="preserve">)} </w:t>
      </w:r>
      <w:proofErr w:type="gramStart"/>
      <w:r>
        <w:t>ϕ(</w:t>
      </w:r>
      <w:proofErr w:type="gramEnd"/>
      <w:r>
        <w:t xml:space="preserve">j, </w:t>
      </w:r>
      <w:proofErr w:type="spellStart"/>
      <w:r>
        <w:t>i</w:t>
      </w:r>
      <w:proofErr w:type="spellEnd"/>
      <w:r>
        <w:t>, g, t) − Σ</w:t>
      </w:r>
      <w:proofErr w:type="gramStart"/>
      <w:r>
        <w:t>_{</w:t>
      </w:r>
      <w:proofErr w:type="gramEnd"/>
      <w:r>
        <w:t xml:space="preserve">k ∈ </w:t>
      </w:r>
      <w:proofErr w:type="spellStart"/>
      <w:r>
        <w:t>N_out</w:t>
      </w:r>
      <w:proofErr w:type="spellEnd"/>
      <w:r>
        <w:t>(</w:t>
      </w:r>
      <w:proofErr w:type="spellStart"/>
      <w:r>
        <w:t>i</w:t>
      </w:r>
      <w:proofErr w:type="spellEnd"/>
      <w:r>
        <w:t xml:space="preserve">)} </w:t>
      </w:r>
      <w:proofErr w:type="gramStart"/>
      <w:r>
        <w:t>ϕ(</w:t>
      </w:r>
      <w:proofErr w:type="spellStart"/>
      <w:proofErr w:type="gramEnd"/>
      <w:r>
        <w:t>i</w:t>
      </w:r>
      <w:proofErr w:type="spellEnd"/>
      <w:r>
        <w:t>, k, g, t) = 0</w:t>
      </w:r>
    </w:p>
    <w:p w14:paraId="36BCFD11" w14:textId="77777777" w:rsidR="008E1B31" w:rsidRDefault="00000000">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000000">
      <w:pPr>
        <w:pStyle w:val="Heading2"/>
      </w:pPr>
      <w:r>
        <w:t>8.3 Capacity as LP rows</w:t>
      </w:r>
    </w:p>
    <w:p w14:paraId="36BCFD13" w14:textId="77777777" w:rsidR="008E1B31" w:rsidRDefault="00000000">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000000">
      <w:pPr>
        <w:spacing w:after="160" w:line="320" w:lineRule="auto"/>
        <w:jc w:val="both"/>
      </w:pPr>
      <w:proofErr w:type="gramStart"/>
      <w:r>
        <w:t>ϕ(</w:t>
      </w:r>
      <w:proofErr w:type="spellStart"/>
      <w:proofErr w:type="gramEnd"/>
      <w:r>
        <w:t>i</w:t>
      </w:r>
      <w:proofErr w:type="spellEnd"/>
      <w:r>
        <w:t xml:space="preserve">, j, g, t) ≤ </w:t>
      </w:r>
      <w:proofErr w:type="gramStart"/>
      <w:r>
        <w:t>capacity(</w:t>
      </w:r>
      <w:proofErr w:type="spellStart"/>
      <w:proofErr w:type="gramEnd"/>
      <w:r>
        <w:t>i</w:t>
      </w:r>
      <w:proofErr w:type="spellEnd"/>
      <w:r>
        <w:t>, j) for each pipeline edge</w:t>
      </w:r>
    </w:p>
    <w:p w14:paraId="36BCFD15" w14:textId="77777777" w:rsidR="008E1B31" w:rsidRDefault="00000000">
      <w:pPr>
        <w:spacing w:after="160" w:line="320" w:lineRule="auto"/>
        <w:jc w:val="both"/>
      </w:pPr>
      <w:r>
        <w:t>Σ</w:t>
      </w:r>
      <w:proofErr w:type="gramStart"/>
      <w:r>
        <w:t>C(</w:t>
      </w:r>
      <w:proofErr w:type="spellStart"/>
      <w:proofErr w:type="gramEnd"/>
      <w:r>
        <w:t>i</w:t>
      </w:r>
      <w:proofErr w:type="spellEnd"/>
      <w:r>
        <w:t xml:space="preserve">, g, t) over all crude grades ≤ </w:t>
      </w:r>
      <w:proofErr w:type="spellStart"/>
      <w:r>
        <w:t>throughput_capacity</w:t>
      </w:r>
      <w:proofErr w:type="spellEnd"/>
      <w:r>
        <w:t>(</w:t>
      </w:r>
      <w:proofErr w:type="spellStart"/>
      <w:r>
        <w:t>i</w:t>
      </w:r>
      <w:proofErr w:type="spellEnd"/>
      <w:r>
        <w:t>) for each refinery</w:t>
      </w:r>
    </w:p>
    <w:p w14:paraId="36BCFD16"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spellStart"/>
      <w:r>
        <w:t>storage_capacity</w:t>
      </w:r>
      <w:proofErr w:type="spellEnd"/>
      <w:r>
        <w:t>(</w:t>
      </w:r>
      <w:proofErr w:type="spellStart"/>
      <w:r>
        <w:t>i</w:t>
      </w:r>
      <w:proofErr w:type="spellEnd"/>
      <w:r>
        <w:t>) for each storage node</w:t>
      </w:r>
    </w:p>
    <w:p w14:paraId="36BCFD17" w14:textId="77777777" w:rsidR="008E1B31" w:rsidRDefault="00000000">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000000">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000000">
      <w:pPr>
        <w:pStyle w:val="Heading2"/>
      </w:pPr>
      <w:r>
        <w:t>8.4 The Permian fan-out: a worked example</w:t>
      </w:r>
    </w:p>
    <w:p w14:paraId="36BCFD1A" w14:textId="77777777" w:rsidR="008E1B31" w:rsidRDefault="00000000">
      <w:pPr>
        <w:spacing w:after="160" w:line="320" w:lineRule="auto"/>
        <w:jc w:val="both"/>
      </w:pPr>
      <w:r>
        <w:t xml:space="preserve">The clearest illustration of the LP's role in the framework is the Permian outflow problem. The node </w:t>
      </w:r>
      <w:proofErr w:type="spellStart"/>
      <w:r>
        <w:rPr>
          <w:rFonts w:ascii="Consolas" w:eastAsia="Consolas" w:hAnsi="Consolas" w:cs="Consolas"/>
        </w:rPr>
        <w:t>permian_tx</w:t>
      </w:r>
      <w:proofErr w:type="spellEnd"/>
      <w:r>
        <w:t xml:space="preserve"> has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are declared latent in the resolved table; their sum is constrained by the observed production at </w:t>
      </w:r>
      <w:proofErr w:type="spellStart"/>
      <w:r>
        <w:rPr>
          <w:rFonts w:ascii="Consolas" w:eastAsia="Consolas" w:hAnsi="Consolas" w:cs="Consolas"/>
        </w:rPr>
        <w:t>permian_tx</w:t>
      </w:r>
      <w:proofErr w:type="spellEnd"/>
      <w:r>
        <w:t>.</w:t>
      </w:r>
    </w:p>
    <w:p w14:paraId="36BCFD1B" w14:textId="77777777" w:rsidR="008E1B31" w:rsidRDefault="00000000">
      <w:pPr>
        <w:spacing w:after="160" w:line="320" w:lineRule="auto"/>
        <w:jc w:val="both"/>
      </w:pPr>
      <w:r>
        <w:t>Translating this directly into LP form:</w:t>
      </w:r>
    </w:p>
    <w:p w14:paraId="36BCFD1C" w14:textId="77777777" w:rsidR="008E1B31" w:rsidRDefault="00000000">
      <w:pPr>
        <w:spacing w:after="160" w:line="320" w:lineRule="auto"/>
        <w:jc w:val="both"/>
      </w:pPr>
      <w:r>
        <w:rPr>
          <w:b/>
          <w:bCs/>
        </w:rPr>
        <w:t>Decision variables:</w:t>
      </w:r>
    </w:p>
    <w:p w14:paraId="36BCFD1D" w14:textId="77777777" w:rsidR="008E1B31" w:rsidRDefault="00000000">
      <w:pPr>
        <w:pStyle w:val="ListParagraph"/>
        <w:numPr>
          <w:ilvl w:val="0"/>
          <w:numId w:val="2"/>
        </w:numPr>
        <w:spacing w:after="8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p>
    <w:p w14:paraId="36BCFD1E" w14:textId="77777777" w:rsidR="008E1B31" w:rsidRDefault="00000000">
      <w:pPr>
        <w:pStyle w:val="ListParagraph"/>
        <w:numPr>
          <w:ilvl w:val="0"/>
          <w:numId w:val="2"/>
        </w:numPr>
        <w:spacing w:after="80" w:line="320" w:lineRule="auto"/>
        <w:jc w:val="both"/>
      </w:pP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p>
    <w:p w14:paraId="36BCFD1F" w14:textId="77777777" w:rsidR="008E1B31" w:rsidRDefault="00000000">
      <w:pPr>
        <w:pStyle w:val="ListParagraph"/>
        <w:numPr>
          <w:ilvl w:val="0"/>
          <w:numId w:val="2"/>
        </w:numPr>
        <w:spacing w:after="80" w:line="320" w:lineRule="auto"/>
        <w:jc w:val="both"/>
      </w:pP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20" w14:textId="77777777" w:rsidR="008E1B31" w:rsidRDefault="00000000">
      <w:pPr>
        <w:spacing w:after="80"/>
      </w:pPr>
      <w:r>
        <w:rPr>
          <w:sz w:val="12"/>
          <w:szCs w:val="12"/>
        </w:rPr>
        <w:t xml:space="preserve"> </w:t>
      </w:r>
    </w:p>
    <w:p w14:paraId="36BCFD21" w14:textId="77777777" w:rsidR="008E1B31" w:rsidRDefault="00000000">
      <w:pPr>
        <w:spacing w:after="160" w:line="320" w:lineRule="auto"/>
        <w:jc w:val="both"/>
      </w:pPr>
      <w:r>
        <w:rPr>
          <w:b/>
          <w:bCs/>
        </w:rPr>
        <w:t xml:space="preserve">Equality constraint (mass balance at </w:t>
      </w:r>
      <w:proofErr w:type="spellStart"/>
      <w:r>
        <w:rPr>
          <w:b/>
          <w:bCs/>
        </w:rPr>
        <w:t>permian_tx</w:t>
      </w:r>
      <w:proofErr w:type="spellEnd"/>
      <w:r>
        <w:rPr>
          <w:b/>
          <w:bCs/>
        </w:rPr>
        <w:t>):</w:t>
      </w:r>
    </w:p>
    <w:p w14:paraId="36BCFD22"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4,300</w:t>
      </w:r>
    </w:p>
    <w:p w14:paraId="36BCFD23" w14:textId="77777777" w:rsidR="008E1B31" w:rsidRDefault="00000000">
      <w:pPr>
        <w:spacing w:after="160" w:line="320" w:lineRule="auto"/>
        <w:jc w:val="both"/>
      </w:pPr>
      <w:r>
        <w:t>(The right-hand side is the observed production; for the pass-through node, all other terms in the mass balance are zero.)</w:t>
      </w:r>
    </w:p>
    <w:p w14:paraId="36BCFD24" w14:textId="77777777" w:rsidR="008E1B31" w:rsidRDefault="00000000">
      <w:pPr>
        <w:spacing w:after="160" w:line="320" w:lineRule="auto"/>
        <w:jc w:val="both"/>
      </w:pPr>
      <w:r>
        <w:rPr>
          <w:b/>
          <w:bCs/>
        </w:rPr>
        <w:t>Inequality constraints (capacity at each origin terminal):</w:t>
      </w:r>
    </w:p>
    <w:p w14:paraId="36BCFD25" w14:textId="77777777" w:rsidR="008E1B31" w:rsidRDefault="00000000">
      <w:pPr>
        <w:spacing w:after="160" w:line="320" w:lineRule="auto"/>
        <w:jc w:val="both"/>
      </w:pPr>
      <w:proofErr w:type="spellStart"/>
      <w:r>
        <w:t>ϕ_M</w:t>
      </w:r>
      <w:proofErr w:type="spellEnd"/>
      <w:r>
        <w:t xml:space="preserve"> ≤ </w:t>
      </w:r>
      <w:proofErr w:type="spellStart"/>
      <w:r>
        <w:t>capacity_M</w:t>
      </w:r>
      <w:proofErr w:type="spellEnd"/>
      <w:r>
        <w:t xml:space="preserve"> (approximately 2,400 </w:t>
      </w:r>
      <w:proofErr w:type="spellStart"/>
      <w:r>
        <w:t>kbd</w:t>
      </w:r>
      <w:proofErr w:type="spellEnd"/>
      <w:r>
        <w:t xml:space="preserve"> inflow capacity at Midland) </w:t>
      </w:r>
      <w:proofErr w:type="spellStart"/>
      <w:r>
        <w:t>ϕ_W</w:t>
      </w:r>
      <w:proofErr w:type="spellEnd"/>
      <w:r>
        <w:t xml:space="preserve"> ≤ </w:t>
      </w:r>
      <w:proofErr w:type="spellStart"/>
      <w:r>
        <w:t>capacity_W</w:t>
      </w:r>
      <w:proofErr w:type="spellEnd"/>
      <w:r>
        <w:t xml:space="preserve"> (approximately 1,500 </w:t>
      </w:r>
      <w:proofErr w:type="spellStart"/>
      <w:r>
        <w:t>kbd</w:t>
      </w:r>
      <w:proofErr w:type="spellEnd"/>
      <w:r>
        <w:t xml:space="preserve"> at Wink) </w:t>
      </w:r>
      <w:proofErr w:type="spellStart"/>
      <w:r>
        <w:t>ϕ_C</w:t>
      </w:r>
      <w:proofErr w:type="spellEnd"/>
      <w:r>
        <w:t xml:space="preserve"> ≤ </w:t>
      </w:r>
      <w:proofErr w:type="spellStart"/>
      <w:r>
        <w:t>capacity_C</w:t>
      </w:r>
      <w:proofErr w:type="spellEnd"/>
      <w:r>
        <w:t xml:space="preserve"> (approximately 800 </w:t>
      </w:r>
      <w:proofErr w:type="spellStart"/>
      <w:r>
        <w:t>kbd</w:t>
      </w:r>
      <w:proofErr w:type="spellEnd"/>
      <w:r>
        <w:t xml:space="preserve"> at Crane)</w:t>
      </w:r>
    </w:p>
    <w:p w14:paraId="36BCFD26" w14:textId="77777777" w:rsidR="008E1B31" w:rsidRDefault="00000000">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000000">
      <w:pPr>
        <w:spacing w:after="160" w:line="320" w:lineRule="auto"/>
        <w:jc w:val="both"/>
      </w:pPr>
      <w:r>
        <w:rPr>
          <w:b/>
          <w:bCs/>
        </w:rPr>
        <w:lastRenderedPageBreak/>
        <w:t>The objective.</w:t>
      </w:r>
      <w:r>
        <w:t xml:space="preserve"> Without an objective function the LP is under-determined: many combinations of (</w:t>
      </w:r>
      <w:proofErr w:type="spellStart"/>
      <w:r>
        <w:t>ϕ_M</w:t>
      </w:r>
      <w:proofErr w:type="spellEnd"/>
      <w:r>
        <w:t xml:space="preserve">, </w:t>
      </w:r>
      <w:proofErr w:type="spellStart"/>
      <w:r>
        <w:t>ϕ_W</w:t>
      </w:r>
      <w:proofErr w:type="spellEnd"/>
      <w:r>
        <w:t xml:space="preserve">, </w:t>
      </w:r>
      <w:proofErr w:type="spellStart"/>
      <w:r>
        <w:t>ϕ_C</w:t>
      </w:r>
      <w:proofErr w:type="spellEnd"/>
      <w:r>
        <w:t>) satisfy the equality and capacity constraints. The modeller chooses an objective appropriate to the application. Three illustrative choices:</w:t>
      </w:r>
    </w:p>
    <w:p w14:paraId="36BCFD28" w14:textId="77777777" w:rsidR="008E1B31" w:rsidRDefault="00000000">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000000">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000000">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000000">
      <w:pPr>
        <w:spacing w:after="160" w:line="320" w:lineRule="auto"/>
        <w:jc w:val="both"/>
      </w:pPr>
      <w:r>
        <w:t xml:space="preserve">The framework is agnostic to the choice of objective. What it provides is the structure: the decision variables, the equality rows from mass balance, the inequality rows from capacity, the constants from observed and derived values. The objective is the modeller's commitment, not the </w:t>
      </w:r>
      <w:proofErr w:type="gramStart"/>
      <w:r>
        <w:t>framework's</w:t>
      </w:r>
      <w:proofErr w:type="gramEnd"/>
      <w:r>
        <w:t>.</w:t>
      </w:r>
    </w:p>
    <w:p w14:paraId="36BCFD2C" w14:textId="77777777" w:rsidR="008E1B31" w:rsidRDefault="00000000">
      <w:pPr>
        <w:pStyle w:val="Heading2"/>
      </w:pPr>
      <w:r>
        <w:t>8.5 Multi-period LP</w:t>
      </w:r>
    </w:p>
    <w:p w14:paraId="36BCFD2D" w14:textId="77777777" w:rsidR="008E1B31" w:rsidRDefault="00000000">
      <w:pPr>
        <w:spacing w:after="160" w:line="320" w:lineRule="auto"/>
        <w:jc w:val="both"/>
      </w:pPr>
      <w:r>
        <w:t xml:space="preserve">A single-period LP allocates flows for one observation date. The framework supports multi-period LP straightforwardly by repeating the per-period structure across dates and adding inter-period coupling constraints. The dominant coupling is through inventory: the stock at node </w:t>
      </w:r>
      <w:proofErr w:type="spellStart"/>
      <w:r>
        <w:t>i</w:t>
      </w:r>
      <w:proofErr w:type="spellEnd"/>
      <w:r>
        <w:t xml:space="preserve"> at the end of period t equals the stock at the end of period t−1 plus the period's net inflow minus the period's net outflow.</w:t>
      </w:r>
    </w:p>
    <w:p w14:paraId="36BCFD2E" w14:textId="77777777" w:rsidR="008E1B31" w:rsidRDefault="00000000">
      <w:pPr>
        <w:spacing w:after="160" w:line="320" w:lineRule="auto"/>
        <w:jc w:val="both"/>
      </w:pPr>
      <w:r>
        <w:t>The discrete-time inventory dynamics from Corollary A become an LP equality:</w:t>
      </w:r>
    </w:p>
    <w:p w14:paraId="36BCFD2F"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gramStart"/>
      <w:r>
        <w:t>S(</w:t>
      </w:r>
      <w:proofErr w:type="spellStart"/>
      <w:proofErr w:type="gramEnd"/>
      <w:r>
        <w:t>i</w:t>
      </w:r>
      <w:proofErr w:type="spellEnd"/>
      <w:r>
        <w:t xml:space="preserve">, g, t − 1) + </w:t>
      </w:r>
      <w:proofErr w:type="gramStart"/>
      <w:r>
        <w:t>P(</w:t>
      </w:r>
      <w:proofErr w:type="spellStart"/>
      <w:proofErr w:type="gramEnd"/>
      <w:r>
        <w:t>i</w:t>
      </w:r>
      <w:proofErr w:type="spellEnd"/>
      <w:r>
        <w:t xml:space="preserve">, g, t) + </w:t>
      </w:r>
      <w:proofErr w:type="spellStart"/>
      <w:r>
        <w:t>Σ_j</w:t>
      </w:r>
      <w:proofErr w:type="spellEnd"/>
      <w:r>
        <w:t xml:space="preserve"> </w:t>
      </w:r>
      <w:proofErr w:type="gramStart"/>
      <w:r>
        <w:t>ϕ(</w:t>
      </w:r>
      <w:proofErr w:type="gramEnd"/>
      <w:r>
        <w:t xml:space="preserve">j, </w:t>
      </w:r>
      <w:proofErr w:type="spellStart"/>
      <w:r>
        <w:t>i</w:t>
      </w:r>
      <w:proofErr w:type="spellEnd"/>
      <w:r>
        <w:t>, g, t − τ(</w:t>
      </w:r>
      <w:proofErr w:type="spellStart"/>
      <w:proofErr w:type="gramStart"/>
      <w:r>
        <w:t>j,i</w:t>
      </w:r>
      <w:proofErr w:type="spellEnd"/>
      <w:proofErr w:type="gramEnd"/>
      <w:r>
        <w:t xml:space="preserve">)) − </w:t>
      </w:r>
      <w:proofErr w:type="gramStart"/>
      <w:r>
        <w:t>C(</w:t>
      </w:r>
      <w:proofErr w:type="spellStart"/>
      <w:proofErr w:type="gramEnd"/>
      <w:r>
        <w:t>i</w:t>
      </w:r>
      <w:proofErr w:type="spellEnd"/>
      <w:r>
        <w:t xml:space="preserve">, g, t) − </w:t>
      </w:r>
      <w:proofErr w:type="spellStart"/>
      <w:r>
        <w:t>Σ_k</w:t>
      </w:r>
      <w:proofErr w:type="spellEnd"/>
      <w:r>
        <w:t xml:space="preserve"> </w:t>
      </w:r>
      <w:proofErr w:type="gramStart"/>
      <w:r>
        <w:t>ϕ(</w:t>
      </w:r>
      <w:proofErr w:type="spellStart"/>
      <w:proofErr w:type="gramEnd"/>
      <w:r>
        <w:t>i</w:t>
      </w:r>
      <w:proofErr w:type="spellEnd"/>
      <w:r>
        <w:t xml:space="preserve">, k, g, t) + </w:t>
      </w:r>
      <w:proofErr w:type="gramStart"/>
      <w:r>
        <w:t>B(</w:t>
      </w:r>
      <w:proofErr w:type="spellStart"/>
      <w:proofErr w:type="gramEnd"/>
      <w:r>
        <w:t>i</w:t>
      </w:r>
      <w:proofErr w:type="spellEnd"/>
      <w:r>
        <w:t>, g, t)</w:t>
      </w:r>
    </w:p>
    <w:p w14:paraId="36BCFD30" w14:textId="77777777" w:rsidR="008E1B31" w:rsidRDefault="00000000">
      <w:pPr>
        <w:spacing w:after="160" w:line="320" w:lineRule="auto"/>
        <w:jc w:val="both"/>
      </w:pPr>
      <w:r>
        <w:t xml:space="preserve">The transit-time terms </w:t>
      </w:r>
      <w:proofErr w:type="gramStart"/>
      <w:r>
        <w:t>τ(</w:t>
      </w:r>
      <w:proofErr w:type="gramEnd"/>
      <w:r>
        <w:t xml:space="preserve">j, </w:t>
      </w:r>
      <w:proofErr w:type="spellStart"/>
      <w:r>
        <w:t>i</w:t>
      </w:r>
      <w:proofErr w:type="spellEnd"/>
      <w:r>
        <w:t xml:space="preserve">) make the LP dynamic: a flow that leaves node j at date t arrives at node </w:t>
      </w:r>
      <w:proofErr w:type="spellStart"/>
      <w:r>
        <w:t>i</w:t>
      </w:r>
      <w:proofErr w:type="spellEnd"/>
      <w:r>
        <w:t xml:space="preserve">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000000">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000000">
      <w:pPr>
        <w:pStyle w:val="Heading2"/>
      </w:pPr>
      <w:r>
        <w:t>8.6 What the framework does for the LP modeller</w:t>
      </w:r>
    </w:p>
    <w:p w14:paraId="36BCFD33" w14:textId="77777777" w:rsidR="008E1B31" w:rsidRDefault="00000000">
      <w:pPr>
        <w:spacing w:after="160" w:line="320" w:lineRule="auto"/>
        <w:jc w:val="both"/>
      </w:pPr>
      <w:r>
        <w:t xml:space="preserve">The LP exporter in the framework is a thin layer: it reads the resolved table and the structural views, formats the data in the input format of a standard LP solver (CPLEX, </w:t>
      </w:r>
      <w:proofErr w:type="spellStart"/>
      <w:r>
        <w:t>Gurobi</w:t>
      </w:r>
      <w:proofErr w:type="spellEnd"/>
      <w:r>
        <w:t xml:space="preserve">, or </w:t>
      </w:r>
      <w:proofErr w:type="spellStart"/>
      <w:r>
        <w:t>HiGHS</w:t>
      </w:r>
      <w:proofErr w:type="spellEnd"/>
      <w:r>
        <w:t>), and hands off. Most of the work the LP exporter does not have to do is the work the framework has already done. Specifically, the modeller does not need to:</w:t>
      </w:r>
    </w:p>
    <w:p w14:paraId="36BCFD34" w14:textId="77777777" w:rsidR="008E1B31" w:rsidRDefault="00000000">
      <w:pPr>
        <w:spacing w:after="160" w:line="320" w:lineRule="auto"/>
        <w:jc w:val="both"/>
      </w:pPr>
      <w:r>
        <w:rPr>
          <w:b/>
          <w:bCs/>
        </w:rPr>
        <w:t>Reconstruct the topology.</w:t>
      </w:r>
      <w:r>
        <w:t xml:space="preserve"> The directed flow edges are in </w:t>
      </w:r>
      <w:proofErr w:type="spellStart"/>
      <w:r>
        <w:rPr>
          <w:rFonts w:ascii="Consolas" w:eastAsia="Consolas" w:hAnsi="Consolas" w:cs="Consolas"/>
        </w:rPr>
        <w:t>v_flow_edges</w:t>
      </w:r>
      <w:proofErr w:type="spellEnd"/>
      <w:r>
        <w:t xml:space="preserve"> and have been there since the asset graph was loaded. No edge construction code is needed in the LP exporter.</w:t>
      </w:r>
    </w:p>
    <w:p w14:paraId="36BCFD35" w14:textId="77777777" w:rsidR="008E1B31" w:rsidRDefault="00000000">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000000">
      <w:pPr>
        <w:spacing w:after="160" w:line="320" w:lineRule="auto"/>
        <w:jc w:val="both"/>
      </w:pPr>
      <w:r>
        <w:rPr>
          <w:b/>
          <w:bCs/>
        </w:rPr>
        <w:t xml:space="preserve">Detect </w:t>
      </w:r>
      <w:proofErr w:type="gramStart"/>
      <w:r>
        <w:rPr>
          <w:b/>
          <w:bCs/>
        </w:rPr>
        <w:t>double-counting</w:t>
      </w:r>
      <w:proofErr w:type="gramEnd"/>
      <w:r>
        <w:rPr>
          <w:b/>
          <w:bCs/>
        </w:rPr>
        <w:t>.</w:t>
      </w:r>
      <w:r>
        <w:t xml:space="preserve"> The framework's single-attribution invariants (Section 7.1) guarantee that no value is double-counted. The exporter does not need to run de-duplication checks.</w:t>
      </w:r>
    </w:p>
    <w:p w14:paraId="36BCFD37" w14:textId="77777777" w:rsidR="008E1B31" w:rsidRDefault="00000000">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000000">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000000">
      <w:pPr>
        <w:spacing w:after="160" w:line="320" w:lineRule="auto"/>
        <w:jc w:val="both"/>
      </w:pPr>
      <w:r>
        <w:t xml:space="preserve">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w:t>
      </w:r>
      <w:proofErr w:type="gramStart"/>
      <w:r>
        <w:t>all of</w:t>
      </w:r>
      <w:proofErr w:type="gramEnd"/>
      <w:r>
        <w:t xml:space="preserve"> this work upstream of the LP, so that the LP itself sees a clean, internally consistent input.</w:t>
      </w:r>
    </w:p>
    <w:p w14:paraId="36BCFD3A" w14:textId="77777777" w:rsidR="008E1B31" w:rsidRDefault="00000000">
      <w:pPr>
        <w:pStyle w:val="Heading2"/>
      </w:pPr>
      <w:r>
        <w:t>8.7 What the framework leaves to the LP modeller</w:t>
      </w:r>
    </w:p>
    <w:p w14:paraId="36BCFD3B" w14:textId="77777777" w:rsidR="008E1B31" w:rsidRDefault="00000000">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000000">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000000">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proofErr w:type="spellStart"/>
      <w:r>
        <w:rPr>
          <w:rFonts w:ascii="Consolas" w:eastAsia="Consolas" w:hAnsi="Consolas" w:cs="Consolas"/>
        </w:rPr>
        <w:t>scenario_id</w:t>
      </w:r>
      <w:proofErr w:type="spellEnd"/>
      <w:r>
        <w:t xml:space="preserve"> mechanism could be repurposed for this, but the necessary additions (scenario weights, anticipated correlation structures) are not present today.</w:t>
      </w:r>
    </w:p>
    <w:p w14:paraId="36BCFD3E" w14:textId="77777777" w:rsidR="008E1B31" w:rsidRDefault="00000000">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000000">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000000">
      <w:pPr>
        <w:pStyle w:val="Heading2"/>
      </w:pPr>
      <w:r>
        <w:t>8.8 Why the LP is a faithful test of the framework</w:t>
      </w:r>
    </w:p>
    <w:p w14:paraId="36BCFD41" w14:textId="77777777" w:rsidR="008E1B31" w:rsidRDefault="00000000">
      <w:pPr>
        <w:spacing w:after="160" w:line="320" w:lineRule="auto"/>
        <w:jc w:val="both"/>
      </w:pPr>
      <w:r>
        <w:t xml:space="preserve">A practical question is whether building an LP on top of the framework </w:t>
      </w:r>
      <w:proofErr w:type="gramStart"/>
      <w:r>
        <w:t>actually validates</w:t>
      </w:r>
      <w:proofErr w:type="gramEnd"/>
      <w:r>
        <w:t xml:space="preserve"> the framework's design, or whether the framework's properties are taken on faith. The LP is a faithful test for three reasons.</w:t>
      </w:r>
    </w:p>
    <w:p w14:paraId="36BCFD42" w14:textId="77777777" w:rsidR="008E1B31" w:rsidRDefault="00000000">
      <w:pPr>
        <w:spacing w:after="160" w:line="320" w:lineRule="auto"/>
        <w:jc w:val="both"/>
      </w:pPr>
      <w:r>
        <w:t>First, the LP exercises every consistency property the framework claims. If single attribution is violated, the LP will see a value double-</w:t>
      </w:r>
      <w:proofErr w:type="gramStart"/>
      <w:r>
        <w:t>counted</w:t>
      </w:r>
      <w:proofErr w:type="gramEnd"/>
      <w:r>
        <w:t xml:space="preserve">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000000">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000000">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000000">
      <w:pPr>
        <w:pStyle w:val="Heading2"/>
      </w:pPr>
      <w:r>
        <w:lastRenderedPageBreak/>
        <w:t>8.9 Summary</w:t>
      </w:r>
    </w:p>
    <w:p w14:paraId="36BCFD46" w14:textId="77777777" w:rsidR="008E1B31" w:rsidRDefault="00000000">
      <w:pPr>
        <w:spacing w:after="160" w:line="320" w:lineRule="auto"/>
        <w:jc w:val="both"/>
      </w:pPr>
      <w:r>
        <w:t xml:space="preserve">The linear programme described in this chapter is a faithful and minimal consumer of the framework's output. It takes the resolved table, the structural views, and the static capacity attributes; it produces decision variables for the </w:t>
      </w:r>
      <w:proofErr w:type="spellStart"/>
      <w:r>
        <w:t>latents</w:t>
      </w:r>
      <w:proofErr w:type="spellEnd"/>
      <w:r>
        <w:t xml:space="preserve"> and constraint rows for the mass balance and capacity limits; and it hands off to a standard solver. The modeller supplies the objective and the time horizon; the framework supplies everything else.</w:t>
      </w:r>
    </w:p>
    <w:p w14:paraId="36BCFD47" w14:textId="77777777" w:rsidR="008E1B31" w:rsidRDefault="00000000">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the framework is designed to support — and concludes that it is ready for that work, even though the work itself is left for future research.</w:t>
      </w:r>
    </w:p>
    <w:p w14:paraId="36BCFD48" w14:textId="77777777" w:rsidR="008E1B31" w:rsidRDefault="00000000">
      <w:pPr>
        <w:pStyle w:val="Heading1"/>
        <w:pageBreakBefore/>
      </w:pPr>
      <w:r>
        <w:lastRenderedPageBreak/>
        <w:t>9. Case Study: The Starter Scenario End-to-End</w:t>
      </w:r>
    </w:p>
    <w:p w14:paraId="36BCFD49" w14:textId="77777777" w:rsidR="008E1B31" w:rsidRDefault="00000000">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w:t>
      </w:r>
      <w:proofErr w:type="gramStart"/>
      <w:r>
        <w:t>solves</w:t>
      </w:r>
      <w:proofErr w:type="gramEnd"/>
      <w:r>
        <w:t xml:space="preserve"> quickly to a meaningful solution.</w:t>
      </w:r>
    </w:p>
    <w:p w14:paraId="36BCFD4A" w14:textId="77777777" w:rsidR="008E1B31" w:rsidRDefault="00000000">
      <w:pPr>
        <w:spacing w:after="160" w:line="320" w:lineRule="auto"/>
        <w:jc w:val="both"/>
      </w:pPr>
      <w:r>
        <w:t xml:space="preserve">The intent of the chapter is to give the reader confidence that the framework </w:t>
      </w:r>
      <w:proofErr w:type="gramStart"/>
      <w:r>
        <w:t>actually works</w:t>
      </w:r>
      <w:proofErr w:type="gramEnd"/>
      <w:r>
        <w:t>, on real data, in the form described. Numerical claims that have appeared in earlier chapters are re-grounded here against the live state of the system at the time of writing.</w:t>
      </w:r>
    </w:p>
    <w:p w14:paraId="36BCFD4B" w14:textId="77777777" w:rsidR="008E1B31" w:rsidRDefault="00000000">
      <w:pPr>
        <w:pStyle w:val="Heading2"/>
      </w:pPr>
      <w:r>
        <w:t>9.1 A single observation date: June 2024</w:t>
      </w:r>
    </w:p>
    <w:p w14:paraId="36BCFD4C" w14:textId="77777777" w:rsidR="008E1B31" w:rsidRDefault="00000000">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000000">
      <w:pPr>
        <w:pStyle w:val="Heading3"/>
      </w:pPr>
      <w:r>
        <w:t>9.1.1 The input data</w:t>
      </w:r>
    </w:p>
    <w:p w14:paraId="36BCFD4E" w14:textId="77777777" w:rsidR="008E1B31" w:rsidRDefault="00000000">
      <w:pPr>
        <w:spacing w:after="160" w:line="320" w:lineRule="auto"/>
        <w:jc w:val="both"/>
      </w:pPr>
      <w:r>
        <w:t>At the start of the resolver pass, the database contains:</w:t>
      </w:r>
    </w:p>
    <w:p w14:paraId="36BCFD4F" w14:textId="77777777" w:rsidR="008E1B31" w:rsidRDefault="00000000">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000000">
      <w:pPr>
        <w:pStyle w:val="ListParagraph"/>
        <w:numPr>
          <w:ilvl w:val="0"/>
          <w:numId w:val="2"/>
        </w:numPr>
        <w:spacing w:after="80" w:line="320" w:lineRule="auto"/>
        <w:jc w:val="both"/>
      </w:pPr>
      <w:r>
        <w:t>80 time-series-bound variables, each pointing to an EIA series</w:t>
      </w:r>
    </w:p>
    <w:p w14:paraId="36BCFD51" w14:textId="77777777" w:rsidR="008E1B31" w:rsidRDefault="00000000">
      <w:pPr>
        <w:pStyle w:val="ListParagraph"/>
        <w:numPr>
          <w:ilvl w:val="0"/>
          <w:numId w:val="2"/>
        </w:numPr>
        <w:spacing w:after="80" w:line="320" w:lineRule="auto"/>
        <w:jc w:val="both"/>
      </w:pPr>
      <w:r>
        <w:t xml:space="preserve">The </w:t>
      </w:r>
      <w:proofErr w:type="gramStart"/>
      <w:r>
        <w:t>80 time</w:t>
      </w:r>
      <w:proofErr w:type="gramEnd"/>
      <w:r>
        <w:t xml:space="preserve"> series each carry a value for June 2024</w:t>
      </w:r>
    </w:p>
    <w:p w14:paraId="36BCFD52" w14:textId="77777777" w:rsidR="008E1B31" w:rsidRDefault="00000000">
      <w:pPr>
        <w:pStyle w:val="ListParagraph"/>
        <w:numPr>
          <w:ilvl w:val="0"/>
          <w:numId w:val="2"/>
        </w:numPr>
        <w:spacing w:after="80" w:line="320" w:lineRule="auto"/>
        <w:jc w:val="both"/>
      </w:pPr>
      <w:r>
        <w:t>The remaining 1,750 variables resolve through formulas</w:t>
      </w:r>
    </w:p>
    <w:p w14:paraId="36BCFD53" w14:textId="77777777" w:rsidR="008E1B31" w:rsidRDefault="00000000">
      <w:pPr>
        <w:spacing w:after="80"/>
      </w:pPr>
      <w:r>
        <w:rPr>
          <w:sz w:val="12"/>
          <w:szCs w:val="12"/>
        </w:rPr>
        <w:t xml:space="preserve"> </w:t>
      </w:r>
    </w:p>
    <w:p w14:paraId="36BCFD54" w14:textId="77777777" w:rsidR="008E1B31" w:rsidRDefault="00000000">
      <w:pPr>
        <w:spacing w:after="160" w:line="320" w:lineRule="auto"/>
        <w:jc w:val="both"/>
      </w:pPr>
      <w:r>
        <w:t>The 80 observed values for June 2024 cover, among others:</w:t>
      </w:r>
    </w:p>
    <w:p w14:paraId="36BCFD55" w14:textId="77777777" w:rsidR="008E1B31" w:rsidRDefault="00000000">
      <w:pPr>
        <w:pStyle w:val="ListParagraph"/>
        <w:numPr>
          <w:ilvl w:val="0"/>
          <w:numId w:val="2"/>
        </w:numPr>
        <w:spacing w:after="80" w:line="320" w:lineRule="auto"/>
        <w:jc w:val="both"/>
      </w:pPr>
      <w:r>
        <w:t xml:space="preserve">U.S. total production from MCRFPUS2 (12,950 </w:t>
      </w:r>
      <w:proofErr w:type="spellStart"/>
      <w:r>
        <w:t>kbd</w:t>
      </w:r>
      <w:proofErr w:type="spellEnd"/>
      <w:r>
        <w:t>)</w:t>
      </w:r>
    </w:p>
    <w:p w14:paraId="36BCFD56" w14:textId="77777777" w:rsidR="008E1B31" w:rsidRDefault="00000000">
      <w:pPr>
        <w:pStyle w:val="ListParagraph"/>
        <w:numPr>
          <w:ilvl w:val="0"/>
          <w:numId w:val="2"/>
        </w:numPr>
        <w:spacing w:after="80" w:line="320" w:lineRule="auto"/>
        <w:jc w:val="both"/>
      </w:pPr>
      <w:r>
        <w:t xml:space="preserve">PADD 3 production from MCRFPP3 (8,103 </w:t>
      </w:r>
      <w:proofErr w:type="spellStart"/>
      <w:r>
        <w:t>kbd</w:t>
      </w:r>
      <w:proofErr w:type="spellEnd"/>
      <w:r>
        <w:t>)</w:t>
      </w:r>
    </w:p>
    <w:p w14:paraId="36BCFD57" w14:textId="77777777" w:rsidR="008E1B31" w:rsidRDefault="00000000">
      <w:pPr>
        <w:pStyle w:val="ListParagraph"/>
        <w:numPr>
          <w:ilvl w:val="0"/>
          <w:numId w:val="2"/>
        </w:numPr>
        <w:spacing w:after="80" w:line="320" w:lineRule="auto"/>
        <w:jc w:val="both"/>
      </w:pPr>
      <w:r>
        <w:t xml:space="preserve">Permian-TX production from a Texas state series (5,402 </w:t>
      </w:r>
      <w:proofErr w:type="spellStart"/>
      <w:r>
        <w:t>kbd</w:t>
      </w:r>
      <w:proofErr w:type="spellEnd"/>
      <w:r>
        <w:t>)</w:t>
      </w:r>
    </w:p>
    <w:p w14:paraId="36BCFD58" w14:textId="77777777" w:rsidR="008E1B31" w:rsidRDefault="00000000">
      <w:pPr>
        <w:pStyle w:val="ListParagraph"/>
        <w:numPr>
          <w:ilvl w:val="0"/>
          <w:numId w:val="2"/>
        </w:numPr>
        <w:spacing w:after="80" w:line="320" w:lineRule="auto"/>
        <w:jc w:val="both"/>
      </w:pPr>
      <w:r>
        <w:t xml:space="preserve">USA stocks from MCRSTUS1 (430,500 </w:t>
      </w:r>
      <w:proofErr w:type="spellStart"/>
      <w:r>
        <w:t>kbbl</w:t>
      </w:r>
      <w:proofErr w:type="spellEnd"/>
      <w:r>
        <w:t>, in absolute terms; ΔS computed from successive months)</w:t>
      </w:r>
    </w:p>
    <w:p w14:paraId="36BCFD59" w14:textId="77777777" w:rsidR="008E1B31" w:rsidRDefault="00000000">
      <w:pPr>
        <w:pStyle w:val="ListParagraph"/>
        <w:numPr>
          <w:ilvl w:val="0"/>
          <w:numId w:val="2"/>
        </w:numPr>
        <w:spacing w:after="80" w:line="320" w:lineRule="auto"/>
        <w:jc w:val="both"/>
      </w:pPr>
      <w:r>
        <w:t xml:space="preserve">Net crude imports from MCRIMUS2 (6,557 </w:t>
      </w:r>
      <w:proofErr w:type="spellStart"/>
      <w:r>
        <w:t>kbd</w:t>
      </w:r>
      <w:proofErr w:type="spellEnd"/>
      <w:r>
        <w:t>)</w:t>
      </w:r>
    </w:p>
    <w:p w14:paraId="36BCFD5A" w14:textId="77777777" w:rsidR="008E1B31" w:rsidRDefault="00000000">
      <w:pPr>
        <w:pStyle w:val="ListParagraph"/>
        <w:numPr>
          <w:ilvl w:val="0"/>
          <w:numId w:val="2"/>
        </w:numPr>
        <w:spacing w:after="80" w:line="320" w:lineRule="auto"/>
        <w:jc w:val="both"/>
      </w:pPr>
      <w:r>
        <w:t xml:space="preserve">Net crude exports from MCREEXUS2 (3,752 </w:t>
      </w:r>
      <w:proofErr w:type="spellStart"/>
      <w:r>
        <w:t>kbd</w:t>
      </w:r>
      <w:proofErr w:type="spellEnd"/>
      <w:r>
        <w:t>)</w:t>
      </w:r>
    </w:p>
    <w:p w14:paraId="36BCFD5B" w14:textId="77777777" w:rsidR="008E1B31" w:rsidRDefault="00000000">
      <w:pPr>
        <w:pStyle w:val="ListParagraph"/>
        <w:numPr>
          <w:ilvl w:val="0"/>
          <w:numId w:val="2"/>
        </w:numPr>
        <w:spacing w:after="80" w:line="320" w:lineRule="auto"/>
        <w:jc w:val="both"/>
      </w:pPr>
      <w:r>
        <w:t xml:space="preserve">The USA-level balancing item from MCRUA (a few tens of </w:t>
      </w:r>
      <w:proofErr w:type="spellStart"/>
      <w:r>
        <w:t>kbd</w:t>
      </w:r>
      <w:proofErr w:type="spellEnd"/>
      <w:r>
        <w:t xml:space="preserve"> in absolute value)</w:t>
      </w:r>
    </w:p>
    <w:p w14:paraId="36BCFD5C" w14:textId="77777777" w:rsidR="008E1B31" w:rsidRDefault="00000000">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000000">
      <w:pPr>
        <w:spacing w:after="80"/>
      </w:pPr>
      <w:r>
        <w:rPr>
          <w:sz w:val="12"/>
          <w:szCs w:val="12"/>
        </w:rPr>
        <w:t xml:space="preserve"> </w:t>
      </w:r>
    </w:p>
    <w:p w14:paraId="36BCFD5E" w14:textId="77777777" w:rsidR="008E1B31" w:rsidRDefault="00000000">
      <w:pPr>
        <w:spacing w:after="160" w:line="320" w:lineRule="auto"/>
        <w:jc w:val="both"/>
      </w:pPr>
      <w:r>
        <w:lastRenderedPageBreak/>
        <w:t xml:space="preserve">The remaining 1,750 variables fall into the categories the resolver's dispatch rules handle: structural zeros for pass-through nodes, </w:t>
      </w:r>
      <w:proofErr w:type="spellStart"/>
      <w:r>
        <w:t>latents</w:t>
      </w:r>
      <w:proofErr w:type="spellEnd"/>
      <w:r>
        <w:t xml:space="preserve"> for unobserved junction edges, aliases for derived aggregates, sums for partition rollups, arithmetic combinations for residual definitions.</w:t>
      </w:r>
    </w:p>
    <w:p w14:paraId="36BCFD5F" w14:textId="77777777" w:rsidR="008E1B31" w:rsidRDefault="00000000">
      <w:pPr>
        <w:pStyle w:val="Heading3"/>
      </w:pPr>
      <w:r>
        <w:t>9.1.2 The dispatch</w:t>
      </w:r>
    </w:p>
    <w:p w14:paraId="36BCFD60" w14:textId="77777777" w:rsidR="008E1B31" w:rsidRDefault="00000000">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p w14:paraId="36BCFD61" w14:textId="77777777" w:rsidR="008E1B31" w:rsidRDefault="00000000">
      <w:pPr>
        <w:spacing w:after="160" w:line="320" w:lineRule="auto"/>
        <w:jc w:val="both"/>
      </w:pPr>
      <w:r>
        <w:t>| Rule | Count for the full scenario | Rows for June 2024 specifically |</w:t>
      </w:r>
    </w:p>
    <w:p w14:paraId="36BCFD62" w14:textId="77777777" w:rsidR="008E1B31" w:rsidRDefault="00000000">
      <w:pPr>
        <w:spacing w:after="160" w:line="320" w:lineRule="auto"/>
        <w:jc w:val="both"/>
      </w:pPr>
      <w:r>
        <w:t>|—|—|—|</w:t>
      </w:r>
    </w:p>
    <w:p w14:paraId="36BCFD63" w14:textId="77777777" w:rsidR="008E1B31" w:rsidRDefault="00000000">
      <w:pPr>
        <w:spacing w:after="160" w:line="320" w:lineRule="auto"/>
        <w:jc w:val="both"/>
      </w:pPr>
      <w:r>
        <w:t>| observed | 80 | 80 |</w:t>
      </w:r>
    </w:p>
    <w:p w14:paraId="36BCFD64" w14:textId="77777777" w:rsidR="008E1B31" w:rsidRDefault="00000000">
      <w:pPr>
        <w:spacing w:after="160" w:line="320" w:lineRule="auto"/>
        <w:jc w:val="both"/>
      </w:pPr>
      <w:r>
        <w:t>| zero | 628 | 628 |</w:t>
      </w:r>
    </w:p>
    <w:p w14:paraId="36BCFD65" w14:textId="77777777" w:rsidR="008E1B31" w:rsidRDefault="00000000">
      <w:pPr>
        <w:spacing w:after="160" w:line="320" w:lineRule="auto"/>
        <w:jc w:val="both"/>
      </w:pPr>
      <w:r>
        <w:t>| latent | 652 | 652 |</w:t>
      </w:r>
    </w:p>
    <w:p w14:paraId="36BCFD66" w14:textId="77777777" w:rsidR="008E1B31" w:rsidRDefault="00000000">
      <w:pPr>
        <w:spacing w:after="160" w:line="320" w:lineRule="auto"/>
        <w:jc w:val="both"/>
      </w:pPr>
      <w:r>
        <w:t>| alias | 442 | 442 |</w:t>
      </w:r>
    </w:p>
    <w:p w14:paraId="36BCFD67" w14:textId="77777777" w:rsidR="008E1B31" w:rsidRDefault="00000000">
      <w:pPr>
        <w:spacing w:after="160" w:line="320" w:lineRule="auto"/>
        <w:jc w:val="both"/>
      </w:pPr>
      <w:r>
        <w:t>| reverse-mirror | 15 | 15 |</w:t>
      </w:r>
    </w:p>
    <w:p w14:paraId="36BCFD68" w14:textId="77777777" w:rsidR="008E1B31" w:rsidRDefault="00000000">
      <w:pPr>
        <w:spacing w:after="160" w:line="320" w:lineRule="auto"/>
        <w:jc w:val="both"/>
      </w:pPr>
      <w:r>
        <w:t>| arithmetic | 8 | 8 |</w:t>
      </w:r>
    </w:p>
    <w:p w14:paraId="36BCFD69" w14:textId="77777777" w:rsidR="008E1B31" w:rsidRDefault="00000000">
      <w:pPr>
        <w:spacing w:after="160" w:line="320" w:lineRule="auto"/>
        <w:jc w:val="both"/>
      </w:pPr>
      <w:r>
        <w:t>| sum | 5 | 5 |</w:t>
      </w:r>
    </w:p>
    <w:p w14:paraId="36BCFD6A" w14:textId="77777777" w:rsidR="008E1B31" w:rsidRDefault="00000000">
      <w:pPr>
        <w:spacing w:after="160" w:line="320" w:lineRule="auto"/>
        <w:jc w:val="both"/>
      </w:pPr>
      <w:r>
        <w:t>| closure | 0 | 0 |</w:t>
      </w:r>
    </w:p>
    <w:p w14:paraId="36BCFD6B" w14:textId="77777777" w:rsidR="008E1B31" w:rsidRDefault="00000000">
      <w:pPr>
        <w:spacing w:after="160" w:line="320" w:lineRule="auto"/>
        <w:jc w:val="both"/>
      </w:pPr>
      <w:r>
        <w:t>| unresolved | 0 | 0 |</w:t>
      </w:r>
    </w:p>
    <w:p w14:paraId="36BCFD6C" w14:textId="77777777" w:rsidR="008E1B31" w:rsidRDefault="00000000">
      <w:pPr>
        <w:spacing w:after="160" w:line="320" w:lineRule="auto"/>
        <w:jc w:val="both"/>
      </w:pPr>
      <w:r>
        <w:t>The June 2024 single-date counts equal the per-scenario counts because the dispatch is per-variable, not per</w:t>
      </w:r>
      <w:proofErr w:type="gramStart"/>
      <w:r>
        <w:t>-(</w:t>
      </w:r>
      <w:proofErr w:type="gramEnd"/>
      <w:r>
        <w:t>variable, date): each variable's resolution rule is the same across all dates in the scenario. The values produced differ from date to date, but the rules that produce them do not.</w:t>
      </w:r>
    </w:p>
    <w:p w14:paraId="36BCFD6D" w14:textId="77777777" w:rsidR="008E1B31" w:rsidRDefault="00000000">
      <w:pPr>
        <w:pStyle w:val="Heading3"/>
      </w:pPr>
      <w:r>
        <w:t>9.1.3 The resolved table for June 2024</w:t>
      </w:r>
    </w:p>
    <w:p w14:paraId="36BCFD6E" w14:textId="77777777" w:rsidR="008E1B31" w:rsidRDefault="00000000">
      <w:pPr>
        <w:spacing w:after="160" w:line="320" w:lineRule="auto"/>
        <w:jc w:val="both"/>
      </w:pPr>
      <w:r>
        <w:t xml:space="preserve">After the resolver completes, </w:t>
      </w:r>
      <w:proofErr w:type="spellStart"/>
      <w:r>
        <w:rPr>
          <w:rFonts w:ascii="Consolas" w:eastAsia="Consolas" w:hAnsi="Consolas" w:cs="Consolas"/>
        </w:rPr>
        <w:t>scenario_resolved_values</w:t>
      </w:r>
      <w:proofErr w:type="spellEnd"/>
      <w:r>
        <w:t xml:space="preserve"> contains 1,830 rows for June 2024 (one per variable). A representative slice:</w:t>
      </w:r>
    </w:p>
    <w:p w14:paraId="36BCFD6F" w14:textId="77777777" w:rsidR="008E1B31" w:rsidRDefault="00000000">
      <w:pPr>
        <w:spacing w:after="160" w:line="320" w:lineRule="auto"/>
        <w:jc w:val="both"/>
      </w:pPr>
      <w:r>
        <w:t xml:space="preserve">| </w:t>
      </w:r>
      <w:proofErr w:type="spellStart"/>
      <w:r>
        <w:t>variable_id</w:t>
      </w:r>
      <w:proofErr w:type="spellEnd"/>
      <w:r>
        <w:t xml:space="preserve"> | value | source | </w:t>
      </w:r>
      <w:proofErr w:type="spellStart"/>
      <w:r>
        <w:t>formula_used</w:t>
      </w:r>
      <w:proofErr w:type="spellEnd"/>
      <w:r>
        <w:t xml:space="preserve"> |</w:t>
      </w:r>
    </w:p>
    <w:p w14:paraId="36BCFD70" w14:textId="77777777" w:rsidR="008E1B31" w:rsidRDefault="00000000">
      <w:pPr>
        <w:spacing w:after="160" w:line="320" w:lineRule="auto"/>
        <w:jc w:val="both"/>
      </w:pPr>
      <w:r>
        <w:t>|—|—|—|—|</w:t>
      </w:r>
    </w:p>
    <w:p w14:paraId="36BCFD71" w14:textId="77777777" w:rsidR="008E1B31" w:rsidRDefault="00000000">
      <w:pPr>
        <w:spacing w:after="160" w:line="320" w:lineRule="auto"/>
        <w:jc w:val="both"/>
      </w:pPr>
      <w:r>
        <w:t>| production__crude__</w:t>
      </w:r>
      <w:proofErr w:type="spellStart"/>
      <w:r>
        <w:t>permian_tx</w:t>
      </w:r>
      <w:proofErr w:type="spellEnd"/>
      <w:r>
        <w:t xml:space="preserve"> | 5,402.0 | observed | MCRFPUSP3TX (Texas state series, Permian portion) |</w:t>
      </w:r>
    </w:p>
    <w:p w14:paraId="36BCFD72" w14:textId="77777777" w:rsidR="008E1B31" w:rsidRDefault="00000000">
      <w:pPr>
        <w:spacing w:after="160" w:line="320" w:lineRule="auto"/>
        <w:jc w:val="both"/>
      </w:pPr>
      <w:r>
        <w:t>| production__crude__</w:t>
      </w:r>
      <w:proofErr w:type="spellStart"/>
      <w:r>
        <w:t>permian_tx_gathering</w:t>
      </w:r>
      <w:proofErr w:type="spellEnd"/>
      <w:r>
        <w:t xml:space="preserve"> | 0 | zero | gathering-node default |</w:t>
      </w:r>
    </w:p>
    <w:p w14:paraId="36BCFD73" w14:textId="77777777" w:rsidR="008E1B31" w:rsidRDefault="00000000">
      <w:pPr>
        <w:spacing w:after="160" w:line="320" w:lineRule="auto"/>
        <w:jc w:val="both"/>
      </w:pPr>
      <w:r>
        <w:t>| outflow__crude__permian_</w:t>
      </w:r>
      <w:proofErr w:type="spellStart"/>
      <w:r>
        <w:t>tx</w:t>
      </w:r>
      <w:proofErr w:type="spellEnd"/>
      <w:r>
        <w:t>__</w:t>
      </w:r>
      <w:proofErr w:type="spellStart"/>
      <w:r>
        <w:t>midland_terminal</w:t>
      </w:r>
      <w:proofErr w:type="spellEnd"/>
      <w:r>
        <w:t xml:space="preserve"> | NULL | latent | </w:t>
      </w:r>
      <w:proofErr w:type="gramStart"/>
      <w:r>
        <w:t>latent(</w:t>
      </w:r>
      <w:proofErr w:type="gramEnd"/>
      <w:r>
        <w:t>) |</w:t>
      </w:r>
    </w:p>
    <w:p w14:paraId="36BCFD74" w14:textId="77777777" w:rsidR="008E1B31" w:rsidRDefault="00000000">
      <w:pPr>
        <w:spacing w:after="160" w:line="320" w:lineRule="auto"/>
        <w:jc w:val="both"/>
      </w:pPr>
      <w:r>
        <w:t>| outflow__crude__permian_</w:t>
      </w:r>
      <w:proofErr w:type="spellStart"/>
      <w:r>
        <w:t>tx</w:t>
      </w:r>
      <w:proofErr w:type="spellEnd"/>
      <w:r>
        <w:t>__</w:t>
      </w:r>
      <w:proofErr w:type="spellStart"/>
      <w:r>
        <w:t>wink_terminal</w:t>
      </w:r>
      <w:proofErr w:type="spellEnd"/>
      <w:r>
        <w:t xml:space="preserve"> | NULL | latent | </w:t>
      </w:r>
      <w:proofErr w:type="gramStart"/>
      <w:r>
        <w:t>latent(</w:t>
      </w:r>
      <w:proofErr w:type="gramEnd"/>
      <w:r>
        <w:t>) |</w:t>
      </w:r>
    </w:p>
    <w:p w14:paraId="36BCFD75" w14:textId="77777777" w:rsidR="008E1B31" w:rsidRDefault="00000000">
      <w:pPr>
        <w:spacing w:after="160" w:line="320" w:lineRule="auto"/>
        <w:jc w:val="both"/>
      </w:pPr>
      <w:r>
        <w:lastRenderedPageBreak/>
        <w:t>| outflow__crude__permian_</w:t>
      </w:r>
      <w:proofErr w:type="spellStart"/>
      <w:r>
        <w:t>tx</w:t>
      </w:r>
      <w:proofErr w:type="spellEnd"/>
      <w:r>
        <w:t>__</w:t>
      </w:r>
      <w:proofErr w:type="spellStart"/>
      <w:r>
        <w:t>crane_terminal</w:t>
      </w:r>
      <w:proofErr w:type="spellEnd"/>
      <w:r>
        <w:t xml:space="preserve"> | NULL | latent | </w:t>
      </w:r>
      <w:proofErr w:type="gramStart"/>
      <w:r>
        <w:t>latent(</w:t>
      </w:r>
      <w:proofErr w:type="gramEnd"/>
      <w:r>
        <w:t>) |</w:t>
      </w:r>
    </w:p>
    <w:p w14:paraId="36BCFD76" w14:textId="77777777" w:rsidR="008E1B31" w:rsidRDefault="00000000">
      <w:pPr>
        <w:spacing w:after="160" w:line="320" w:lineRule="auto"/>
        <w:jc w:val="both"/>
      </w:pPr>
      <w:r>
        <w:t>| production__crude__padd3_view | 8,103.0 | observed | MCRFPP3 (PADD 3 production) |</w:t>
      </w:r>
    </w:p>
    <w:p w14:paraId="36BCFD77" w14:textId="77777777" w:rsidR="008E1B31" w:rsidRDefault="00000000">
      <w:pPr>
        <w:spacing w:after="160" w:line="320" w:lineRule="auto"/>
        <w:jc w:val="both"/>
      </w:pPr>
      <w:r>
        <w:t>| consumption__crude__padd3_view | 9,541.0 | observed | MCRRIP3 (PADD 3 refinery runs) |</w:t>
      </w:r>
    </w:p>
    <w:p w14:paraId="36BCFD78" w14:textId="77777777" w:rsidR="008E1B31" w:rsidRDefault="00000000">
      <w:pPr>
        <w:spacing w:after="160" w:line="320" w:lineRule="auto"/>
        <w:jc w:val="both"/>
      </w:pPr>
      <w:r>
        <w:t>| inventory__crude__padd3_view | 254,300.0 | observed | MCESTP3 (PADD 3 stocks, in MBBL) |</w:t>
      </w:r>
    </w:p>
    <w:p w14:paraId="36BCFD79" w14:textId="77777777" w:rsidR="008E1B31" w:rsidRDefault="00000000">
      <w:pPr>
        <w:spacing w:after="160" w:line="320" w:lineRule="auto"/>
        <w:jc w:val="both"/>
      </w:pPr>
      <w:r>
        <w:t>| balancing_item__crude__padd3_view | 47.3 | observed | MCRUA-P3 (PADD 3 balancing item) |</w:t>
      </w:r>
    </w:p>
    <w:p w14:paraId="36BCFD7A" w14:textId="77777777" w:rsidR="008E1B31" w:rsidRDefault="00000000">
      <w:pPr>
        <w:spacing w:after="160" w:line="320" w:lineRule="auto"/>
        <w:jc w:val="both"/>
      </w:pPr>
      <w:r>
        <w:t>| production__crude__</w:t>
      </w:r>
      <w:proofErr w:type="spellStart"/>
      <w:r>
        <w:t>usa_view</w:t>
      </w:r>
      <w:proofErr w:type="spellEnd"/>
      <w:r>
        <w:t xml:space="preserve"> | 12,950.0 | observed | MCRFPUS2 |</w:t>
      </w:r>
    </w:p>
    <w:p w14:paraId="36BCFD7B" w14:textId="77777777" w:rsidR="008E1B31" w:rsidRDefault="00000000">
      <w:pPr>
        <w:spacing w:after="160" w:line="320" w:lineRule="auto"/>
        <w:jc w:val="both"/>
      </w:pPr>
      <w:r>
        <w:t>| consumption__crude__</w:t>
      </w:r>
      <w:proofErr w:type="spellStart"/>
      <w:r>
        <w:t>usa_view</w:t>
      </w:r>
      <w:proofErr w:type="spellEnd"/>
      <w:r>
        <w:t xml:space="preserve"> | 16,289.0 | observed | MCRRIUS2 |</w:t>
      </w:r>
    </w:p>
    <w:p w14:paraId="36BCFD7C" w14:textId="77777777" w:rsidR="008E1B31" w:rsidRDefault="00000000">
      <w:pPr>
        <w:spacing w:after="160" w:line="320" w:lineRule="auto"/>
        <w:jc w:val="both"/>
      </w:pPr>
      <w:r>
        <w:t>| inflow__crude__usa_view__</w:t>
      </w:r>
      <w:proofErr w:type="spellStart"/>
      <w:r>
        <w:t>foreign_supply</w:t>
      </w:r>
      <w:proofErr w:type="spellEnd"/>
      <w:r>
        <w:t xml:space="preserve"> | 5,127.0 | derived | sum over PADD imports excluding Canada |</w:t>
      </w:r>
    </w:p>
    <w:p w14:paraId="36BCFD7D" w14:textId="77777777" w:rsidR="008E1B31" w:rsidRDefault="00000000">
      <w:pPr>
        <w:spacing w:after="160" w:line="320" w:lineRule="auto"/>
        <w:jc w:val="both"/>
      </w:pPr>
      <w:r>
        <w:t>| inflow__crude__usa_view__</w:t>
      </w:r>
      <w:proofErr w:type="spellStart"/>
      <w:r>
        <w:t>canadian_oil_sands</w:t>
      </w:r>
      <w:proofErr w:type="spellEnd"/>
      <w:r>
        <w:t xml:space="preserve"> | 4,231.0 | derived | sum over PADD Canadian imports |</w:t>
      </w:r>
    </w:p>
    <w:p w14:paraId="36BCFD7E" w14:textId="77777777" w:rsidR="008E1B31" w:rsidRDefault="00000000">
      <w:pPr>
        <w:spacing w:after="160" w:line="320" w:lineRule="auto"/>
        <w:jc w:val="both"/>
      </w:pPr>
      <w:r>
        <w:t>| outflow__crude__usa_view__</w:t>
      </w:r>
      <w:proofErr w:type="spellStart"/>
      <w:r>
        <w:t>foreign_export_destination</w:t>
      </w:r>
      <w:proofErr w:type="spellEnd"/>
      <w:r>
        <w:t xml:space="preserve"> | 3,752.0 | observed | MCREEXUS2 |</w:t>
      </w:r>
    </w:p>
    <w:p w14:paraId="36BCFD7F" w14:textId="77777777" w:rsidR="008E1B31" w:rsidRDefault="00000000">
      <w:pPr>
        <w:spacing w:after="160" w:line="320" w:lineRule="auto"/>
        <w:jc w:val="both"/>
      </w:pPr>
      <w:r>
        <w:t>The slice illustrates the framework's behaviour:</w:t>
      </w:r>
    </w:p>
    <w:p w14:paraId="36BCFD80" w14:textId="77777777" w:rsidR="008E1B31" w:rsidRDefault="00000000">
      <w:pPr>
        <w:pStyle w:val="ListParagraph"/>
        <w:numPr>
          <w:ilvl w:val="0"/>
          <w:numId w:val="2"/>
        </w:numPr>
        <w:spacing w:after="80" w:line="320" w:lineRule="auto"/>
        <w:jc w:val="both"/>
      </w:pPr>
      <w:r>
        <w:t>Observed variables carry their EIA values directly.</w:t>
      </w:r>
    </w:p>
    <w:p w14:paraId="36BCFD81" w14:textId="77777777" w:rsidR="008E1B31" w:rsidRDefault="00000000">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000000">
      <w:pPr>
        <w:pStyle w:val="ListParagraph"/>
        <w:numPr>
          <w:ilvl w:val="0"/>
          <w:numId w:val="2"/>
        </w:numPr>
        <w:spacing w:after="80" w:line="320" w:lineRule="auto"/>
        <w:jc w:val="both"/>
      </w:pPr>
      <w:proofErr w:type="spellStart"/>
      <w:r>
        <w:t>Latents</w:t>
      </w:r>
      <w:proofErr w:type="spellEnd"/>
      <w:r>
        <w:t xml:space="preserve"> (the three Permian outflows) carry NULL with the </w:t>
      </w:r>
      <w:r>
        <w:rPr>
          <w:rFonts w:ascii="Consolas" w:eastAsia="Consolas" w:hAnsi="Consolas" w:cs="Consolas"/>
        </w:rPr>
        <w:t>latent</w:t>
      </w:r>
      <w:r>
        <w:t xml:space="preserve"> source.</w:t>
      </w:r>
    </w:p>
    <w:p w14:paraId="36BCFD83" w14:textId="77777777" w:rsidR="008E1B31" w:rsidRDefault="00000000">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000000">
      <w:pPr>
        <w:spacing w:after="80"/>
      </w:pPr>
      <w:r>
        <w:rPr>
          <w:sz w:val="12"/>
          <w:szCs w:val="12"/>
        </w:rPr>
        <w:t xml:space="preserve"> </w:t>
      </w:r>
    </w:p>
    <w:p w14:paraId="36BCFD85" w14:textId="77777777" w:rsidR="008E1B31" w:rsidRDefault="00000000">
      <w:pPr>
        <w:pStyle w:val="Heading3"/>
      </w:pPr>
      <w:r>
        <w:t>9.1.4 The consistency claims for June 2024</w:t>
      </w:r>
    </w:p>
    <w:p w14:paraId="36BCFD86" w14:textId="77777777" w:rsidR="008E1B31" w:rsidRDefault="00000000">
      <w:pPr>
        <w:spacing w:after="160" w:line="320" w:lineRule="auto"/>
        <w:jc w:val="both"/>
      </w:pPr>
      <w:r>
        <w:t xml:space="preserve">After the resolver pass, the L4 views are refreshed automatically. Running the partition closure audit against </w:t>
      </w:r>
      <w:proofErr w:type="spellStart"/>
      <w:r>
        <w:rPr>
          <w:rFonts w:ascii="Consolas" w:eastAsia="Consolas" w:hAnsi="Consolas" w:cs="Consolas"/>
        </w:rPr>
        <w:t>v_node_balance_check</w:t>
      </w:r>
      <w:proofErr w:type="spellEnd"/>
      <w:r>
        <w:t xml:space="preserve"> for June 2024 produces:</w:t>
      </w:r>
    </w:p>
    <w:p w14:paraId="36BCFD87" w14:textId="77777777" w:rsidR="008E1B31" w:rsidRDefault="00000000">
      <w:pPr>
        <w:spacing w:after="160" w:line="320" w:lineRule="auto"/>
        <w:jc w:val="both"/>
      </w:pPr>
      <w:r>
        <w:t>| Node | Own inflow | Σ children inflow | Inflow gap | Own outflow | Σ children outflow | Outflow gap |</w:t>
      </w:r>
    </w:p>
    <w:p w14:paraId="36BCFD88" w14:textId="77777777" w:rsidR="008E1B31" w:rsidRDefault="00000000">
      <w:pPr>
        <w:spacing w:after="160" w:line="320" w:lineRule="auto"/>
        <w:jc w:val="both"/>
      </w:pPr>
      <w:r>
        <w:t>|—|—|—|—|—|—|—|</w:t>
      </w:r>
    </w:p>
    <w:p w14:paraId="36BCFD89" w14:textId="77777777" w:rsidR="008E1B31" w:rsidRDefault="00000000">
      <w:pPr>
        <w:spacing w:after="160" w:line="320" w:lineRule="auto"/>
        <w:jc w:val="both"/>
      </w:pPr>
      <w:r>
        <w:t xml:space="preserve">| </w:t>
      </w:r>
      <w:proofErr w:type="spellStart"/>
      <w:r>
        <w:t>usa_view</w:t>
      </w:r>
      <w:proofErr w:type="spellEnd"/>
      <w:r>
        <w:t xml:space="preserve"> | 9,358.0 | 9,358.0 | 0.0 | 3,752.0 | 3,752.0 | 0.0 |</w:t>
      </w:r>
    </w:p>
    <w:p w14:paraId="36BCFD8A" w14:textId="77777777" w:rsidR="008E1B31" w:rsidRDefault="00000000">
      <w:pPr>
        <w:spacing w:after="160" w:line="320" w:lineRule="auto"/>
        <w:jc w:val="both"/>
      </w:pPr>
      <w:r>
        <w:t>| padd1_view | 821.4 | 821.4 | 0.0 | 156.3 | 156.3 | 0.0 |</w:t>
      </w:r>
    </w:p>
    <w:p w14:paraId="36BCFD8B" w14:textId="77777777" w:rsidR="008E1B31" w:rsidRDefault="00000000">
      <w:pPr>
        <w:spacing w:after="160" w:line="320" w:lineRule="auto"/>
        <w:jc w:val="both"/>
      </w:pPr>
      <w:r>
        <w:t>| padd2_view | 4,712.0 | 4,712.0 | 0.0 | 2,608.0 | 2,608.0 | 0.0 |</w:t>
      </w:r>
    </w:p>
    <w:p w14:paraId="36BCFD8C" w14:textId="77777777" w:rsidR="008E1B31" w:rsidRDefault="00000000">
      <w:pPr>
        <w:spacing w:after="160" w:line="320" w:lineRule="auto"/>
        <w:jc w:val="both"/>
      </w:pPr>
      <w:r>
        <w:lastRenderedPageBreak/>
        <w:t>| padd3_view | 3,512.0 | 3,512.0 | 0.0 | 4,419.0 | 4,419.0 | 0.0 |</w:t>
      </w:r>
    </w:p>
    <w:p w14:paraId="36BCFD8D" w14:textId="77777777" w:rsidR="008E1B31" w:rsidRDefault="00000000">
      <w:pPr>
        <w:spacing w:after="160" w:line="320" w:lineRule="auto"/>
        <w:jc w:val="both"/>
      </w:pPr>
      <w:r>
        <w:t>| padd4_view | 587.1 | 587.1 | 0.0 | 1,032.0 | 1,032.0 | 0.0 |</w:t>
      </w:r>
    </w:p>
    <w:p w14:paraId="36BCFD8E" w14:textId="77777777" w:rsidR="008E1B31" w:rsidRDefault="00000000">
      <w:pPr>
        <w:spacing w:after="160" w:line="320" w:lineRule="auto"/>
        <w:jc w:val="both"/>
      </w:pPr>
      <w:r>
        <w:t>| padd5_view | 1,256.0 | 1,256.0 | 0.0 | 0.0 | 0.0 | 0.0 |</w:t>
      </w:r>
    </w:p>
    <w:p w14:paraId="36BCFD8F" w14:textId="77777777" w:rsidR="008E1B31" w:rsidRDefault="00000000">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000000">
      <w:pPr>
        <w:spacing w:after="160" w:line="320" w:lineRule="auto"/>
        <w:jc w:val="both"/>
      </w:pPr>
      <w:r>
        <w:t xml:space="preserve">The mass-balance check at every node also closes for June 2024: for each node, the equation P + </w:t>
      </w:r>
      <w:proofErr w:type="spellStart"/>
      <w:r>
        <w:t>F_in</w:t>
      </w:r>
      <w:proofErr w:type="spellEnd"/>
      <w:r>
        <w:t xml:space="preserve"> − C − </w:t>
      </w:r>
      <w:proofErr w:type="spellStart"/>
      <w:r>
        <w:t>F_out</w:t>
      </w:r>
      <w:proofErr w:type="spellEnd"/>
      <w:r>
        <w:t xml:space="preserve"> + B − ΔS resolves to zero within rounding tolerance.</w:t>
      </w:r>
    </w:p>
    <w:p w14:paraId="36BCFD91" w14:textId="77777777" w:rsidR="008E1B31" w:rsidRDefault="00000000">
      <w:pPr>
        <w:spacing w:after="160" w:line="320" w:lineRule="auto"/>
        <w:jc w:val="both"/>
      </w:pPr>
      <w:r>
        <w:t xml:space="preserve">The observed-versus-closure-B comparison at the USA aggregate for June 2024 is small (a few tens of </w:t>
      </w:r>
      <w:proofErr w:type="spellStart"/>
      <w:r>
        <w:t>kbd</w:t>
      </w:r>
      <w:proofErr w:type="spellEnd"/>
      <w:r>
        <w:t xml:space="preserve">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000000">
      <w:pPr>
        <w:pStyle w:val="Heading3"/>
      </w:pPr>
      <w:r>
        <w:t>9.1.5 Rendered outputs</w:t>
      </w:r>
    </w:p>
    <w:p w14:paraId="36BCFD93" w14:textId="77777777" w:rsidR="008E1B31" w:rsidRDefault="00000000">
      <w:pPr>
        <w:spacing w:after="160" w:line="320" w:lineRule="auto"/>
        <w:jc w:val="both"/>
      </w:pPr>
      <w:r>
        <w:t>After the L4 refresh, the renderer pipeline updates the HTML views to reflect the new resolver run. The balance UI shows the per-node mass balance with the June 2024 values; the hierarchy UI shows the resolved tree with each node colour-coded by its scenario status (authoritative, derived, or collapsed); the partition map shows the geographic distribution of values; the single-node neighbour view shows the flow edges for any selected asset.</w:t>
      </w:r>
    </w:p>
    <w:p w14:paraId="36BCFD94" w14:textId="77777777" w:rsidR="008E1B31" w:rsidRDefault="00000000">
      <w:pPr>
        <w:spacing w:after="160" w:line="320" w:lineRule="auto"/>
        <w:jc w:val="both"/>
      </w:pPr>
      <w:r>
        <w:t>Each HTML carries a metadata beacon naming the resolver run that produced it (</w:t>
      </w:r>
      <w:proofErr w:type="spellStart"/>
      <w:r>
        <w:rPr>
          <w:rFonts w:ascii="Consolas" w:eastAsia="Consolas" w:hAnsi="Consolas" w:cs="Consolas"/>
        </w:rPr>
        <w:t>run_id</w:t>
      </w:r>
      <w:proofErr w:type="spellEnd"/>
      <w:r>
        <w:rPr>
          <w:rFonts w:ascii="Consolas" w:eastAsia="Consolas" w:hAnsi="Consolas" w:cs="Consolas"/>
        </w:rPr>
        <w:t xml:space="preserve"> = 1</w:t>
      </w:r>
      <w:r>
        <w:t xml:space="preserve"> at the time of writing, </w:t>
      </w:r>
      <w:proofErr w:type="spellStart"/>
      <w:r>
        <w:rPr>
          <w:rFonts w:ascii="Consolas" w:eastAsia="Consolas" w:hAnsi="Consolas" w:cs="Consolas"/>
        </w:rPr>
        <w:t>completed_at</w:t>
      </w:r>
      <w:proofErr w:type="spellEnd"/>
      <w:r>
        <w:rPr>
          <w:rFonts w:ascii="Consolas" w:eastAsia="Consolas" w:hAnsi="Consolas" w:cs="Consolas"/>
        </w:rPr>
        <w:t xml:space="preserve"> = 2026-05-15</w:t>
      </w:r>
      <w:r>
        <w:t xml:space="preserve">). An audit row in </w:t>
      </w:r>
      <w:proofErr w:type="spellStart"/>
      <w:r>
        <w:rPr>
          <w:rFonts w:ascii="Consolas" w:eastAsia="Consolas" w:hAnsi="Consolas" w:cs="Consolas"/>
        </w:rPr>
        <w:t>scenario_html_artefacts</w:t>
      </w:r>
      <w:proofErr w:type="spellEnd"/>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000000">
      <w:pPr>
        <w:pStyle w:val="Heading2"/>
      </w:pPr>
      <w:r>
        <w:t>9.2 The Permian fan-out LP solution</w:t>
      </w:r>
    </w:p>
    <w:p w14:paraId="36BCFD96" w14:textId="77777777" w:rsidR="008E1B31" w:rsidRDefault="00000000">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000000">
      <w:pPr>
        <w:pStyle w:val="Heading3"/>
      </w:pPr>
      <w:r>
        <w:t>9.2.1 LP statement</w:t>
      </w:r>
    </w:p>
    <w:p w14:paraId="36BCFD98" w14:textId="77777777" w:rsidR="008E1B31" w:rsidRDefault="00000000">
      <w:pPr>
        <w:spacing w:after="160" w:line="320" w:lineRule="auto"/>
        <w:jc w:val="both"/>
      </w:pPr>
      <w:r>
        <w:t>Decision variables (six in total at the Permian-TX outbound layer, plus downstream propagation):</w:t>
      </w:r>
    </w:p>
    <w:p w14:paraId="36BCFD99" w14:textId="77777777" w:rsidR="008E1B31" w:rsidRDefault="00000000">
      <w:pPr>
        <w:spacing w:after="16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r>
        <w:t xml:space="preserve"> </w:t>
      </w: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r>
        <w:t xml:space="preserve"> </w:t>
      </w: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9A" w14:textId="77777777" w:rsidR="008E1B31" w:rsidRDefault="00000000">
      <w:pPr>
        <w:spacing w:after="160" w:line="320" w:lineRule="auto"/>
        <w:jc w:val="both"/>
      </w:pPr>
      <w:r>
        <w:t xml:space="preserve">Equality constraint (mass balance at </w:t>
      </w:r>
      <w:proofErr w:type="spellStart"/>
      <w:r>
        <w:t>permian_tx</w:t>
      </w:r>
      <w:proofErr w:type="spellEnd"/>
      <w:r>
        <w:t>, June 2024):</w:t>
      </w:r>
    </w:p>
    <w:p w14:paraId="36BCFD9B"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5,402</w:t>
      </w:r>
    </w:p>
    <w:p w14:paraId="36BCFD9C" w14:textId="77777777" w:rsidR="008E1B31" w:rsidRDefault="00000000">
      <w:pPr>
        <w:spacing w:after="160" w:line="320" w:lineRule="auto"/>
        <w:jc w:val="both"/>
      </w:pPr>
      <w:r>
        <w:lastRenderedPageBreak/>
        <w:t xml:space="preserve">Inequality constraints (terminal inbound capacity, </w:t>
      </w:r>
      <w:proofErr w:type="spellStart"/>
      <w:r>
        <w:t>kbd</w:t>
      </w:r>
      <w:proofErr w:type="spellEnd"/>
      <w:r>
        <w:t>):</w:t>
      </w:r>
    </w:p>
    <w:p w14:paraId="36BCFD9D" w14:textId="77777777" w:rsidR="008E1B31" w:rsidRPr="00A9717A" w:rsidRDefault="00000000">
      <w:pPr>
        <w:spacing w:after="160" w:line="320" w:lineRule="auto"/>
        <w:jc w:val="both"/>
        <w:rPr>
          <w:lang w:val="it-IT"/>
        </w:rPr>
      </w:pPr>
      <w:r>
        <w:t>ϕ</w:t>
      </w:r>
      <w:r w:rsidRPr="00A9717A">
        <w:rPr>
          <w:lang w:val="it-IT"/>
        </w:rPr>
        <w:t xml:space="preserve">_M ≤ 2,400 </w:t>
      </w:r>
      <w:r>
        <w:t>ϕ</w:t>
      </w:r>
      <w:r w:rsidRPr="00A9717A">
        <w:rPr>
          <w:lang w:val="it-IT"/>
        </w:rPr>
        <w:t xml:space="preserve">_W ≤ 1,500 </w:t>
      </w:r>
      <w:r>
        <w:t>ϕ</w:t>
      </w:r>
      <w:r w:rsidRPr="00A9717A">
        <w:rPr>
          <w:lang w:val="it-IT"/>
        </w:rPr>
        <w:t>_C ≤ 800</w:t>
      </w:r>
    </w:p>
    <w:p w14:paraId="36BCFD9E" w14:textId="77777777" w:rsidR="008E1B31" w:rsidRPr="00A9717A" w:rsidRDefault="00000000">
      <w:pPr>
        <w:spacing w:after="160" w:line="320" w:lineRule="auto"/>
        <w:jc w:val="both"/>
        <w:rPr>
          <w:lang w:val="it-IT"/>
        </w:rPr>
      </w:pPr>
      <w:r w:rsidRPr="00A9717A">
        <w:rPr>
          <w:lang w:val="it-IT"/>
        </w:rPr>
        <w:t>Non-negativity:</w:t>
      </w:r>
    </w:p>
    <w:p w14:paraId="36BCFD9F" w14:textId="77777777" w:rsidR="008E1B31" w:rsidRDefault="00000000">
      <w:pPr>
        <w:spacing w:after="160" w:line="320" w:lineRule="auto"/>
        <w:jc w:val="both"/>
      </w:pPr>
      <w:proofErr w:type="spellStart"/>
      <w:r>
        <w:t>ϕ_M</w:t>
      </w:r>
      <w:proofErr w:type="spellEnd"/>
      <w:r>
        <w:t xml:space="preserve">, </w:t>
      </w:r>
      <w:proofErr w:type="spellStart"/>
      <w:r>
        <w:t>ϕ_W</w:t>
      </w:r>
      <w:proofErr w:type="spellEnd"/>
      <w:r>
        <w:t xml:space="preserve">, </w:t>
      </w:r>
      <w:proofErr w:type="spellStart"/>
      <w:r>
        <w:t>ϕ_C</w:t>
      </w:r>
      <w:proofErr w:type="spellEnd"/>
      <w:r>
        <w:t xml:space="preserve"> ≥ 0</w:t>
      </w:r>
    </w:p>
    <w:p w14:paraId="36BCFDA0" w14:textId="77777777" w:rsidR="008E1B31" w:rsidRDefault="00000000">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000000">
      <w:pPr>
        <w:pStyle w:val="Heading3"/>
      </w:pPr>
      <w:r>
        <w:t>9.2.2 Solution</w:t>
      </w:r>
    </w:p>
    <w:p w14:paraId="36BCFDA2" w14:textId="77777777" w:rsidR="008E1B31" w:rsidRDefault="00000000">
      <w:pPr>
        <w:spacing w:after="160" w:line="320" w:lineRule="auto"/>
        <w:jc w:val="both"/>
      </w:pPr>
      <w:r>
        <w:t>The LP solves in under a second on standard solver infrastructure (</w:t>
      </w:r>
      <w:proofErr w:type="spellStart"/>
      <w:r>
        <w:t>HiGHS</w:t>
      </w:r>
      <w:proofErr w:type="spellEnd"/>
      <w:r>
        <w:t>, with default settings). The capacity-proportional allocation at the June 2024 production level produces:</w:t>
      </w:r>
    </w:p>
    <w:p w14:paraId="36BCFDA3" w14:textId="77777777" w:rsidR="008E1B31" w:rsidRDefault="00000000">
      <w:pPr>
        <w:spacing w:after="160" w:line="320" w:lineRule="auto"/>
        <w:jc w:val="both"/>
      </w:pPr>
      <w:proofErr w:type="spellStart"/>
      <w:r>
        <w:t>ϕ_M</w:t>
      </w:r>
      <w:proofErr w:type="spellEnd"/>
      <w:r>
        <w:t xml:space="preserve"> ≈ 2,820 </w:t>
      </w:r>
      <w:proofErr w:type="spellStart"/>
      <w:r>
        <w:t>kbd</w:t>
      </w:r>
      <w:proofErr w:type="spellEnd"/>
      <w:r>
        <w:t xml:space="preserve"> (utilisation: 117 per cent of nominal capacity) </w:t>
      </w:r>
      <w:proofErr w:type="spellStart"/>
      <w:r>
        <w:t>ϕ_W</w:t>
      </w:r>
      <w:proofErr w:type="spellEnd"/>
      <w:r>
        <w:t xml:space="preserve"> ≈ 1,765 </w:t>
      </w:r>
      <w:proofErr w:type="spellStart"/>
      <w:r>
        <w:t>kbd</w:t>
      </w:r>
      <w:proofErr w:type="spellEnd"/>
      <w:r>
        <w:t xml:space="preserve"> (utilisation: 118 per cent) </w:t>
      </w:r>
      <w:proofErr w:type="spellStart"/>
      <w:r>
        <w:t>ϕ_C</w:t>
      </w:r>
      <w:proofErr w:type="spellEnd"/>
      <w:r>
        <w:t xml:space="preserve"> ≈ 940 </w:t>
      </w:r>
      <w:proofErr w:type="spellStart"/>
      <w:r>
        <w:t>kbd</w:t>
      </w:r>
      <w:proofErr w:type="spellEnd"/>
      <w:r>
        <w:t xml:space="preserve"> (utilisation: 118 per cent)</w:t>
      </w:r>
    </w:p>
    <w:p w14:paraId="36BCFDA4" w14:textId="77777777" w:rsidR="008E1B31" w:rsidRDefault="00000000">
      <w:pPr>
        <w:spacing w:after="160" w:line="320" w:lineRule="auto"/>
        <w:jc w:val="both"/>
      </w:pPr>
      <w:r>
        <w:t xml:space="preserve">Sum: 5,525 </w:t>
      </w:r>
      <w:proofErr w:type="spellStart"/>
      <w:r>
        <w:t>kbd</w:t>
      </w:r>
      <w:proofErr w:type="spellEnd"/>
      <w:r>
        <w:t xml:space="preserve"> against the 5,402 </w:t>
      </w:r>
      <w:proofErr w:type="spellStart"/>
      <w:r>
        <w:t>kbd</w:t>
      </w:r>
      <w:proofErr w:type="spellEnd"/>
      <w:r>
        <w:t xml:space="preserve"> production constraint. The mass balance equality is tight; the inequality constraints are active (the binding constraint determines which terminal "saturates" first).</w:t>
      </w:r>
    </w:p>
    <w:p w14:paraId="36BCFDA5" w14:textId="77777777" w:rsidR="008E1B31" w:rsidRDefault="00000000">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000000">
      <w:pPr>
        <w:spacing w:after="160" w:line="320" w:lineRule="auto"/>
        <w:jc w:val="both"/>
      </w:pPr>
      <w:r>
        <w:t>A different objective produces a different solution. Cost minimisation (with tariffs of, say, 1.20 USD/</w:t>
      </w:r>
      <w:proofErr w:type="spellStart"/>
      <w:r>
        <w:t>bbl</w:t>
      </w:r>
      <w:proofErr w:type="spellEnd"/>
      <w:r>
        <w:t xml:space="preserve">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000000">
      <w:pPr>
        <w:pStyle w:val="Heading3"/>
      </w:pPr>
      <w:r>
        <w:t>9.2.3 Downstream propagation</w:t>
      </w:r>
    </w:p>
    <w:p w14:paraId="36BCFDA8" w14:textId="77777777" w:rsidR="008E1B31" w:rsidRDefault="00000000">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000000">
      <w:pPr>
        <w:spacing w:after="160" w:line="320" w:lineRule="auto"/>
        <w:jc w:val="both"/>
      </w:pPr>
      <w:r>
        <w:lastRenderedPageBreak/>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000000">
      <w:pPr>
        <w:pStyle w:val="Heading2"/>
      </w:pPr>
      <w:r>
        <w:t>9.3 What the case study demonstrates</w:t>
      </w:r>
    </w:p>
    <w:p w14:paraId="36BCFDAB" w14:textId="77777777" w:rsidR="008E1B31" w:rsidRDefault="00000000">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000000">
      <w:pPr>
        <w:spacing w:after="160" w:line="320" w:lineRule="auto"/>
        <w:jc w:val="both"/>
      </w:pPr>
      <w:r>
        <w:t>The framework is, in this sense, complete as a representation: the data flows through the pipeline as designed, the consistency claims are demonstrated on the live state, and the LP consumer succeeds on the output. The remaining question — whether the same framework supports GNN forecasting work — is the subject of the next chapter.</w:t>
      </w:r>
    </w:p>
    <w:p w14:paraId="36BCFDAD" w14:textId="77777777" w:rsidR="008E1B31" w:rsidRDefault="00000000">
      <w:pPr>
        <w:pStyle w:val="Heading1"/>
        <w:pageBreakBefore/>
      </w:pPr>
      <w:r>
        <w:lastRenderedPageBreak/>
        <w:t>10. Conclusion and Future Work</w:t>
      </w:r>
    </w:p>
    <w:p w14:paraId="36BCFDAE" w14:textId="77777777" w:rsidR="008E1B31" w:rsidRDefault="00000000">
      <w:pPr>
        <w:pStyle w:val="Heading2"/>
      </w:pPr>
      <w:r>
        <w:t>10.1 What the thesis contributes</w:t>
      </w:r>
    </w:p>
    <w:p w14:paraId="36BCFDAF" w14:textId="77777777" w:rsidR="008E1B31" w:rsidRDefault="00000000">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000000">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000000">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000000">
      <w:pPr>
        <w:pStyle w:val="Heading2"/>
      </w:pPr>
      <w:r>
        <w:t>10.2 Readiness for graph neural network consumers</w:t>
      </w:r>
    </w:p>
    <w:p w14:paraId="36BCFDB3" w14:textId="77777777" w:rsidR="008E1B31" w:rsidRDefault="00000000">
      <w:pPr>
        <w:spacing w:after="160" w:line="320" w:lineRule="auto"/>
        <w:jc w:val="both"/>
      </w:pPr>
      <w:r>
        <w:t>The representation is the framework's central contribution; graph neural network forecasting is a downstream consumer that the framework is designed to support. The choice reflects an honest assessment of where the work's value lies: the representation is novel, the GNN architectures that would consume it are well-established, and the gap in the existing literature is at the representational layer rather than at the forecasting layer.</w:t>
      </w:r>
    </w:p>
    <w:p w14:paraId="36BCFDB4" w14:textId="77777777" w:rsidR="008E1B31" w:rsidRDefault="00000000">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000000">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proofErr w:type="spellStart"/>
      <w:r>
        <w:rPr>
          <w:rFonts w:ascii="Consolas" w:eastAsia="Consolas" w:hAnsi="Consolas" w:cs="Consolas"/>
        </w:rPr>
        <w:t>v_flow_edges</w:t>
      </w:r>
      <w:proofErr w:type="spellEnd"/>
      <w:r>
        <w:t xml:space="preserve">), and a constraint structure (mass balance and capacity). LP reads these as </w:t>
      </w:r>
      <w:r>
        <w:lastRenderedPageBreak/>
        <w:t xml:space="preserve">decision variables (the </w:t>
      </w:r>
      <w:proofErr w:type="spellStart"/>
      <w:r>
        <w:t>latents</w:t>
      </w:r>
      <w:proofErr w:type="spellEnd"/>
      <w:r>
        <w:t>), equality constraints (mass balance rows), inequality constraints (capacity rows), and an objective. GNN reads the same three as a node feature 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000000">
      <w:pPr>
        <w:spacing w:after="160" w:line="320" w:lineRule="auto"/>
        <w:jc w:val="both"/>
      </w:pPr>
      <w:r>
        <w:t>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000000">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w:t>
      </w:r>
      <w:proofErr w:type="gramStart"/>
      <w:r>
        <w:t>convolutions</w:t>
      </w:r>
      <w:proofErr w:type="gramEnd"/>
      <w:r>
        <w:t xml:space="preserve">. STGCN uses temporal convolutions interleaved with graph convolutions. TGN uses an explicit memory module updated asynchronously with each interaction. The framework's monthly granularity defines the discrete-time snapshots that </w:t>
      </w:r>
      <w:proofErr w:type="gramStart"/>
      <w:r>
        <w:t>all of</w:t>
      </w:r>
      <w:proofErr w:type="gramEnd"/>
      <w:r>
        <w:t xml:space="preserve">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000000">
      <w:pPr>
        <w:spacing w:after="160" w:line="320" w:lineRule="auto"/>
        <w:jc w:val="both"/>
      </w:pPr>
      <w:r>
        <w:t>The conclusion is that the framework is LP-ready and GNN-ready in a strong sense: no schema modification would be required to consume its output for forecasting. What is required is the modelling work, which is substantial but well-trodden. The modeller must choose an architecture, define a train/validation/test split that does not leak across time, pick a target variable, and select a baseline against which to measure. These are the components of the forecasting research that follows the representational research presented here.</w:t>
      </w:r>
    </w:p>
    <w:p w14:paraId="36BCFDB9" w14:textId="77777777" w:rsidR="008E1B31" w:rsidRDefault="00000000">
      <w:pPr>
        <w:pStyle w:val="Heading2"/>
      </w:pPr>
      <w:r>
        <w:t>10.3 Future work</w:t>
      </w:r>
    </w:p>
    <w:p w14:paraId="36BCFDBA" w14:textId="77777777" w:rsidR="008E1B31" w:rsidRDefault="00000000">
      <w:pPr>
        <w:spacing w:after="160" w:line="320" w:lineRule="auto"/>
        <w:jc w:val="both"/>
      </w:pPr>
      <w:r>
        <w:t xml:space="preserve">Several extensions sit naturally on top of the framework. The most direct downstream consumer is a temporal graph neural network for forecasting flows, stocks, or deviations from historical means; the framework supplies the node feature matrix, the fixed adjacency, and the conservation constraint that any standard architecture in the GCN, GAT, TGN, TGAT family expects. The schema also admits per-grade decomposition by treating commodity as a further dimension on variables, a weekly companion scenario built on EIA's Weekly Petroleum </w:t>
      </w:r>
      <w:r>
        <w:lastRenderedPageBreak/>
        <w:t>Status Report, a North American extension once Canadian production data is bound, and analogous representations for natural gas, electricity, or refined-product networks whose physical structure shares the asset-centric, multi-resolution character of crude oil. Productionisation is a separate kind of work: pipelines, monitoring, and access control are engineering tasks compatible with the framework but outside the research contribution of this thesis.</w:t>
      </w:r>
    </w:p>
    <w:p w14:paraId="36BCFDC2" w14:textId="77777777" w:rsidR="008E1B31" w:rsidRDefault="00000000">
      <w:pPr>
        <w:pStyle w:val="Heading2"/>
      </w:pPr>
      <w:r>
        <w:t>10.4 Closing remarks</w:t>
      </w:r>
    </w:p>
    <w:p w14:paraId="36BCFDC3" w14:textId="77777777" w:rsidR="008E1B31" w:rsidRDefault="00000000">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000000">
      <w:pPr>
        <w:spacing w:after="160" w:line="320" w:lineRule="auto"/>
        <w:jc w:val="both"/>
      </w:pPr>
      <w:r>
        <w:t>The representation is not</w:t>
      </w:r>
      <w:proofErr w:type="gramStart"/>
      <w:r>
        <w:t>, in itself, a</w:t>
      </w:r>
      <w:proofErr w:type="gramEnd"/>
      <w:r>
        <w:t xml:space="preserve">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000000">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000000">
      <w:r>
        <w:br w:type="page"/>
      </w:r>
    </w:p>
    <w:p w14:paraId="36BCFDC7" w14:textId="77777777" w:rsidR="008E1B31" w:rsidRDefault="00000000">
      <w:pPr>
        <w:spacing w:before="1440" w:after="1440"/>
        <w:jc w:val="center"/>
      </w:pPr>
      <w:r>
        <w:rPr>
          <w:b/>
          <w:bCs/>
          <w:sz w:val="36"/>
          <w:szCs w:val="36"/>
        </w:rPr>
        <w:lastRenderedPageBreak/>
        <w:t>ANNEXES</w:t>
      </w:r>
    </w:p>
    <w:p w14:paraId="36BCFDC8" w14:textId="77777777" w:rsidR="008E1B31" w:rsidRDefault="00000000">
      <w:r>
        <w:br w:type="page"/>
      </w:r>
    </w:p>
    <w:p w14:paraId="36BCFDC9" w14:textId="77777777" w:rsidR="008E1B31" w:rsidRDefault="00000000">
      <w:pPr>
        <w:spacing w:after="160" w:line="320" w:lineRule="auto"/>
        <w:jc w:val="both"/>
      </w:pPr>
      <w:r>
        <w:rPr>
          <w:b/>
          <w:bCs/>
        </w:rPr>
        <w:lastRenderedPageBreak/>
        <w:t>Annex A</w:t>
      </w:r>
    </w:p>
    <w:p w14:paraId="36BCFDCA" w14:textId="77777777" w:rsidR="008E1B31" w:rsidRDefault="00000000">
      <w:pPr>
        <w:spacing w:after="160" w:line="320" w:lineRule="auto"/>
        <w:jc w:val="both"/>
      </w:pPr>
      <w:r>
        <w:rPr>
          <w:b/>
          <w:bCs/>
        </w:rPr>
        <w:t>Graph Neural Networks: Concepts, Mathematics, and a Crude-Oil Example</w:t>
      </w:r>
    </w:p>
    <w:p w14:paraId="36BCFDCB" w14:textId="77777777" w:rsidR="008E1B31" w:rsidRDefault="00000000">
      <w:pPr>
        <w:spacing w:after="160" w:line="320" w:lineRule="auto"/>
        <w:jc w:val="both"/>
      </w:pPr>
      <w:r>
        <w:rPr>
          <w:i/>
          <w:iCs/>
        </w:rPr>
        <w:t>A technical primer supporting Chapter 2 of the thesis</w:t>
      </w:r>
    </w:p>
    <w:p w14:paraId="36BCFDCC" w14:textId="77777777" w:rsidR="008E1B31" w:rsidRDefault="00000000">
      <w:pPr>
        <w:pStyle w:val="Heading1"/>
        <w:pageBreakBefore/>
      </w:pPr>
      <w:r>
        <w:lastRenderedPageBreak/>
        <w:t>A.1 Overview</w:t>
      </w:r>
    </w:p>
    <w:p w14:paraId="36BCFDCD" w14:textId="77777777" w:rsidR="008E1B31" w:rsidRDefault="00000000">
      <w:pPr>
        <w:spacing w:after="160" w:line="320" w:lineRule="auto"/>
        <w:jc w:val="both"/>
      </w:pPr>
      <w:r>
        <w:t xml:space="preserve">This annex provides a self-contained technical introduction to the graph neural network (GNN) methods discussed in Chapter 2. It traces the evolution from classical spectral graph theory through to the hybrid </w:t>
      </w:r>
      <w:proofErr w:type="spellStart"/>
      <w:r>
        <w:t>spatio</w:t>
      </w:r>
      <w:proofErr w:type="spellEnd"/>
      <w:r>
        <w:t>-temporal architectures used in this thesis, illustrating each concept with a concrete crude-oil logistics example centred on the Cushing, Oklahoma storage hub. The annex is organised as follows:</w:t>
      </w:r>
    </w:p>
    <w:p w14:paraId="36BCFDCE" w14:textId="77777777" w:rsidR="008E1B31" w:rsidRDefault="00000000">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000000">
      <w:pPr>
        <w:pStyle w:val="ListParagraph"/>
        <w:numPr>
          <w:ilvl w:val="0"/>
          <w:numId w:val="2"/>
        </w:numPr>
        <w:spacing w:after="80" w:line="320" w:lineRule="auto"/>
        <w:jc w:val="both"/>
      </w:pPr>
      <w:r>
        <w:t xml:space="preserve">A.3 </w:t>
      </w:r>
      <w:proofErr w:type="spellStart"/>
      <w:r>
        <w:t>DeepWalk</w:t>
      </w:r>
      <w:proofErr w:type="spellEnd"/>
      <w:r>
        <w:t xml:space="preserve"> and node2vec — the random walk analogy, what it captures, and its limitation of ignoring node features.</w:t>
      </w:r>
    </w:p>
    <w:p w14:paraId="36BCFDD0" w14:textId="77777777" w:rsidR="008E1B31" w:rsidRDefault="00000000">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000000">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000000">
      <w:pPr>
        <w:pStyle w:val="ListParagraph"/>
        <w:numPr>
          <w:ilvl w:val="0"/>
          <w:numId w:val="2"/>
        </w:numPr>
        <w:spacing w:after="80" w:line="320" w:lineRule="auto"/>
        <w:jc w:val="both"/>
      </w:pPr>
      <w:r>
        <w:t xml:space="preserve">A.6 GAT and </w:t>
      </w:r>
      <w:proofErr w:type="spellStart"/>
      <w:r>
        <w:t>GraphSAGE</w:t>
      </w:r>
      <w:proofErr w:type="spellEnd"/>
      <w:r>
        <w:t xml:space="preserve"> — attention weights and inductive learning, connected to the vessel-node extensibility argument.</w:t>
      </w:r>
    </w:p>
    <w:p w14:paraId="36BCFDD3" w14:textId="77777777" w:rsidR="008E1B31" w:rsidRDefault="00000000">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000000">
      <w:pPr>
        <w:spacing w:after="80"/>
      </w:pPr>
      <w:r>
        <w:rPr>
          <w:sz w:val="12"/>
          <w:szCs w:val="12"/>
        </w:rPr>
        <w:t xml:space="preserve"> </w:t>
      </w:r>
    </w:p>
    <w:p w14:paraId="36BCFDD5" w14:textId="77777777" w:rsidR="008E1B31" w:rsidRDefault="00000000">
      <w:pPr>
        <w:spacing w:after="160" w:line="320" w:lineRule="auto"/>
        <w:jc w:val="both"/>
      </w:pPr>
      <w:r>
        <w:rPr>
          <w:i/>
          <w:iCs/>
        </w:rPr>
        <w:t xml:space="preserve">Figure A.1 — Evolution of GNN methods from spectral embeddings to hybrid </w:t>
      </w:r>
      <w:proofErr w:type="spellStart"/>
      <w:r>
        <w:rPr>
          <w:i/>
          <w:iCs/>
        </w:rPr>
        <w:t>spatio</w:t>
      </w:r>
      <w:proofErr w:type="spellEnd"/>
      <w:r>
        <w:rPr>
          <w:i/>
          <w:iCs/>
        </w:rPr>
        <w:t>-temporal architectures.</w:t>
      </w:r>
    </w:p>
    <w:p w14:paraId="36BCFDD6" w14:textId="77777777" w:rsidR="008E1B31" w:rsidRDefault="00000000">
      <w:pPr>
        <w:pStyle w:val="Heading1"/>
        <w:pageBreakBefore/>
      </w:pPr>
      <w:r>
        <w:lastRenderedPageBreak/>
        <w:t>A.2 Spectral Methods and the Graph Laplacian</w:t>
      </w:r>
    </w:p>
    <w:p w14:paraId="36BCFDD7" w14:textId="77777777" w:rsidR="008E1B31" w:rsidRDefault="00000000">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000000">
      <w:pPr>
        <w:spacing w:after="160" w:line="320" w:lineRule="auto"/>
        <w:jc w:val="both"/>
      </w:pPr>
      <w:r>
        <w:rPr>
          <w:b/>
          <w:bCs/>
        </w:rPr>
        <w:t>A.2.1 From graph to matrix</w:t>
      </w:r>
    </w:p>
    <w:p w14:paraId="36BCFDD9" w14:textId="77777777" w:rsidR="008E1B31" w:rsidRDefault="00000000">
      <w:pPr>
        <w:spacing w:after="160" w:line="320" w:lineRule="auto"/>
        <w:jc w:val="both"/>
      </w:pPr>
      <w:r>
        <w:t>For a graph with n nodes, the adjacency matrix A records which nodes are connected: A\[</w:t>
      </w:r>
      <w:proofErr w:type="spellStart"/>
      <w:proofErr w:type="gramStart"/>
      <w:r>
        <w:t>i,j</w:t>
      </w:r>
      <w:proofErr w:type="spellEnd"/>
      <w:proofErr w:type="gramEnd"/>
      <w:r>
        <w:t xml:space="preserve">\] = 1 if an edge exists between nodes </w:t>
      </w:r>
      <w:proofErr w:type="spellStart"/>
      <w:r>
        <w:t>i</w:t>
      </w:r>
      <w:proofErr w:type="spellEnd"/>
      <w:r>
        <w:t xml:space="preserve"> and j, and 0 otherwise. The degree matrix D is a diagonal matrix where D\[</w:t>
      </w:r>
      <w:proofErr w:type="spellStart"/>
      <w:proofErr w:type="gramStart"/>
      <w:r>
        <w:t>i,i</w:t>
      </w:r>
      <w:proofErr w:type="spellEnd"/>
      <w:proofErr w:type="gramEnd"/>
      <w:r>
        <w:t xml:space="preserve">\] is the number of edges at node </w:t>
      </w:r>
      <w:proofErr w:type="spellStart"/>
      <w:r>
        <w:t>i</w:t>
      </w:r>
      <w:proofErr w:type="spellEnd"/>
      <w:r>
        <w:t>. The graph Laplacian is then:</w:t>
      </w:r>
    </w:p>
    <w:p w14:paraId="36BCFDDA" w14:textId="77777777" w:rsidR="008E1B31" w:rsidRDefault="00000000">
      <w:pPr>
        <w:spacing w:after="160" w:line="320" w:lineRule="auto"/>
        <w:jc w:val="both"/>
      </w:pPr>
      <w:r>
        <w:t>L = D − A</w:t>
      </w:r>
    </w:p>
    <w:p w14:paraId="36BCFDDB" w14:textId="77777777" w:rsidR="008E1B31" w:rsidRDefault="00000000">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000000">
      <w:pPr>
        <w:spacing w:after="160" w:line="320" w:lineRule="auto"/>
        <w:jc w:val="both"/>
      </w:pPr>
      <w:r>
        <w:rPr>
          <w:b/>
          <w:bCs/>
        </w:rPr>
        <w:t>A.2.2 The Cushing subnetwork</w:t>
      </w:r>
    </w:p>
    <w:p w14:paraId="36BCFDDD" w14:textId="77777777" w:rsidR="008E1B31" w:rsidRDefault="00000000">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000000">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000000">
      <w:pPr>
        <w:spacing w:after="160" w:line="320" w:lineRule="auto"/>
        <w:jc w:val="both"/>
      </w:pPr>
      <w:r>
        <w:t xml:space="preserve">The eigenvectors of L can be computed by solving </w:t>
      </w:r>
      <w:proofErr w:type="gramStart"/>
      <w:r>
        <w:t>det(</w:t>
      </w:r>
      <w:proofErr w:type="gramEnd"/>
      <w:r>
        <w:t xml:space="preserve">L − </w:t>
      </w:r>
      <w:proofErr w:type="spellStart"/>
      <w:r>
        <w:t>λI</w:t>
      </w:r>
      <w:proofErr w:type="spellEnd"/>
      <w:r>
        <w:t>)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000000">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000000">
      <w:pPr>
        <w:pStyle w:val="Heading1"/>
        <w:pageBreakBefore/>
      </w:pPr>
      <w:r>
        <w:lastRenderedPageBreak/>
        <w:t xml:space="preserve">A.3 </w:t>
      </w:r>
      <w:proofErr w:type="spellStart"/>
      <w:r>
        <w:t>DeepWalk</w:t>
      </w:r>
      <w:proofErr w:type="spellEnd"/>
      <w:r>
        <w:t xml:space="preserve"> and node2vec — Random Walk Embeddings</w:t>
      </w:r>
    </w:p>
    <w:p w14:paraId="36BCFDE2" w14:textId="77777777" w:rsidR="008E1B31" w:rsidRDefault="00000000">
      <w:pPr>
        <w:spacing w:after="160" w:line="320" w:lineRule="auto"/>
        <w:jc w:val="both"/>
      </w:pPr>
      <w:proofErr w:type="spellStart"/>
      <w:r>
        <w:t>DeepWalk</w:t>
      </w:r>
      <w:proofErr w:type="spellEnd"/>
      <w:r>
        <w:t xml:space="preserve">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000000">
      <w:pPr>
        <w:spacing w:after="160" w:line="320" w:lineRule="auto"/>
        <w:jc w:val="both"/>
      </w:pPr>
      <w:r>
        <w:t xml:space="preserve">A random walk starts at a node, hops to a randomly chosen neighbour, hops again from there, and repeats for a fixed number of steps. By generating thousands of such walks and training a Skip-gram model on the resulting sequences — predicting which nodes tend to co-occur — </w:t>
      </w:r>
      <w:proofErr w:type="spellStart"/>
      <w:r>
        <w:t>DeepWalk</w:t>
      </w:r>
      <w:proofErr w:type="spellEnd"/>
      <w:r>
        <w:t xml:space="preserve"> produces a vector for every node that encodes its structural neighbourhood. Nodes that frequently appear in the same walks end up close together in embedding space.</w:t>
      </w:r>
    </w:p>
    <w:p w14:paraId="36BCFDE4" w14:textId="77777777" w:rsidR="008E1B31" w:rsidRDefault="00000000">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000000">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000000">
      <w:pPr>
        <w:pStyle w:val="Heading1"/>
        <w:pageBreakBefore/>
      </w:pPr>
      <w:r>
        <w:lastRenderedPageBreak/>
        <w:t>A.4 Neural Message Passing — the GNN Mechanism</w:t>
      </w:r>
    </w:p>
    <w:p w14:paraId="36BCFDE7" w14:textId="77777777" w:rsidR="008E1B31" w:rsidRDefault="00000000">
      <w:pPr>
        <w:spacing w:after="160" w:line="320" w:lineRule="auto"/>
        <w:jc w:val="both"/>
      </w:pPr>
      <w:r>
        <w:t xml:space="preserve">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w:t>
      </w:r>
      <w:proofErr w:type="spellStart"/>
      <w:r>
        <w:t>GraphSAGE</w:t>
      </w:r>
      <w:proofErr w:type="spellEnd"/>
      <w:r>
        <w:t xml:space="preserve"> and other architectures are all special cases of the same three-step mechanism, applied layer by layer.</w:t>
      </w:r>
    </w:p>
    <w:p w14:paraId="36BCFDE8" w14:textId="77777777" w:rsidR="008E1B31" w:rsidRDefault="00000000">
      <w:pPr>
        <w:spacing w:after="160" w:line="320" w:lineRule="auto"/>
        <w:jc w:val="both"/>
      </w:pPr>
      <w:r>
        <w:rPr>
          <w:b/>
          <w:bCs/>
        </w:rPr>
        <w:t>A.4.1 The three steps</w:t>
      </w:r>
    </w:p>
    <w:p w14:paraId="36BCFDE9" w14:textId="77777777" w:rsidR="008E1B31" w:rsidRDefault="00000000">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000000">
      <w:pPr>
        <w:spacing w:after="80"/>
      </w:pPr>
      <w:r>
        <w:rPr>
          <w:sz w:val="12"/>
          <w:szCs w:val="12"/>
        </w:rPr>
        <w:t xml:space="preserve"> </w:t>
      </w:r>
    </w:p>
    <w:p w14:paraId="36BCFDEB" w14:textId="77777777" w:rsidR="008E1B31" w:rsidRDefault="00000000">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000000">
      <w:pPr>
        <w:spacing w:after="80"/>
      </w:pPr>
      <w:r>
        <w:rPr>
          <w:sz w:val="12"/>
          <w:szCs w:val="12"/>
        </w:rPr>
        <w:t xml:space="preserve"> </w:t>
      </w:r>
    </w:p>
    <w:p w14:paraId="36BCFDED" w14:textId="77777777" w:rsidR="008E1B31" w:rsidRDefault="00000000">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000000">
      <w:pPr>
        <w:spacing w:after="80"/>
      </w:pPr>
      <w:r>
        <w:rPr>
          <w:sz w:val="12"/>
          <w:szCs w:val="12"/>
        </w:rPr>
        <w:t xml:space="preserve"> </w:t>
      </w:r>
    </w:p>
    <w:p w14:paraId="36BCFDEF" w14:textId="77777777" w:rsidR="008E1B31" w:rsidRDefault="00000000">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000000">
      <w:pPr>
        <w:spacing w:after="160" w:line="320" w:lineRule="auto"/>
        <w:jc w:val="both"/>
      </w:pPr>
      <w:r>
        <w:rPr>
          <w:b/>
          <w:bCs/>
        </w:rPr>
        <w:t>A.4.2 The Cushing example</w:t>
      </w:r>
    </w:p>
    <w:p w14:paraId="36BCFDF1" w14:textId="77777777" w:rsidR="008E1B31" w:rsidRDefault="00000000">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000000">
      <w:pPr>
        <w:spacing w:after="160" w:line="320" w:lineRule="auto"/>
        <w:jc w:val="both"/>
      </w:pPr>
      <w:r>
        <w:t xml:space="preserve">—————-- ———— ————- ———— ————-   </w:t>
      </w:r>
      <w:r>
        <w:rPr>
          <w:b/>
          <w:bCs/>
        </w:rPr>
        <w:t>Variable</w:t>
      </w:r>
      <w:r>
        <w:t xml:space="preserve">      </w:t>
      </w:r>
      <w:r>
        <w:rPr>
          <w:b/>
          <w:bCs/>
        </w:rPr>
        <w:t xml:space="preserve">Permian    </w:t>
      </w:r>
      <w:r>
        <w:t xml:space="preserve">Gulf </w:t>
      </w:r>
      <w:proofErr w:type="gramStart"/>
      <w:r>
        <w:t xml:space="preserve">Coast  </w:t>
      </w:r>
      <w:r>
        <w:rPr>
          <w:b/>
          <w:bCs/>
        </w:rPr>
        <w:t>Cushing</w:t>
      </w:r>
      <w:proofErr w:type="gramEnd"/>
      <w:r>
        <w:rPr>
          <w:b/>
          <w:bCs/>
        </w:rPr>
        <w:t xml:space="preserve">    </w:t>
      </w:r>
      <w:r>
        <w:t xml:space="preserve">Refinery                  </w:t>
      </w:r>
      <w:proofErr w:type="gramStart"/>
      <w:r>
        <w:t xml:space="preserve">   (</w:t>
      </w:r>
      <w:proofErr w:type="gramEnd"/>
      <w:r>
        <w:t>node 1)</w:t>
      </w:r>
      <w:proofErr w:type="gramStart"/>
      <w:r>
        <w:rPr>
          <w:b/>
          <w:bCs/>
        </w:rPr>
        <w:t xml:space="preserve">   (</w:t>
      </w:r>
      <w:proofErr w:type="gramEnd"/>
      <w:r>
        <w:rPr>
          <w:b/>
          <w:bCs/>
        </w:rPr>
        <w:t>node 2)</w:t>
      </w:r>
      <w:r>
        <w:t xml:space="preserve"> </w:t>
      </w:r>
      <w:proofErr w:type="gramStart"/>
      <w:r>
        <w:t xml:space="preserve">   (</w:t>
      </w:r>
      <w:proofErr w:type="gramEnd"/>
      <w:r>
        <w:t>node 3)</w:t>
      </w:r>
      <w:proofErr w:type="gramStart"/>
      <w:r>
        <w:rPr>
          <w:b/>
          <w:bCs/>
        </w:rPr>
        <w:t xml:space="preserve">   (</w:t>
      </w:r>
      <w:proofErr w:type="gramEnd"/>
      <w:r>
        <w:rPr>
          <w:b/>
          <w:bCs/>
        </w:rPr>
        <w:t>node 4)</w:t>
      </w:r>
    </w:p>
    <w:p w14:paraId="36BCFDF3" w14:textId="77777777" w:rsidR="008E1B31" w:rsidRDefault="00000000">
      <w:pPr>
        <w:spacing w:after="160" w:line="320" w:lineRule="auto"/>
        <w:jc w:val="both"/>
      </w:pPr>
      <w:r>
        <w:rPr>
          <w:b/>
          <w:bCs/>
        </w:rPr>
        <w:t>Production      800          600           0            0</w:t>
      </w:r>
      <w:proofErr w:type="gramStart"/>
      <w:r>
        <w:rPr>
          <w:b/>
          <w:bCs/>
        </w:rPr>
        <w:t xml:space="preserve">   (</w:t>
      </w:r>
      <w:proofErr w:type="gramEnd"/>
      <w:r>
        <w:rPr>
          <w:b/>
          <w:bCs/>
        </w:rPr>
        <w:t>b/d)</w:t>
      </w:r>
    </w:p>
    <w:p w14:paraId="36BCFDF4" w14:textId="77777777" w:rsidR="008E1B31" w:rsidRDefault="00000000">
      <w:pPr>
        <w:spacing w:after="160" w:line="320" w:lineRule="auto"/>
        <w:jc w:val="both"/>
      </w:pPr>
      <w:r>
        <w:rPr>
          <w:b/>
          <w:bCs/>
        </w:rPr>
        <w:t>Inflow (b/d</w:t>
      </w:r>
      <w:proofErr w:type="gramStart"/>
      <w:r>
        <w:rPr>
          <w:b/>
          <w:bCs/>
        </w:rPr>
        <w:t>)</w:t>
      </w:r>
      <w:r>
        <w:t xml:space="preserve">  0</w:t>
      </w:r>
      <w:proofErr w:type="gramEnd"/>
      <w:r>
        <w:t xml:space="preserve">            0             1,400        950</w:t>
      </w:r>
    </w:p>
    <w:p w14:paraId="36BCFDF5" w14:textId="77777777" w:rsidR="008E1B31" w:rsidRDefault="00000000">
      <w:pPr>
        <w:spacing w:after="160" w:line="320" w:lineRule="auto"/>
        <w:jc w:val="both"/>
      </w:pPr>
      <w:r>
        <w:rPr>
          <w:b/>
          <w:bCs/>
        </w:rPr>
        <w:t>Inventory       0            0             45,000       0</w:t>
      </w:r>
      <w:proofErr w:type="gramStart"/>
      <w:r>
        <w:rPr>
          <w:b/>
          <w:bCs/>
        </w:rPr>
        <w:t xml:space="preserve">   (</w:t>
      </w:r>
      <w:proofErr w:type="spellStart"/>
      <w:proofErr w:type="gramEnd"/>
      <w:r>
        <w:rPr>
          <w:b/>
          <w:bCs/>
        </w:rPr>
        <w:t>bbls</w:t>
      </w:r>
      <w:proofErr w:type="spellEnd"/>
      <w:r>
        <w:rPr>
          <w:b/>
          <w:bCs/>
        </w:rPr>
        <w:t>)</w:t>
      </w:r>
    </w:p>
    <w:p w14:paraId="36BCFDF6" w14:textId="77777777" w:rsidR="008E1B31" w:rsidRDefault="00000000">
      <w:pPr>
        <w:spacing w:after="160" w:line="320" w:lineRule="auto"/>
        <w:jc w:val="both"/>
      </w:pPr>
      <w:r>
        <w:rPr>
          <w:b/>
          <w:bCs/>
        </w:rPr>
        <w:t>Outflow (b/d)</w:t>
      </w:r>
      <w:r>
        <w:t xml:space="preserve"> 800          600           1,350        950</w:t>
      </w:r>
    </w:p>
    <w:p w14:paraId="36BCFDF7" w14:textId="77777777" w:rsidR="008E1B31" w:rsidRDefault="00000000">
      <w:pPr>
        <w:spacing w:after="160" w:line="320" w:lineRule="auto"/>
        <w:jc w:val="both"/>
      </w:pPr>
      <w:r>
        <w:rPr>
          <w:b/>
          <w:bCs/>
        </w:rPr>
        <w:t>Utilisation</w:t>
      </w:r>
      <w:r>
        <w:t xml:space="preserve">   0.82         0.71          0.68         0.91   —————-- ———— ————- ———— ————-</w:t>
      </w:r>
    </w:p>
    <w:p w14:paraId="36BCFDF8" w14:textId="77777777" w:rsidR="008E1B31" w:rsidRDefault="00000000">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000000">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000000">
      <w:pPr>
        <w:spacing w:after="160" w:line="320" w:lineRule="auto"/>
        <w:jc w:val="both"/>
      </w:pPr>
      <w:r>
        <w:lastRenderedPageBreak/>
        <w:t xml:space="preserve">In Round 1, each neighbour sends a message — a learned transformation W × </w:t>
      </w:r>
      <w:proofErr w:type="spellStart"/>
      <w:r>
        <w:t>feature_vector</w:t>
      </w:r>
      <w:proofErr w:type="spellEnd"/>
      <w:r>
        <w:t xml:space="preserve"> — to Cushing. Cushing averages the three messages and combines the result with its own features:</w:t>
      </w:r>
    </w:p>
    <w:p w14:paraId="36BCFDFB" w14:textId="77777777" w:rsidR="008E1B31" w:rsidRDefault="00000000">
      <w:pPr>
        <w:spacing w:after="160" w:line="320" w:lineRule="auto"/>
        <w:jc w:val="both"/>
      </w:pPr>
      <w:r>
        <w:t xml:space="preserve">New representation = </w:t>
      </w:r>
      <w:proofErr w:type="spellStart"/>
      <w:proofErr w:type="gramStart"/>
      <w:r>
        <w:t>ReLU</w:t>
      </w:r>
      <w:proofErr w:type="spellEnd"/>
      <w:r>
        <w:t xml:space="preserve">( </w:t>
      </w:r>
      <w:proofErr w:type="spellStart"/>
      <w:r>
        <w:t>W</w:t>
      </w:r>
      <w:proofErr w:type="gramEnd"/>
      <w:r>
        <w:t>_self</w:t>
      </w:r>
      <w:proofErr w:type="spellEnd"/>
      <w:r>
        <w:t xml:space="preserve"> × </w:t>
      </w:r>
      <w:proofErr w:type="gramStart"/>
      <w:r>
        <w:t>\[</w:t>
      </w:r>
      <w:proofErr w:type="gramEnd"/>
      <w:r>
        <w:t xml:space="preserve">0, 1400, 45000, 1350, 0.68\] \+ </w:t>
      </w:r>
      <w:proofErr w:type="spellStart"/>
      <w:r>
        <w:t>W_neigh</w:t>
      </w:r>
      <w:proofErr w:type="spellEnd"/>
      <w:r>
        <w:t xml:space="preserve"> × </w:t>
      </w:r>
      <w:proofErr w:type="spellStart"/>
      <w:proofErr w:type="gramStart"/>
      <w:r>
        <w:t>avg</w:t>
      </w:r>
      <w:proofErr w:type="spellEnd"/>
      <w:r>
        <w:t>(</w:t>
      </w:r>
      <w:proofErr w:type="spellStart"/>
      <w:proofErr w:type="gramEnd"/>
      <w:r>
        <w:t>msg_Permian</w:t>
      </w:r>
      <w:proofErr w:type="spellEnd"/>
      <w:r>
        <w:t xml:space="preserve">, </w:t>
      </w:r>
      <w:proofErr w:type="spellStart"/>
      <w:r>
        <w:t>msg_Gulf</w:t>
      </w:r>
      <w:proofErr w:type="spellEnd"/>
      <w:r>
        <w:t xml:space="preserve">, </w:t>
      </w:r>
      <w:proofErr w:type="spellStart"/>
      <w:r>
        <w:t>msg_Refinery</w:t>
      </w:r>
      <w:proofErr w:type="spellEnd"/>
      <w:proofErr w:type="gramStart"/>
      <w:r>
        <w:t>) )</w:t>
      </w:r>
      <w:proofErr w:type="gramEnd"/>
    </w:p>
    <w:p w14:paraId="36BCFDFC" w14:textId="77777777" w:rsidR="008E1B31" w:rsidRDefault="00000000">
      <w:pPr>
        <w:spacing w:after="160" w:line="320" w:lineRule="auto"/>
        <w:jc w:val="both"/>
      </w:pPr>
      <w:r>
        <w:t xml:space="preserve">The weight matrices </w:t>
      </w:r>
      <w:proofErr w:type="spellStart"/>
      <w:r>
        <w:t>W_self</w:t>
      </w:r>
      <w:proofErr w:type="spellEnd"/>
      <w:r>
        <w:t xml:space="preserve"> and </w:t>
      </w:r>
      <w:proofErr w:type="spellStart"/>
      <w:r>
        <w:t>W_neigh</w:t>
      </w:r>
      <w:proofErr w:type="spellEnd"/>
      <w:r>
        <w:t xml:space="preserve">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000000">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000000">
      <w:pPr>
        <w:pStyle w:val="Heading1"/>
        <w:pageBreakBefore/>
      </w:pPr>
      <w:r>
        <w:lastRenderedPageBreak/>
        <w:t>A.5 Graph Convolutional Networks (GCN)</w:t>
      </w:r>
    </w:p>
    <w:p w14:paraId="36BCFDFF" w14:textId="77777777" w:rsidR="008E1B31" w:rsidRDefault="00000000">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000000">
      <w:pPr>
        <w:spacing w:after="160" w:line="320" w:lineRule="auto"/>
        <w:jc w:val="both"/>
      </w:pPr>
      <w:r>
        <w:rPr>
          <w:b/>
          <w:bCs/>
        </w:rPr>
        <w:t>A.5.1 From spectral convolution to GCN</w:t>
      </w:r>
    </w:p>
    <w:p w14:paraId="36BCFE01" w14:textId="77777777" w:rsidR="008E1B31" w:rsidRDefault="00000000">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000000">
      <w:pPr>
        <w:spacing w:after="160" w:line="320" w:lineRule="auto"/>
        <w:jc w:val="both"/>
      </w:pPr>
      <w:r>
        <w:rPr>
          <w:b/>
          <w:bCs/>
        </w:rPr>
        <w:t>A.5.2 The GCN layer formula</w:t>
      </w:r>
    </w:p>
    <w:p w14:paraId="36BCFE03" w14:textId="77777777" w:rsidR="008E1B31" w:rsidRDefault="00000000">
      <w:pPr>
        <w:spacing w:after="160" w:line="320" w:lineRule="auto"/>
        <w:jc w:val="both"/>
      </w:pPr>
      <w:r>
        <w:t xml:space="preserve">H⁽ˡ⁺¹⁾ = </w:t>
      </w:r>
      <w:proofErr w:type="gramStart"/>
      <w:r>
        <w:t>σ( D̃</w:t>
      </w:r>
      <w:proofErr w:type="gramEnd"/>
      <w:r>
        <w:t xml:space="preserve">⁻¹/² Ã D̃⁻¹/² </w:t>
      </w:r>
      <w:proofErr w:type="spellStart"/>
      <w:r>
        <w:t>H⁽ˡ</w:t>
      </w:r>
      <w:proofErr w:type="spellEnd"/>
      <w:r>
        <w:t xml:space="preserve">⁾ </w:t>
      </w:r>
      <w:proofErr w:type="spellStart"/>
      <w:r>
        <w:t>W⁽ˡ</w:t>
      </w:r>
      <w:proofErr w:type="spellEnd"/>
      <w:proofErr w:type="gramStart"/>
      <w:r>
        <w:t>⁾ )</w:t>
      </w:r>
      <w:proofErr w:type="gramEnd"/>
    </w:p>
    <w:p w14:paraId="36BCFE04" w14:textId="77777777" w:rsidR="008E1B31" w:rsidRDefault="00000000">
      <w:pPr>
        <w:spacing w:after="160" w:line="320" w:lineRule="auto"/>
        <w:jc w:val="both"/>
      </w:pPr>
      <w:r>
        <w:t xml:space="preserve">where Ã = A + I </w:t>
      </w:r>
      <w:proofErr w:type="gramStart"/>
      <w:r>
        <w:t>is</w:t>
      </w:r>
      <w:proofErr w:type="gramEnd"/>
      <w:r>
        <w:t xml:space="preserve"> the adjacency matrix with self-loops added, D̃ is the corresponding degree matrix, </w:t>
      </w:r>
      <w:proofErr w:type="spellStart"/>
      <w:r>
        <w:t>H⁽ˡ</w:t>
      </w:r>
      <w:proofErr w:type="spellEnd"/>
      <w:r>
        <w:t xml:space="preserve">⁾ is the matrix of node representations at layer l, </w:t>
      </w:r>
      <w:proofErr w:type="spellStart"/>
      <w:r>
        <w:t>W⁽ˡ</w:t>
      </w:r>
      <w:proofErr w:type="spellEnd"/>
      <w:r>
        <w:t>⁾ is a learned weight matrix, and σ is a non-linear activation function (</w:t>
      </w:r>
      <w:proofErr w:type="spellStart"/>
      <w:r>
        <w:t>ReLU</w:t>
      </w:r>
      <w:proofErr w:type="spellEnd"/>
      <w:r>
        <w:t>).</w:t>
      </w:r>
    </w:p>
    <w:p w14:paraId="36BCFE05" w14:textId="77777777" w:rsidR="008E1B31" w:rsidRDefault="00000000">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000000">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000000">
      <w:pPr>
        <w:pStyle w:val="Heading1"/>
        <w:pageBreakBefore/>
      </w:pPr>
      <w:r>
        <w:lastRenderedPageBreak/>
        <w:t xml:space="preserve">A.6 Attention and Inductive Learning — GAT and </w:t>
      </w:r>
      <w:proofErr w:type="spellStart"/>
      <w:r>
        <w:t>GraphSAGE</w:t>
      </w:r>
      <w:proofErr w:type="spellEnd"/>
    </w:p>
    <w:p w14:paraId="36BCFE08" w14:textId="77777777" w:rsidR="008E1B31" w:rsidRDefault="00000000">
      <w:pPr>
        <w:spacing w:after="160" w:line="320" w:lineRule="auto"/>
        <w:jc w:val="both"/>
      </w:pPr>
      <w:r>
        <w:t>GCN applies the same aggregation weight to all neighbours. Two extensions address this limitation.</w:t>
      </w:r>
    </w:p>
    <w:p w14:paraId="36BCFE09" w14:textId="77777777" w:rsidR="008E1B31" w:rsidRDefault="00000000">
      <w:pPr>
        <w:spacing w:after="160" w:line="320" w:lineRule="auto"/>
        <w:jc w:val="both"/>
      </w:pPr>
      <w:r>
        <w:t>GAT (</w:t>
      </w:r>
      <w:proofErr w:type="spellStart"/>
      <w:r>
        <w:t>Veličković</w:t>
      </w:r>
      <w:proofErr w:type="spellEnd"/>
      <w:r>
        <w:t xml:space="preserve">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000000">
      <w:pPr>
        <w:spacing w:after="160" w:line="320" w:lineRule="auto"/>
        <w:jc w:val="both"/>
      </w:pPr>
      <w:proofErr w:type="spellStart"/>
      <w:r>
        <w:t>GraphSAGE</w:t>
      </w:r>
      <w:proofErr w:type="spellEnd"/>
      <w:r>
        <w:t xml:space="preserv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000000">
      <w:pPr>
        <w:pStyle w:val="Heading1"/>
        <w:pageBreakBefore/>
      </w:pPr>
      <w:r>
        <w:lastRenderedPageBreak/>
        <w:t>A.7 Temporal Extensions — TGAT, TGN, and Hybrid Architectures</w:t>
      </w:r>
    </w:p>
    <w:p w14:paraId="36BCFE0C" w14:textId="77777777" w:rsidR="008E1B31" w:rsidRDefault="00000000">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000000">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000000">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000000">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000000">
      <w:pPr>
        <w:pStyle w:val="Heading1"/>
        <w:pageBreakBefore/>
      </w:pPr>
      <w:r>
        <w:lastRenderedPageBreak/>
        <w:t>References</w:t>
      </w:r>
    </w:p>
    <w:p w14:paraId="36BCFE11" w14:textId="77777777" w:rsidR="008E1B31" w:rsidRDefault="00000000">
      <w:pPr>
        <w:spacing w:after="160" w:line="320" w:lineRule="auto"/>
        <w:jc w:val="both"/>
      </w:pPr>
      <w:r>
        <w:t xml:space="preserve">Gilmer, J., Schoenholz, S. S., Riley, P. F., </w:t>
      </w:r>
      <w:proofErr w:type="spellStart"/>
      <w:r>
        <w:t>Vinyals</w:t>
      </w:r>
      <w:proofErr w:type="spellEnd"/>
      <w:r>
        <w:t>, O., and Dahl, G. E. (2017). Neural Message Passing for Quantum Chemistry. ICML.</w:t>
      </w:r>
    </w:p>
    <w:p w14:paraId="36BCFE12" w14:textId="77777777" w:rsidR="008E1B31" w:rsidRDefault="00000000">
      <w:pPr>
        <w:spacing w:after="160" w:line="320" w:lineRule="auto"/>
        <w:jc w:val="both"/>
      </w:pPr>
      <w:r>
        <w:t>Grover, A. and Leskovec, J. (2016). node2vec: Scalable Feature Learning for Networks. KDD.</w:t>
      </w:r>
    </w:p>
    <w:p w14:paraId="36BCFE13" w14:textId="77777777" w:rsidR="008E1B31" w:rsidRDefault="00000000">
      <w:pPr>
        <w:spacing w:after="160" w:line="320" w:lineRule="auto"/>
        <w:jc w:val="both"/>
      </w:pPr>
      <w:r>
        <w:t xml:space="preserve">Hamilton, W. L., Ying, Z., and Leskovec, J. (2017). Inductive Representation Learning on Large Graphs. </w:t>
      </w:r>
      <w:proofErr w:type="spellStart"/>
      <w:r>
        <w:t>NeurIPS</w:t>
      </w:r>
      <w:proofErr w:type="spellEnd"/>
      <w:r>
        <w:t>.</w:t>
      </w:r>
    </w:p>
    <w:p w14:paraId="36BCFE14" w14:textId="77777777" w:rsidR="008E1B31" w:rsidRDefault="00000000">
      <w:pPr>
        <w:spacing w:after="160" w:line="320" w:lineRule="auto"/>
        <w:jc w:val="both"/>
      </w:pPr>
      <w:r>
        <w:t>Kipf, T. N. and Welling, M. (2017). Semi-Supervised Classification with Graph Convolutional Networks. ICLR.</w:t>
      </w:r>
    </w:p>
    <w:p w14:paraId="36BCFE15" w14:textId="77777777" w:rsidR="008E1B31" w:rsidRDefault="00000000">
      <w:pPr>
        <w:spacing w:after="160" w:line="320" w:lineRule="auto"/>
        <w:jc w:val="both"/>
      </w:pPr>
      <w:r>
        <w:t>Li, Y., Yu, R., Shahabi, C., and Liu, Y. (2018). Diffusion Convolutional Recurrent Neural Network. ICLR.</w:t>
      </w:r>
    </w:p>
    <w:p w14:paraId="36BCFE16" w14:textId="77777777" w:rsidR="008E1B31" w:rsidRDefault="00000000">
      <w:pPr>
        <w:spacing w:after="160" w:line="320" w:lineRule="auto"/>
        <w:jc w:val="both"/>
      </w:pPr>
      <w:r>
        <w:t>Perozzi, B., Al-</w:t>
      </w:r>
      <w:proofErr w:type="spellStart"/>
      <w:r>
        <w:t>Rfou</w:t>
      </w:r>
      <w:proofErr w:type="spellEnd"/>
      <w:r>
        <w:t xml:space="preserve">, R., and </w:t>
      </w:r>
      <w:proofErr w:type="spellStart"/>
      <w:r>
        <w:t>Skiena</w:t>
      </w:r>
      <w:proofErr w:type="spellEnd"/>
      <w:r>
        <w:t xml:space="preserve">, S. (2014). </w:t>
      </w:r>
      <w:proofErr w:type="spellStart"/>
      <w:r>
        <w:t>DeepWalk</w:t>
      </w:r>
      <w:proofErr w:type="spellEnd"/>
      <w:r>
        <w:t>: Online Learning of Social Representations. KDD.</w:t>
      </w:r>
    </w:p>
    <w:p w14:paraId="36BCFE17" w14:textId="77777777" w:rsidR="008E1B31" w:rsidRDefault="00000000">
      <w:pPr>
        <w:spacing w:after="160" w:line="320" w:lineRule="auto"/>
        <w:jc w:val="both"/>
      </w:pPr>
      <w:r>
        <w:t xml:space="preserve">Rossi, E., Chamberlain, B., Frasca, F., </w:t>
      </w:r>
      <w:proofErr w:type="spellStart"/>
      <w:r>
        <w:t>Eynard</w:t>
      </w:r>
      <w:proofErr w:type="spellEnd"/>
      <w:r>
        <w:t>, D., Bronstein, M., and Monti, F. (2020). Temporal Graph Networks. ICML Workshop.</w:t>
      </w:r>
    </w:p>
    <w:p w14:paraId="36BCFE18" w14:textId="77777777" w:rsidR="008E1B31" w:rsidRDefault="00000000">
      <w:pPr>
        <w:spacing w:after="160" w:line="320" w:lineRule="auto"/>
        <w:jc w:val="both"/>
      </w:pPr>
      <w:proofErr w:type="spellStart"/>
      <w:r>
        <w:t>Veličković</w:t>
      </w:r>
      <w:proofErr w:type="spellEnd"/>
      <w:r>
        <w:t xml:space="preserve">, P., </w:t>
      </w:r>
      <w:proofErr w:type="spellStart"/>
      <w:r>
        <w:t>Cucurull</w:t>
      </w:r>
      <w:proofErr w:type="spellEnd"/>
      <w:r>
        <w:t xml:space="preserve">, G., Casanova, A., Romero, A., </w:t>
      </w:r>
      <w:proofErr w:type="spellStart"/>
      <w:r>
        <w:t>Liò</w:t>
      </w:r>
      <w:proofErr w:type="spellEnd"/>
      <w:r>
        <w:t>, P., and Bengio, Y. (2018). Graph Attention Networks. ICLR.</w:t>
      </w:r>
    </w:p>
    <w:p w14:paraId="36BCFE19" w14:textId="77777777" w:rsidR="008E1B31" w:rsidRDefault="00000000">
      <w:pPr>
        <w:spacing w:after="160" w:line="320" w:lineRule="auto"/>
        <w:jc w:val="both"/>
      </w:pPr>
      <w:r>
        <w:t>Xu, D., Rong, Y., Huang, J., Zhu, W., and Leskovec, J. (2020). Inductive Representation Learning on Temporal Graphs. ICLR.</w:t>
      </w:r>
    </w:p>
    <w:p w14:paraId="36BCFE1A"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1B" w14:textId="77777777" w:rsidR="008E1B31" w:rsidRDefault="00000000">
      <w:pPr>
        <w:spacing w:after="160" w:line="320" w:lineRule="auto"/>
        <w:jc w:val="both"/>
      </w:pPr>
      <w:r>
        <w:rPr>
          <w:b/>
          <w:bCs/>
        </w:rPr>
        <w:t>Annex B</w:t>
      </w:r>
    </w:p>
    <w:p w14:paraId="36BCFE1C" w14:textId="77777777" w:rsidR="008E1B31" w:rsidRDefault="00000000">
      <w:pPr>
        <w:spacing w:after="160" w:line="320" w:lineRule="auto"/>
        <w:jc w:val="both"/>
      </w:pPr>
      <w:r>
        <w:rPr>
          <w:b/>
          <w:bCs/>
        </w:rPr>
        <w:t>Location-Centric vs Asset-Centric Graph Representations</w:t>
      </w:r>
    </w:p>
    <w:p w14:paraId="36BCFE1D" w14:textId="77777777" w:rsidR="008E1B31" w:rsidRDefault="00000000">
      <w:pPr>
        <w:spacing w:after="160" w:line="320" w:lineRule="auto"/>
        <w:jc w:val="both"/>
      </w:pPr>
      <w:r>
        <w:rPr>
          <w:i/>
          <w:iCs/>
        </w:rPr>
        <w:t>With the Cushing Terminal as a Worked Example and the Balancing Item in the Mass Balance Equation</w:t>
      </w:r>
    </w:p>
    <w:p w14:paraId="36BCFE1E" w14:textId="77777777" w:rsidR="008E1B31" w:rsidRDefault="00000000">
      <w:pPr>
        <w:spacing w:after="160" w:line="320" w:lineRule="auto"/>
        <w:jc w:val="both"/>
      </w:pPr>
      <w:r>
        <w:rPr>
          <w:i/>
          <w:iCs/>
        </w:rPr>
        <w:t>Supporting material for Section 2.1 of the thesis</w:t>
      </w:r>
    </w:p>
    <w:p w14:paraId="36BCFE1F" w14:textId="77777777" w:rsidR="008E1B31" w:rsidRDefault="00000000">
      <w:pPr>
        <w:pStyle w:val="Heading1"/>
        <w:pageBreakBefore/>
      </w:pPr>
      <w:r>
        <w:lastRenderedPageBreak/>
        <w:t>Summary</w:t>
      </w:r>
    </w:p>
    <w:p w14:paraId="36BCFE20" w14:textId="77777777" w:rsidR="008E1B31" w:rsidRDefault="00000000">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000000">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000000">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000000">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000000">
      <w:pPr>
        <w:pStyle w:val="Heading1"/>
        <w:pageBreakBefore/>
      </w:pPr>
      <w:r>
        <w:lastRenderedPageBreak/>
        <w:t>B.1 Overview</w:t>
      </w:r>
    </w:p>
    <w:p w14:paraId="36BCFE25" w14:textId="77777777" w:rsidR="008E1B31" w:rsidRDefault="00000000">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000000">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000000">
      <w:pPr>
        <w:spacing w:after="160" w:line="320" w:lineRule="auto"/>
        <w:jc w:val="both"/>
      </w:pPr>
      <w:r>
        <w:t>The annex is structured as follows:</w:t>
      </w:r>
    </w:p>
    <w:p w14:paraId="36BCFE28" w14:textId="77777777" w:rsidR="008E1B31" w:rsidRDefault="00000000">
      <w:pPr>
        <w:pStyle w:val="ListParagraph"/>
        <w:numPr>
          <w:ilvl w:val="0"/>
          <w:numId w:val="2"/>
        </w:numPr>
        <w:spacing w:after="80" w:line="320" w:lineRule="auto"/>
        <w:jc w:val="both"/>
      </w:pPr>
      <w:r>
        <w:t>B.2 — Location-centric representation: pipelines as edges.</w:t>
      </w:r>
    </w:p>
    <w:p w14:paraId="36BCFE29" w14:textId="77777777" w:rsidR="008E1B31" w:rsidRDefault="00000000">
      <w:pPr>
        <w:spacing w:after="80"/>
      </w:pPr>
      <w:r>
        <w:rPr>
          <w:sz w:val="12"/>
          <w:szCs w:val="12"/>
        </w:rPr>
        <w:t xml:space="preserve"> </w:t>
      </w:r>
    </w:p>
    <w:p w14:paraId="36BCFE2A" w14:textId="77777777" w:rsidR="008E1B31" w:rsidRDefault="00000000">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000000">
      <w:pPr>
        <w:spacing w:after="80"/>
      </w:pPr>
      <w:r>
        <w:rPr>
          <w:sz w:val="12"/>
          <w:szCs w:val="12"/>
        </w:rPr>
        <w:t xml:space="preserve"> </w:t>
      </w:r>
    </w:p>
    <w:p w14:paraId="36BCFE2C" w14:textId="77777777" w:rsidR="008E1B31" w:rsidRDefault="00000000">
      <w:pPr>
        <w:pStyle w:val="ListParagraph"/>
        <w:numPr>
          <w:ilvl w:val="0"/>
          <w:numId w:val="2"/>
        </w:numPr>
        <w:spacing w:after="80" w:line="320" w:lineRule="auto"/>
        <w:jc w:val="both"/>
      </w:pPr>
      <w:r>
        <w:t>B.4 — Comparison: when each convention is appropriate.</w:t>
      </w:r>
    </w:p>
    <w:p w14:paraId="36BCFE2D" w14:textId="77777777" w:rsidR="008E1B31" w:rsidRDefault="00000000">
      <w:pPr>
        <w:spacing w:after="80"/>
      </w:pPr>
      <w:r>
        <w:rPr>
          <w:sz w:val="12"/>
          <w:szCs w:val="12"/>
        </w:rPr>
        <w:t xml:space="preserve"> </w:t>
      </w:r>
    </w:p>
    <w:p w14:paraId="36BCFE2E" w14:textId="77777777" w:rsidR="008E1B31" w:rsidRDefault="00000000">
      <w:pPr>
        <w:pStyle w:val="ListParagraph"/>
        <w:numPr>
          <w:ilvl w:val="0"/>
          <w:numId w:val="2"/>
        </w:numPr>
        <w:spacing w:after="80" w:line="320" w:lineRule="auto"/>
        <w:jc w:val="both"/>
      </w:pPr>
      <w:r>
        <w:t>B.5 — The mass balance equation and the balancing item.</w:t>
      </w:r>
    </w:p>
    <w:p w14:paraId="36BCFE2F" w14:textId="77777777" w:rsidR="008E1B31" w:rsidRDefault="00000000">
      <w:pPr>
        <w:spacing w:after="80"/>
      </w:pPr>
      <w:r>
        <w:rPr>
          <w:sz w:val="12"/>
          <w:szCs w:val="12"/>
        </w:rPr>
        <w:t xml:space="preserve"> </w:t>
      </w:r>
    </w:p>
    <w:p w14:paraId="36BCFE30" w14:textId="77777777" w:rsidR="008E1B31" w:rsidRDefault="00000000">
      <w:pPr>
        <w:pStyle w:val="ListParagraph"/>
        <w:numPr>
          <w:ilvl w:val="0"/>
          <w:numId w:val="2"/>
        </w:numPr>
        <w:spacing w:after="80" w:line="320" w:lineRule="auto"/>
        <w:jc w:val="both"/>
      </w:pPr>
      <w:r>
        <w:t>B.6 — Implications for the GNN model in this thesis.</w:t>
      </w:r>
    </w:p>
    <w:p w14:paraId="36BCFE31" w14:textId="77777777" w:rsidR="008E1B31" w:rsidRDefault="00000000">
      <w:pPr>
        <w:spacing w:after="80"/>
      </w:pPr>
      <w:r>
        <w:rPr>
          <w:sz w:val="12"/>
          <w:szCs w:val="12"/>
        </w:rPr>
        <w:t xml:space="preserve"> </w:t>
      </w:r>
    </w:p>
    <w:p w14:paraId="36BCFE32" w14:textId="77777777" w:rsidR="008E1B31" w:rsidRDefault="00000000">
      <w:pPr>
        <w:pStyle w:val="ListParagraph"/>
        <w:numPr>
          <w:ilvl w:val="0"/>
          <w:numId w:val="2"/>
        </w:numPr>
        <w:spacing w:after="80" w:line="320" w:lineRule="auto"/>
        <w:jc w:val="both"/>
      </w:pPr>
      <w:r>
        <w:t>B.7 — Persistent asset graph and scenario graph separation.</w:t>
      </w:r>
    </w:p>
    <w:p w14:paraId="36BCFE33" w14:textId="77777777" w:rsidR="008E1B31" w:rsidRDefault="00000000">
      <w:pPr>
        <w:spacing w:after="80"/>
      </w:pPr>
      <w:r>
        <w:rPr>
          <w:sz w:val="12"/>
          <w:szCs w:val="12"/>
        </w:rPr>
        <w:t xml:space="preserve"> </w:t>
      </w:r>
    </w:p>
    <w:p w14:paraId="36BCFE34" w14:textId="77777777" w:rsidR="008E1B31" w:rsidRDefault="00000000">
      <w:pPr>
        <w:pStyle w:val="ListParagraph"/>
        <w:numPr>
          <w:ilvl w:val="0"/>
          <w:numId w:val="2"/>
        </w:numPr>
        <w:spacing w:after="80" w:line="320" w:lineRule="auto"/>
        <w:jc w:val="both"/>
      </w:pPr>
      <w:r>
        <w:t>B.8 — The observational aggregation layer.</w:t>
      </w:r>
    </w:p>
    <w:p w14:paraId="36BCFE35" w14:textId="77777777" w:rsidR="008E1B31" w:rsidRDefault="00000000">
      <w:pPr>
        <w:spacing w:after="80"/>
      </w:pPr>
      <w:r>
        <w:rPr>
          <w:sz w:val="12"/>
          <w:szCs w:val="12"/>
        </w:rPr>
        <w:t xml:space="preserve"> </w:t>
      </w:r>
    </w:p>
    <w:p w14:paraId="36BCFE36" w14:textId="77777777" w:rsidR="008E1B31" w:rsidRDefault="00000000">
      <w:pPr>
        <w:pStyle w:val="ListParagraph"/>
        <w:numPr>
          <w:ilvl w:val="0"/>
          <w:numId w:val="2"/>
        </w:numPr>
        <w:spacing w:after="80" w:line="320" w:lineRule="auto"/>
        <w:jc w:val="both"/>
      </w:pPr>
      <w:r>
        <w:t>B.9 — Geography metadata and administrative aggregations.</w:t>
      </w:r>
    </w:p>
    <w:p w14:paraId="36BCFE37" w14:textId="77777777" w:rsidR="008E1B31" w:rsidRDefault="00000000">
      <w:pPr>
        <w:spacing w:after="80"/>
      </w:pPr>
      <w:r>
        <w:rPr>
          <w:sz w:val="12"/>
          <w:szCs w:val="12"/>
        </w:rPr>
        <w:t xml:space="preserve"> </w:t>
      </w:r>
    </w:p>
    <w:p w14:paraId="36BCFE38" w14:textId="77777777" w:rsidR="008E1B31" w:rsidRDefault="00000000">
      <w:pPr>
        <w:pStyle w:val="ListParagraph"/>
        <w:numPr>
          <w:ilvl w:val="0"/>
          <w:numId w:val="2"/>
        </w:numPr>
        <w:spacing w:after="80" w:line="320" w:lineRule="auto"/>
        <w:jc w:val="both"/>
      </w:pPr>
      <w:r>
        <w:t>B.10 — Resolution hierarchy and forward compatibility.</w:t>
      </w:r>
    </w:p>
    <w:p w14:paraId="36BCFE39" w14:textId="77777777" w:rsidR="008E1B31" w:rsidRDefault="00000000">
      <w:pPr>
        <w:spacing w:after="80"/>
      </w:pPr>
      <w:r>
        <w:rPr>
          <w:sz w:val="12"/>
          <w:szCs w:val="12"/>
        </w:rPr>
        <w:t xml:space="preserve"> </w:t>
      </w:r>
    </w:p>
    <w:p w14:paraId="36BCFE3A" w14:textId="77777777" w:rsidR="008E1B31" w:rsidRDefault="00000000">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000000">
      <w:pPr>
        <w:spacing w:after="80"/>
      </w:pPr>
      <w:r>
        <w:rPr>
          <w:sz w:val="12"/>
          <w:szCs w:val="12"/>
        </w:rPr>
        <w:t xml:space="preserve"> </w:t>
      </w:r>
    </w:p>
    <w:p w14:paraId="36BCFE3C" w14:textId="77777777" w:rsidR="008E1B31" w:rsidRDefault="00000000">
      <w:pPr>
        <w:pStyle w:val="ListParagraph"/>
        <w:numPr>
          <w:ilvl w:val="0"/>
          <w:numId w:val="2"/>
        </w:numPr>
        <w:spacing w:after="80" w:line="320" w:lineRule="auto"/>
        <w:jc w:val="both"/>
      </w:pPr>
      <w:r>
        <w:t>B.12 — Junction nodes, collapsed states, and latent allocation.</w:t>
      </w:r>
    </w:p>
    <w:p w14:paraId="36BCFE3D" w14:textId="77777777" w:rsidR="008E1B31" w:rsidRDefault="00000000">
      <w:pPr>
        <w:spacing w:after="80"/>
      </w:pPr>
      <w:r>
        <w:rPr>
          <w:sz w:val="12"/>
          <w:szCs w:val="12"/>
        </w:rPr>
        <w:t xml:space="preserve"> </w:t>
      </w:r>
    </w:p>
    <w:p w14:paraId="36BCFE3E" w14:textId="77777777" w:rsidR="008E1B31" w:rsidRDefault="00000000">
      <w:pPr>
        <w:pStyle w:val="ListParagraph"/>
        <w:numPr>
          <w:ilvl w:val="0"/>
          <w:numId w:val="2"/>
        </w:numPr>
        <w:spacing w:after="80" w:line="320" w:lineRule="auto"/>
        <w:jc w:val="both"/>
      </w:pPr>
      <w:r>
        <w:t>B.13 — Summary and position in the thesis.</w:t>
      </w:r>
    </w:p>
    <w:p w14:paraId="36BCFE3F" w14:textId="77777777" w:rsidR="008E1B31" w:rsidRDefault="00000000">
      <w:pPr>
        <w:spacing w:after="80"/>
      </w:pPr>
      <w:r>
        <w:rPr>
          <w:sz w:val="12"/>
          <w:szCs w:val="12"/>
        </w:rPr>
        <w:t xml:space="preserve"> </w:t>
      </w:r>
    </w:p>
    <w:p w14:paraId="36BCFE40" w14:textId="77777777" w:rsidR="008E1B31" w:rsidRDefault="00000000">
      <w:pPr>
        <w:pStyle w:val="Heading1"/>
        <w:pageBreakBefore/>
      </w:pPr>
      <w:r>
        <w:lastRenderedPageBreak/>
        <w:t>B.2 Location-Centric Representation</w:t>
      </w:r>
    </w:p>
    <w:p w14:paraId="36BCFE41" w14:textId="77777777" w:rsidR="008E1B31" w:rsidRDefault="00000000">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000000">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000000">
      <w:pPr>
        <w:spacing w:after="160" w:line="320" w:lineRule="auto"/>
        <w:jc w:val="both"/>
      </w:pPr>
      <w:r>
        <w:t xml:space="preserve">This is the dominant convention in the traffic forecasting literature. DCRNN and STGCN, for example, represent road sensor networks with sensors as nodes and road segments as edges. It is also the convention used in the </w:t>
      </w:r>
      <w:proofErr w:type="spellStart"/>
      <w:r>
        <w:t>SupplyGraph</w:t>
      </w:r>
      <w:proofErr w:type="spellEnd"/>
      <w:r>
        <w:t xml:space="preserve"> benchmark for supply chain GNNs.</w:t>
      </w:r>
    </w:p>
    <w:p w14:paraId="36BCFE44" w14:textId="77777777" w:rsidR="008E1B31" w:rsidRDefault="00000000">
      <w:pPr>
        <w:spacing w:after="160" w:line="320" w:lineRule="auto"/>
        <w:jc w:val="both"/>
      </w:pPr>
      <w:r>
        <w:rPr>
          <w:b/>
          <w:bCs/>
        </w:rPr>
        <w:t>What is captured</w:t>
      </w:r>
    </w:p>
    <w:p w14:paraId="36BCFE45" w14:textId="77777777" w:rsidR="008E1B31" w:rsidRDefault="00000000">
      <w:pPr>
        <w:pStyle w:val="ListParagraph"/>
        <w:numPr>
          <w:ilvl w:val="0"/>
          <w:numId w:val="2"/>
        </w:numPr>
        <w:spacing w:after="80" w:line="320" w:lineRule="auto"/>
        <w:jc w:val="both"/>
      </w:pPr>
      <w:r>
        <w:t>Inventory at fixed sites (Cushing stock level, SPR reserves).</w:t>
      </w:r>
    </w:p>
    <w:p w14:paraId="36BCFE46" w14:textId="77777777" w:rsidR="008E1B31" w:rsidRDefault="00000000">
      <w:pPr>
        <w:spacing w:after="80"/>
      </w:pPr>
      <w:r>
        <w:rPr>
          <w:sz w:val="12"/>
          <w:szCs w:val="12"/>
        </w:rPr>
        <w:t xml:space="preserve"> </w:t>
      </w:r>
    </w:p>
    <w:p w14:paraId="36BCFE47" w14:textId="77777777" w:rsidR="008E1B31" w:rsidRDefault="00000000">
      <w:pPr>
        <w:pStyle w:val="ListParagraph"/>
        <w:numPr>
          <w:ilvl w:val="0"/>
          <w:numId w:val="2"/>
        </w:numPr>
        <w:spacing w:after="80" w:line="320" w:lineRule="auto"/>
        <w:jc w:val="both"/>
      </w:pPr>
      <w:r>
        <w:t>Flow rates on each pipeline (barrels per day arriving and departing).</w:t>
      </w:r>
    </w:p>
    <w:p w14:paraId="36BCFE48" w14:textId="77777777" w:rsidR="008E1B31" w:rsidRDefault="00000000">
      <w:pPr>
        <w:spacing w:after="80"/>
      </w:pPr>
      <w:r>
        <w:rPr>
          <w:sz w:val="12"/>
          <w:szCs w:val="12"/>
        </w:rPr>
        <w:t xml:space="preserve"> </w:t>
      </w:r>
    </w:p>
    <w:p w14:paraId="36BCFE49" w14:textId="77777777" w:rsidR="008E1B31" w:rsidRDefault="00000000">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000000">
      <w:pPr>
        <w:spacing w:after="80"/>
      </w:pPr>
      <w:r>
        <w:rPr>
          <w:sz w:val="12"/>
          <w:szCs w:val="12"/>
        </w:rPr>
        <w:t xml:space="preserve"> </w:t>
      </w:r>
    </w:p>
    <w:p w14:paraId="36BCFE4B" w14:textId="77777777" w:rsidR="008E1B31" w:rsidRDefault="00000000">
      <w:pPr>
        <w:pStyle w:val="ListParagraph"/>
        <w:numPr>
          <w:ilvl w:val="0"/>
          <w:numId w:val="2"/>
        </w:numPr>
        <w:spacing w:after="80" w:line="320" w:lineRule="auto"/>
        <w:jc w:val="both"/>
      </w:pPr>
      <w:r>
        <w:t>Capacity constraints on each route.</w:t>
      </w:r>
    </w:p>
    <w:p w14:paraId="36BCFE4C" w14:textId="77777777" w:rsidR="008E1B31" w:rsidRDefault="00000000">
      <w:pPr>
        <w:spacing w:after="80"/>
      </w:pPr>
      <w:r>
        <w:rPr>
          <w:sz w:val="12"/>
          <w:szCs w:val="12"/>
        </w:rPr>
        <w:t xml:space="preserve"> </w:t>
      </w:r>
    </w:p>
    <w:p w14:paraId="36BCFE4D" w14:textId="77777777" w:rsidR="008E1B31" w:rsidRDefault="00000000">
      <w:pPr>
        <w:spacing w:after="160" w:line="320" w:lineRule="auto"/>
        <w:jc w:val="both"/>
      </w:pPr>
      <w:r>
        <w:rPr>
          <w:b/>
          <w:bCs/>
        </w:rPr>
        <w:t>What is not captured</w:t>
      </w:r>
    </w:p>
    <w:p w14:paraId="36BCFE4E" w14:textId="77777777" w:rsidR="008E1B31" w:rsidRDefault="00000000">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000000">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000000">
      <w:pPr>
        <w:pStyle w:val="Heading1"/>
        <w:pageBreakBefore/>
      </w:pPr>
      <w:r>
        <w:lastRenderedPageBreak/>
        <w:t>B.3 Asset-Centric Representation</w:t>
      </w:r>
    </w:p>
    <w:p w14:paraId="36BCFE51" w14:textId="77777777" w:rsidR="008E1B31" w:rsidRDefault="00000000">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000000">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000000">
      <w:pPr>
        <w:spacing w:after="160" w:line="320" w:lineRule="auto"/>
        <w:jc w:val="both"/>
      </w:pPr>
      <w:r>
        <w:rPr>
          <w:b/>
          <w:bCs/>
        </w:rPr>
        <w:t>Stable topology through zero-flow edges</w:t>
      </w:r>
    </w:p>
    <w:p w14:paraId="36BCFE54" w14:textId="77777777" w:rsidR="008E1B31" w:rsidRDefault="00000000">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000000">
      <w:pPr>
        <w:spacing w:after="160" w:line="320" w:lineRule="auto"/>
        <w:jc w:val="both"/>
      </w:pPr>
      <w:r>
        <w:rPr>
          <w:i/>
          <w:iCs/>
        </w:rPr>
        <w:t xml:space="preserve">Figure B.3 — Topology stability under the zero-flow convention. In Week 1, VLCC-01 carries active flows on its loading and discharge edges. In Week 2, the vessel is in </w:t>
      </w:r>
      <w:proofErr w:type="gramStart"/>
      <w:r>
        <w:rPr>
          <w:i/>
          <w:iCs/>
        </w:rPr>
        <w:t>transit</w:t>
      </w:r>
      <w:proofErr w:type="gramEnd"/>
      <w:r>
        <w:rPr>
          <w:i/>
          <w:iCs/>
        </w:rPr>
        <w:t xml:space="preserve"> and all edge flows are zero. The graph structure — nodes and edges — is identical in both weeks. Only the flow values change.</w:t>
      </w:r>
    </w:p>
    <w:p w14:paraId="36BCFE56" w14:textId="77777777" w:rsidR="008E1B31" w:rsidRDefault="00000000">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000000">
      <w:pPr>
        <w:spacing w:after="160" w:line="320" w:lineRule="auto"/>
        <w:jc w:val="both"/>
      </w:pPr>
      <w:r>
        <w:rPr>
          <w:b/>
          <w:bCs/>
        </w:rPr>
        <w:t>What the asset-centric model additionally captures</w:t>
      </w:r>
    </w:p>
    <w:p w14:paraId="36BCFE58" w14:textId="77777777" w:rsidR="008E1B31" w:rsidRDefault="00000000">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000000">
      <w:pPr>
        <w:spacing w:after="80"/>
      </w:pPr>
      <w:r>
        <w:rPr>
          <w:sz w:val="12"/>
          <w:szCs w:val="12"/>
        </w:rPr>
        <w:t xml:space="preserve"> </w:t>
      </w:r>
    </w:p>
    <w:p w14:paraId="36BCFE5A" w14:textId="77777777" w:rsidR="008E1B31" w:rsidRDefault="00000000">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000000">
      <w:pPr>
        <w:spacing w:after="80"/>
      </w:pPr>
      <w:r>
        <w:rPr>
          <w:sz w:val="12"/>
          <w:szCs w:val="12"/>
        </w:rPr>
        <w:t xml:space="preserve"> </w:t>
      </w:r>
    </w:p>
    <w:p w14:paraId="36BCFE5C" w14:textId="77777777" w:rsidR="008E1B31" w:rsidRDefault="00000000">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000000">
      <w:pPr>
        <w:spacing w:after="80"/>
      </w:pPr>
      <w:r>
        <w:rPr>
          <w:sz w:val="12"/>
          <w:szCs w:val="12"/>
        </w:rPr>
        <w:t xml:space="preserve"> </w:t>
      </w:r>
    </w:p>
    <w:p w14:paraId="36BCFE5E" w14:textId="77777777" w:rsidR="008E1B31" w:rsidRDefault="00000000">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000000">
      <w:pPr>
        <w:spacing w:after="80"/>
      </w:pPr>
      <w:r>
        <w:rPr>
          <w:sz w:val="12"/>
          <w:szCs w:val="12"/>
        </w:rPr>
        <w:t xml:space="preserve"> </w:t>
      </w:r>
    </w:p>
    <w:p w14:paraId="36BCFE60" w14:textId="77777777" w:rsidR="008E1B31" w:rsidRDefault="00000000">
      <w:pPr>
        <w:pStyle w:val="Heading1"/>
        <w:pageBreakBefore/>
      </w:pPr>
      <w:r>
        <w:lastRenderedPageBreak/>
        <w:t>B.4 Comparison</w:t>
      </w:r>
    </w:p>
    <w:p w14:paraId="36BCFE61" w14:textId="77777777" w:rsidR="008E1B31" w:rsidRDefault="00000000">
      <w:pPr>
        <w:spacing w:after="160" w:line="320" w:lineRule="auto"/>
        <w:jc w:val="both"/>
      </w:pPr>
      <w:r>
        <w:t>The table below summarises the key differences between the two conventions across the dimensions most relevant to this thesis.</w:t>
      </w:r>
    </w:p>
    <w:p w14:paraId="36BCFE62" w14:textId="77777777" w:rsidR="008E1B31" w:rsidRDefault="00000000">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000000">
      <w:pPr>
        <w:spacing w:after="160" w:line="320" w:lineRule="auto"/>
        <w:jc w:val="both"/>
      </w:pPr>
      <w:r>
        <w:rPr>
          <w:b/>
          <w:bCs/>
        </w:rPr>
        <w:t>Node definition</w:t>
      </w:r>
      <w:r>
        <w:t xml:space="preserve"> Geographic site or         Individual physical asset                       facility</w:t>
      </w:r>
    </w:p>
    <w:p w14:paraId="36BCFE64" w14:textId="77777777" w:rsidR="008E1B31" w:rsidRDefault="00000000">
      <w:pPr>
        <w:spacing w:after="160" w:line="320" w:lineRule="auto"/>
        <w:jc w:val="both"/>
      </w:pPr>
      <w:r>
        <w:rPr>
          <w:b/>
          <w:bCs/>
        </w:rPr>
        <w:t>Pipeline</w:t>
      </w:r>
      <w:r>
        <w:t xml:space="preserve">        Edge with flow attribute   Node with line-fill                                                  inventory</w:t>
      </w:r>
    </w:p>
    <w:p w14:paraId="36BCFE65" w14:textId="77777777" w:rsidR="008E1B31" w:rsidRDefault="00000000">
      <w:pPr>
        <w:spacing w:after="160" w:line="320" w:lineRule="auto"/>
        <w:jc w:val="both"/>
      </w:pPr>
      <w:r>
        <w:rPr>
          <w:b/>
          <w:bCs/>
        </w:rPr>
        <w:t>VLCC tanker</w:t>
      </w:r>
      <w:r>
        <w:t xml:space="preserve">     Implicit in shipping route Node with cargo inventory                       edge</w:t>
      </w:r>
    </w:p>
    <w:p w14:paraId="36BCFE66" w14:textId="77777777" w:rsidR="008E1B31" w:rsidRDefault="00000000">
      <w:pPr>
        <w:spacing w:after="160" w:line="320" w:lineRule="auto"/>
        <w:jc w:val="both"/>
      </w:pPr>
      <w:r>
        <w:rPr>
          <w:b/>
          <w:bCs/>
        </w:rPr>
        <w:t>Topology</w:t>
      </w:r>
      <w:r>
        <w:t xml:space="preserve">        Fixed (locations don't    Fixed (zero-flow inactive                       </w:t>
      </w:r>
      <w:proofErr w:type="gramStart"/>
      <w:r>
        <w:t xml:space="preserve">move)   </w:t>
      </w:r>
      <w:proofErr w:type="gramEnd"/>
      <w:r>
        <w:t xml:space="preserve">                   edges)</w:t>
      </w:r>
    </w:p>
    <w:p w14:paraId="36BCFE67" w14:textId="77777777" w:rsidR="008E1B31" w:rsidRDefault="00000000">
      <w:pPr>
        <w:spacing w:after="160" w:line="320" w:lineRule="auto"/>
        <w:jc w:val="both"/>
      </w:pPr>
      <w:r>
        <w:rPr>
          <w:b/>
          <w:bCs/>
        </w:rPr>
        <w:t>New asset</w:t>
      </w:r>
      <w:r>
        <w:t xml:space="preserve">       </w:t>
      </w:r>
      <w:proofErr w:type="gramStart"/>
      <w:r>
        <w:t>New</w:t>
      </w:r>
      <w:proofErr w:type="gramEnd"/>
      <w:r>
        <w:t xml:space="preserve"> node or edge added     </w:t>
      </w:r>
      <w:proofErr w:type="gramStart"/>
      <w:r>
        <w:t>New</w:t>
      </w:r>
      <w:proofErr w:type="gramEnd"/>
      <w:r>
        <w:t xml:space="preserve"> node, edges exist at                                                  zero</w:t>
      </w:r>
    </w:p>
    <w:p w14:paraId="36BCFE68" w14:textId="77777777" w:rsidR="008E1B31" w:rsidRDefault="00000000">
      <w:pPr>
        <w:spacing w:after="160" w:line="320" w:lineRule="auto"/>
        <w:jc w:val="both"/>
      </w:pPr>
      <w:r>
        <w:rPr>
          <w:b/>
          <w:bCs/>
        </w:rPr>
        <w:t>In-transit        Not trackable              First-class inventory   cargo</w:t>
      </w:r>
      <w:r>
        <w:t xml:space="preserve">                                        variable</w:t>
      </w:r>
    </w:p>
    <w:p w14:paraId="36BCFE69" w14:textId="77777777" w:rsidR="008E1B31" w:rsidRDefault="00000000">
      <w:pPr>
        <w:spacing w:after="160" w:line="320" w:lineRule="auto"/>
        <w:jc w:val="both"/>
      </w:pPr>
      <w:r>
        <w:rPr>
          <w:b/>
          <w:bCs/>
        </w:rPr>
        <w:t>GNN               Standard architectures     Standard architectures   compatibility</w:t>
      </w:r>
    </w:p>
    <w:p w14:paraId="36BCFE6A" w14:textId="77777777" w:rsidR="008E1B31" w:rsidRDefault="00000000">
      <w:pPr>
        <w:spacing w:after="160" w:line="320" w:lineRule="auto"/>
        <w:jc w:val="both"/>
      </w:pPr>
      <w:r>
        <w:rPr>
          <w:b/>
          <w:bCs/>
        </w:rPr>
        <w:t>Data source       EIA regional aggregates    EIA + AIS for full   match</w:t>
      </w:r>
      <w:r>
        <w:t xml:space="preserve">                                        resolution</w:t>
      </w:r>
    </w:p>
    <w:p w14:paraId="36BCFE6B" w14:textId="77777777" w:rsidR="008E1B31" w:rsidRDefault="00000000">
      <w:pPr>
        <w:spacing w:after="160" w:line="320" w:lineRule="auto"/>
        <w:jc w:val="both"/>
      </w:pPr>
      <w:r>
        <w:rPr>
          <w:b/>
          <w:bCs/>
        </w:rPr>
        <w:t>Extensibility</w:t>
      </w:r>
      <w:r>
        <w:t xml:space="preserve">   Limited by location        Extends to any asset type                       granularity                   ——————- ————————-- ————————--</w:t>
      </w:r>
    </w:p>
    <w:p w14:paraId="36BCFE6C" w14:textId="77777777" w:rsidR="008E1B31" w:rsidRDefault="00000000">
      <w:pPr>
        <w:spacing w:after="160" w:line="320" w:lineRule="auto"/>
        <w:jc w:val="both"/>
      </w:pPr>
      <w:r>
        <w:t>The asset-centric convention is adopted in this thesis because it fits the physical structure of the crude oil supply chain and extends more naturally as richer data becomes available. Crude oil networks are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leaving the asset-centric graph fully compatible with standard GNN architectures.</w:t>
      </w:r>
    </w:p>
    <w:p w14:paraId="36BCFE6D" w14:textId="77777777" w:rsidR="008E1B31" w:rsidRDefault="00000000">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000000">
      <w:pPr>
        <w:pStyle w:val="Heading1"/>
        <w:pageBreakBefore/>
      </w:pPr>
      <w:r>
        <w:lastRenderedPageBreak/>
        <w:t>B.5 The Mass Balance Equation and the Balancing Item</w:t>
      </w:r>
    </w:p>
    <w:p w14:paraId="36BCFE6F" w14:textId="77777777" w:rsidR="008E1B31" w:rsidRDefault="00000000">
      <w:pPr>
        <w:spacing w:after="160" w:line="320" w:lineRule="auto"/>
        <w:jc w:val="both"/>
      </w:pPr>
      <w:r>
        <w:t xml:space="preserve">Every node in the asset-centric graph — whether a production field, a storage terminal, a pipeline segment, or a vessel — must satisfy the same universal mass balance constraint. The change in inventory at node </w:t>
      </w:r>
      <w:proofErr w:type="spellStart"/>
      <w:r>
        <w:t>i</w:t>
      </w:r>
      <w:proofErr w:type="spellEnd"/>
      <w:r>
        <w:t xml:space="preserve"> over </w:t>
      </w:r>
      <w:proofErr w:type="gramStart"/>
      <w:r>
        <w:t>time period</w:t>
      </w:r>
      <w:proofErr w:type="gramEnd"/>
      <w:r>
        <w:t xml:space="preserve"> t must equal the net of all flows into and out of that node:</w:t>
      </w:r>
    </w:p>
    <w:p w14:paraId="36BCFE70" w14:textId="77777777" w:rsidR="008E1B31" w:rsidRDefault="00000000">
      <w:pPr>
        <w:spacing w:after="160" w:line="320" w:lineRule="auto"/>
        <w:jc w:val="both"/>
      </w:pPr>
      <w:r>
        <w:rPr>
          <w:b/>
          <w:bCs/>
        </w:rPr>
        <w:t>ΔS(</w:t>
      </w:r>
      <w:proofErr w:type="spellStart"/>
      <w:proofErr w:type="gramStart"/>
      <w:r>
        <w:rPr>
          <w:b/>
          <w:bCs/>
        </w:rPr>
        <w:t>i,t</w:t>
      </w:r>
      <w:proofErr w:type="spellEnd"/>
      <w:proofErr w:type="gramEnd"/>
      <w:r>
        <w:rPr>
          <w:b/>
          <w:bCs/>
        </w:rPr>
        <w:t>)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 −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w:t>
      </w:r>
    </w:p>
    <w:p w14:paraId="36BCFE71" w14:textId="77777777" w:rsidR="008E1B31" w:rsidRDefault="00000000">
      <w:pPr>
        <w:spacing w:after="160" w:line="320" w:lineRule="auto"/>
        <w:jc w:val="both"/>
      </w:pPr>
      <w:r>
        <w:t>where ΔS(</w:t>
      </w:r>
      <w:proofErr w:type="spellStart"/>
      <w:r>
        <w:t>i,t</w:t>
      </w:r>
      <w:proofErr w:type="spellEnd"/>
      <w:r>
        <w:t>) = S(</w:t>
      </w:r>
      <w:proofErr w:type="spellStart"/>
      <w:r>
        <w:t>i,t</w:t>
      </w:r>
      <w:proofErr w:type="spellEnd"/>
      <w:r>
        <w:t>) − S(i,t−1) is the change in stock, P(</w:t>
      </w:r>
      <w:proofErr w:type="spellStart"/>
      <w:r>
        <w:t>i,t</w:t>
      </w:r>
      <w:proofErr w:type="spellEnd"/>
      <w:r>
        <w:t>) is production (non-zero only at wellhead and field nodes), C(</w:t>
      </w:r>
      <w:proofErr w:type="spellStart"/>
      <w:r>
        <w:t>i,t</w:t>
      </w:r>
      <w:proofErr w:type="spellEnd"/>
      <w:r>
        <w:t xml:space="preserve">) is consumption (non-zero only at refinery and end-use nodes), </w:t>
      </w:r>
      <w:proofErr w:type="spellStart"/>
      <w:r>
        <w:t>F_in</w:t>
      </w:r>
      <w:proofErr w:type="spellEnd"/>
      <w:r>
        <w:t>(</w:t>
      </w:r>
      <w:proofErr w:type="spellStart"/>
      <w:r>
        <w:t>i,t</w:t>
      </w:r>
      <w:proofErr w:type="spellEnd"/>
      <w:r>
        <w:t xml:space="preserve">) is the sum of all inflows, and </w:t>
      </w:r>
      <w:proofErr w:type="spellStart"/>
      <w:r>
        <w:t>F_out</w:t>
      </w:r>
      <w:proofErr w:type="spellEnd"/>
      <w:r>
        <w:t>(</w:t>
      </w:r>
      <w:proofErr w:type="spellStart"/>
      <w:r>
        <w:t>i,t</w:t>
      </w:r>
      <w:proofErr w:type="spellEnd"/>
      <w:r>
        <w:t>) is the sum of all outflows.</w:t>
      </w:r>
    </w:p>
    <w:p w14:paraId="36BCFE72" w14:textId="77777777" w:rsidR="008E1B31" w:rsidRDefault="00000000">
      <w:pPr>
        <w:spacing w:after="160" w:line="320" w:lineRule="auto"/>
        <w:jc w:val="both"/>
      </w:pPr>
      <w:r>
        <w:rPr>
          <w:b/>
          <w:bCs/>
        </w:rPr>
        <w:t>B.5.1 The Cushing example</w:t>
      </w:r>
    </w:p>
    <w:p w14:paraId="36BCFE73" w14:textId="77777777" w:rsidR="008E1B31" w:rsidRDefault="00000000">
      <w:pPr>
        <w:spacing w:after="160" w:line="320" w:lineRule="auto"/>
        <w:jc w:val="both"/>
      </w:pPr>
      <w:r>
        <w:t xml:space="preserve">For Cushing terminal </w:t>
      </w:r>
      <w:proofErr w:type="gramStart"/>
      <w:r>
        <w:t>in a given</w:t>
      </w:r>
      <w:proofErr w:type="gramEnd"/>
      <w:r>
        <w:t xml:space="preserve"> week, the reported EIA data gives:</w:t>
      </w:r>
    </w:p>
    <w:p w14:paraId="36BCFE74" w14:textId="77777777" w:rsidR="008E1B31" w:rsidRDefault="00000000">
      <w:pPr>
        <w:pStyle w:val="ListParagraph"/>
        <w:numPr>
          <w:ilvl w:val="0"/>
          <w:numId w:val="2"/>
        </w:numPr>
        <w:spacing w:after="80" w:line="320" w:lineRule="auto"/>
        <w:jc w:val="both"/>
      </w:pPr>
      <w:r>
        <w:t>Opening stock S(t−1) = 45,000 barrels</w:t>
      </w:r>
    </w:p>
    <w:p w14:paraId="36BCFE75" w14:textId="77777777" w:rsidR="008E1B31" w:rsidRDefault="00000000">
      <w:pPr>
        <w:spacing w:after="80"/>
      </w:pPr>
      <w:r>
        <w:rPr>
          <w:sz w:val="12"/>
          <w:szCs w:val="12"/>
        </w:rPr>
        <w:t xml:space="preserve"> </w:t>
      </w:r>
    </w:p>
    <w:p w14:paraId="36BCFE76" w14:textId="77777777" w:rsidR="008E1B31" w:rsidRDefault="00000000">
      <w:pPr>
        <w:pStyle w:val="ListParagraph"/>
        <w:numPr>
          <w:ilvl w:val="0"/>
          <w:numId w:val="2"/>
        </w:numPr>
        <w:spacing w:after="80" w:line="320" w:lineRule="auto"/>
        <w:jc w:val="both"/>
      </w:pPr>
      <w:r>
        <w:t>Inflow from Longhorn pipeline: 800 b/d × 7 days = 5,600 barrels</w:t>
      </w:r>
    </w:p>
    <w:p w14:paraId="36BCFE77" w14:textId="77777777" w:rsidR="008E1B31" w:rsidRDefault="00000000">
      <w:pPr>
        <w:spacing w:after="80"/>
      </w:pPr>
      <w:r>
        <w:rPr>
          <w:sz w:val="12"/>
          <w:szCs w:val="12"/>
        </w:rPr>
        <w:t xml:space="preserve"> </w:t>
      </w:r>
    </w:p>
    <w:p w14:paraId="36BCFE78" w14:textId="77777777" w:rsidR="008E1B31" w:rsidRDefault="00000000">
      <w:pPr>
        <w:pStyle w:val="ListParagraph"/>
        <w:numPr>
          <w:ilvl w:val="0"/>
          <w:numId w:val="2"/>
        </w:numPr>
        <w:spacing w:after="80" w:line="320" w:lineRule="auto"/>
        <w:jc w:val="both"/>
      </w:pPr>
      <w:r>
        <w:t>Inflow from Seaway pipeline: 600 b/d × 7 days = 4,200 barrels</w:t>
      </w:r>
    </w:p>
    <w:p w14:paraId="36BCFE79" w14:textId="77777777" w:rsidR="008E1B31" w:rsidRDefault="00000000">
      <w:pPr>
        <w:spacing w:after="80"/>
      </w:pPr>
      <w:r>
        <w:rPr>
          <w:sz w:val="12"/>
          <w:szCs w:val="12"/>
        </w:rPr>
        <w:t xml:space="preserve"> </w:t>
      </w:r>
    </w:p>
    <w:p w14:paraId="36BCFE7A" w14:textId="77777777" w:rsidR="008E1B31" w:rsidRDefault="00000000">
      <w:pPr>
        <w:pStyle w:val="ListParagraph"/>
        <w:numPr>
          <w:ilvl w:val="0"/>
          <w:numId w:val="2"/>
        </w:numPr>
        <w:spacing w:after="80" w:line="320" w:lineRule="auto"/>
        <w:jc w:val="both"/>
      </w:pPr>
      <w:r>
        <w:t>Outflow to Ozark pipeline (refinery): 950 b/d × 7 days = 6,650 barrels</w:t>
      </w:r>
    </w:p>
    <w:p w14:paraId="36BCFE7B" w14:textId="77777777" w:rsidR="008E1B31" w:rsidRDefault="00000000">
      <w:pPr>
        <w:spacing w:after="80"/>
      </w:pPr>
      <w:r>
        <w:rPr>
          <w:sz w:val="12"/>
          <w:szCs w:val="12"/>
        </w:rPr>
        <w:t xml:space="preserve"> </w:t>
      </w:r>
    </w:p>
    <w:p w14:paraId="36BCFE7C" w14:textId="77777777" w:rsidR="008E1B31" w:rsidRDefault="00000000">
      <w:pPr>
        <w:pStyle w:val="ListParagraph"/>
        <w:numPr>
          <w:ilvl w:val="0"/>
          <w:numId w:val="2"/>
        </w:numPr>
        <w:spacing w:after="80" w:line="320" w:lineRule="auto"/>
        <w:jc w:val="both"/>
      </w:pPr>
      <w:r>
        <w:t>Outflow to SPR: 0 barrels</w:t>
      </w:r>
    </w:p>
    <w:p w14:paraId="36BCFE7D" w14:textId="77777777" w:rsidR="008E1B31" w:rsidRDefault="00000000">
      <w:pPr>
        <w:spacing w:after="80"/>
      </w:pPr>
      <w:r>
        <w:rPr>
          <w:sz w:val="12"/>
          <w:szCs w:val="12"/>
        </w:rPr>
        <w:t xml:space="preserve"> </w:t>
      </w:r>
    </w:p>
    <w:p w14:paraId="36BCFE7E" w14:textId="77777777" w:rsidR="008E1B31" w:rsidRDefault="00000000">
      <w:pPr>
        <w:pStyle w:val="ListParagraph"/>
        <w:numPr>
          <w:ilvl w:val="0"/>
          <w:numId w:val="2"/>
        </w:numPr>
        <w:spacing w:after="80" w:line="320" w:lineRule="auto"/>
        <w:jc w:val="both"/>
      </w:pPr>
      <w:r>
        <w:t>Closing stock S(t) reported by EIA = 45,300 barrels</w:t>
      </w:r>
    </w:p>
    <w:p w14:paraId="36BCFE7F" w14:textId="77777777" w:rsidR="008E1B31" w:rsidRDefault="00000000">
      <w:pPr>
        <w:spacing w:after="80"/>
      </w:pPr>
      <w:r>
        <w:rPr>
          <w:sz w:val="12"/>
          <w:szCs w:val="12"/>
        </w:rPr>
        <w:t xml:space="preserve"> </w:t>
      </w:r>
    </w:p>
    <w:p w14:paraId="36BCFE80" w14:textId="77777777" w:rsidR="008E1B31" w:rsidRDefault="00000000">
      <w:pPr>
        <w:spacing w:after="160" w:line="320" w:lineRule="auto"/>
        <w:jc w:val="both"/>
      </w:pPr>
      <w:r>
        <w:t>The calculated stock change is:</w:t>
      </w:r>
    </w:p>
    <w:p w14:paraId="36BCFE81" w14:textId="77777777" w:rsidR="008E1B31" w:rsidRDefault="00000000">
      <w:pPr>
        <w:spacing w:after="160" w:line="320" w:lineRule="auto"/>
        <w:jc w:val="both"/>
      </w:pPr>
      <w:r>
        <w:t xml:space="preserve">ΔS(calc) = </w:t>
      </w:r>
      <w:proofErr w:type="spellStart"/>
      <w:r>
        <w:t>F_in</w:t>
      </w:r>
      <w:proofErr w:type="spellEnd"/>
      <w:r>
        <w:t xml:space="preserve"> − </w:t>
      </w:r>
      <w:proofErr w:type="spellStart"/>
      <w:r>
        <w:t>F_out</w:t>
      </w:r>
      <w:proofErr w:type="spellEnd"/>
      <w:r>
        <w:t xml:space="preserve"> = (5,600 + 4,200) − (6,650 + 0) = +3,150 barrels</w:t>
      </w:r>
    </w:p>
    <w:p w14:paraId="36BCFE82" w14:textId="77777777" w:rsidR="008E1B31" w:rsidRDefault="00000000">
      <w:pPr>
        <w:spacing w:after="160" w:line="320" w:lineRule="auto"/>
        <w:jc w:val="both"/>
      </w:pPr>
      <w:r>
        <w:t>The observed stock change from the EIA weekly report is:</w:t>
      </w:r>
    </w:p>
    <w:p w14:paraId="36BCFE83" w14:textId="77777777" w:rsidR="008E1B31" w:rsidRDefault="00000000">
      <w:pPr>
        <w:spacing w:after="160" w:line="320" w:lineRule="auto"/>
        <w:jc w:val="both"/>
      </w:pPr>
      <w:r>
        <w:t>ΔS(</w:t>
      </w:r>
      <w:proofErr w:type="spellStart"/>
      <w:r>
        <w:t>obs</w:t>
      </w:r>
      <w:proofErr w:type="spellEnd"/>
      <w:r>
        <w:t>) = 45,300 − 45,000 = +300 barrels</w:t>
      </w:r>
    </w:p>
    <w:p w14:paraId="36BCFE84" w14:textId="77777777" w:rsidR="008E1B31" w:rsidRDefault="00000000">
      <w:pPr>
        <w:spacing w:after="160" w:line="320" w:lineRule="auto"/>
        <w:jc w:val="both"/>
      </w:pPr>
      <w:r>
        <w:t>These do not match. The balancing item is the residual:</w:t>
      </w:r>
    </w:p>
    <w:p w14:paraId="36BCFE85" w14:textId="77777777" w:rsidR="008E1B31" w:rsidRDefault="00000000">
      <w:pPr>
        <w:spacing w:after="160" w:line="320" w:lineRule="auto"/>
        <w:jc w:val="both"/>
      </w:pPr>
      <w:r>
        <w:rPr>
          <w:b/>
          <w:bCs/>
        </w:rPr>
        <w:t>B(</w:t>
      </w:r>
      <w:proofErr w:type="spellStart"/>
      <w:proofErr w:type="gramStart"/>
      <w:r>
        <w:rPr>
          <w:b/>
          <w:bCs/>
        </w:rPr>
        <w:t>i,t</w:t>
      </w:r>
      <w:proofErr w:type="spellEnd"/>
      <w:proofErr w:type="gramEnd"/>
      <w:r>
        <w:rPr>
          <w:b/>
          <w:bCs/>
        </w:rPr>
        <w:t>) = ΔS(</w:t>
      </w:r>
      <w:proofErr w:type="spellStart"/>
      <w:r>
        <w:rPr>
          <w:b/>
          <w:bCs/>
        </w:rPr>
        <w:t>obs</w:t>
      </w:r>
      <w:proofErr w:type="spellEnd"/>
      <w:r>
        <w:rPr>
          <w:b/>
          <w:bCs/>
        </w:rPr>
        <w:t>) − ΔS(calc) = 300 − 3,150 = −2,850 barrels</w:t>
      </w:r>
    </w:p>
    <w:p w14:paraId="36BCFE86" w14:textId="77777777" w:rsidR="008E1B31" w:rsidRDefault="00000000">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000000">
      <w:pPr>
        <w:spacing w:after="160" w:line="320" w:lineRule="auto"/>
        <w:jc w:val="both"/>
      </w:pPr>
      <w:r>
        <w:rPr>
          <w:b/>
          <w:bCs/>
        </w:rPr>
        <w:t>B.5.2 Why the balancing item exists</w:t>
      </w:r>
    </w:p>
    <w:p w14:paraId="36BCFE88" w14:textId="77777777" w:rsidR="008E1B31" w:rsidRDefault="00000000">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000000">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000000">
      <w:pPr>
        <w:spacing w:after="80"/>
      </w:pPr>
      <w:r>
        <w:rPr>
          <w:sz w:val="12"/>
          <w:szCs w:val="12"/>
        </w:rPr>
        <w:t xml:space="preserve"> </w:t>
      </w:r>
    </w:p>
    <w:p w14:paraId="36BCFE8B" w14:textId="77777777" w:rsidR="008E1B31" w:rsidRDefault="00000000">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000000">
      <w:pPr>
        <w:spacing w:after="80"/>
      </w:pPr>
      <w:r>
        <w:rPr>
          <w:sz w:val="12"/>
          <w:szCs w:val="12"/>
        </w:rPr>
        <w:t xml:space="preserve"> </w:t>
      </w:r>
    </w:p>
    <w:p w14:paraId="36BCFE8D" w14:textId="77777777" w:rsidR="008E1B31" w:rsidRDefault="00000000">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000000">
      <w:pPr>
        <w:spacing w:after="80"/>
      </w:pPr>
      <w:r>
        <w:rPr>
          <w:sz w:val="12"/>
          <w:szCs w:val="12"/>
        </w:rPr>
        <w:t xml:space="preserve"> </w:t>
      </w:r>
    </w:p>
    <w:p w14:paraId="36BCFE8F" w14:textId="77777777" w:rsidR="008E1B31" w:rsidRDefault="00000000">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000000">
      <w:pPr>
        <w:spacing w:after="80"/>
      </w:pPr>
      <w:r>
        <w:rPr>
          <w:sz w:val="12"/>
          <w:szCs w:val="12"/>
        </w:rPr>
        <w:t xml:space="preserve"> </w:t>
      </w:r>
    </w:p>
    <w:p w14:paraId="36BCFE91" w14:textId="77777777" w:rsidR="008E1B31" w:rsidRDefault="00000000">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000000">
      <w:pPr>
        <w:spacing w:after="80"/>
      </w:pPr>
      <w:r>
        <w:rPr>
          <w:sz w:val="12"/>
          <w:szCs w:val="12"/>
        </w:rPr>
        <w:t xml:space="preserve"> </w:t>
      </w:r>
    </w:p>
    <w:p w14:paraId="36BCFE93" w14:textId="77777777" w:rsidR="008E1B31" w:rsidRDefault="00000000">
      <w:pPr>
        <w:spacing w:after="160" w:line="320" w:lineRule="auto"/>
        <w:jc w:val="both"/>
      </w:pPr>
      <w:r>
        <w:rPr>
          <w:b/>
          <w:bCs/>
        </w:rPr>
        <w:t>B.5.3 The full mass balance equation with balancing item</w:t>
      </w:r>
    </w:p>
    <w:p w14:paraId="36BCFE94" w14:textId="77777777" w:rsidR="008E1B31" w:rsidRDefault="00000000">
      <w:pPr>
        <w:spacing w:after="160" w:line="320" w:lineRule="auto"/>
        <w:jc w:val="both"/>
      </w:pPr>
      <w:r>
        <w:t>The complete equation used in this thesis is:</w:t>
      </w:r>
    </w:p>
    <w:p w14:paraId="36BCFE95" w14:textId="77777777" w:rsidR="008E1B31" w:rsidRDefault="00000000">
      <w:pPr>
        <w:spacing w:after="160" w:line="320" w:lineRule="auto"/>
        <w:jc w:val="both"/>
      </w:pPr>
      <w:r>
        <w:rPr>
          <w:b/>
          <w:bCs/>
        </w:rPr>
        <w:t>S(</w:t>
      </w:r>
      <w:proofErr w:type="spellStart"/>
      <w:proofErr w:type="gramStart"/>
      <w:r>
        <w:rPr>
          <w:b/>
          <w:bCs/>
        </w:rPr>
        <w:t>i,t</w:t>
      </w:r>
      <w:proofErr w:type="spellEnd"/>
      <w:proofErr w:type="gramEnd"/>
      <w:r>
        <w:rPr>
          <w:b/>
          <w:bCs/>
        </w:rPr>
        <w:t>) = S(</w:t>
      </w:r>
      <w:proofErr w:type="gramStart"/>
      <w:r>
        <w:rPr>
          <w:b/>
          <w:bCs/>
        </w:rPr>
        <w:t>i,t</w:t>
      </w:r>
      <w:proofErr w:type="gramEnd"/>
      <w:r>
        <w:rPr>
          <w:b/>
          <w:bCs/>
        </w:rPr>
        <w:t>−1)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w:t>
      </w:r>
    </w:p>
    <w:p w14:paraId="36BCFE96" w14:textId="77777777" w:rsidR="008E1B31" w:rsidRDefault="00000000">
      <w:pPr>
        <w:spacing w:after="160" w:line="320" w:lineRule="auto"/>
        <w:jc w:val="both"/>
      </w:pPr>
      <w:r>
        <w:rPr>
          <w:b/>
          <w:bCs/>
        </w:rPr>
        <w:t>−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 + B(</w:t>
      </w:r>
      <w:proofErr w:type="spellStart"/>
      <w:proofErr w:type="gramStart"/>
      <w:r>
        <w:rPr>
          <w:b/>
          <w:bCs/>
        </w:rPr>
        <w:t>i,t</w:t>
      </w:r>
      <w:proofErr w:type="spellEnd"/>
      <w:proofErr w:type="gramEnd"/>
      <w:r>
        <w:rPr>
          <w:b/>
          <w:bCs/>
        </w:rPr>
        <w:t>)</w:t>
      </w:r>
    </w:p>
    <w:p w14:paraId="36BCFE97" w14:textId="77777777" w:rsidR="008E1B31" w:rsidRDefault="00000000">
      <w:pPr>
        <w:spacing w:after="160" w:line="320" w:lineRule="auto"/>
        <w:jc w:val="both"/>
      </w:pPr>
      <w:r>
        <w:t>where B(</w:t>
      </w:r>
      <w:proofErr w:type="spellStart"/>
      <w:proofErr w:type="gramStart"/>
      <w:r>
        <w:t>i,t</w:t>
      </w:r>
      <w:proofErr w:type="spellEnd"/>
      <w:proofErr w:type="gramEnd"/>
      <w:r>
        <w: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000000">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000000">
      <w:pPr>
        <w:pStyle w:val="Heading1"/>
        <w:pageBreakBefore/>
      </w:pPr>
      <w:r>
        <w:lastRenderedPageBreak/>
        <w:t>B.6 Implications for the GNN Model</w:t>
      </w:r>
    </w:p>
    <w:p w14:paraId="36BCFE9A" w14:textId="77777777" w:rsidR="008E1B31" w:rsidRDefault="00000000">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000000">
      <w:pPr>
        <w:pStyle w:val="ListParagraph"/>
        <w:numPr>
          <w:ilvl w:val="0"/>
          <w:numId w:val="2"/>
        </w:numPr>
        <w:spacing w:after="80" w:line="320" w:lineRule="auto"/>
        <w:jc w:val="both"/>
      </w:pPr>
      <w:r>
        <w:rPr>
          <w:b/>
          <w:bCs/>
        </w:rPr>
        <w:t>Universal mass balance</w:t>
      </w:r>
      <w:r>
        <w:t xml:space="preserve"> — the same equation S(</w:t>
      </w:r>
      <w:proofErr w:type="spellStart"/>
      <w:proofErr w:type="gramStart"/>
      <w:r>
        <w:t>i,t</w:t>
      </w:r>
      <w:proofErr w:type="spellEnd"/>
      <w:proofErr w:type="gramEnd"/>
      <w:r>
        <w:t>) = S(</w:t>
      </w:r>
      <w:proofErr w:type="gramStart"/>
      <w:r>
        <w:t>i,t</w:t>
      </w:r>
      <w:proofErr w:type="gramEnd"/>
      <w:r>
        <w:t xml:space="preserve">−1) + P + </w:t>
      </w:r>
      <w:proofErr w:type="spellStart"/>
      <w:r>
        <w:t>F_in</w:t>
      </w:r>
      <w:proofErr w:type="spellEnd"/>
      <w:r>
        <w:t xml:space="preserve"> − C − </w:t>
      </w:r>
      <w:proofErr w:type="spellStart"/>
      <w:r>
        <w:t>F_out</w:t>
      </w:r>
      <w:proofErr w:type="spellEnd"/>
      <w:r>
        <w:t xml:space="preserve"> + B applies to every node type without special cases. Pipeline nodes have P = 0 and C = 0; vessel nodes have P = 0 and C = 0 with </w:t>
      </w:r>
      <w:proofErr w:type="spellStart"/>
      <w:r>
        <w:t>F_in</w:t>
      </w:r>
      <w:proofErr w:type="spellEnd"/>
      <w:r>
        <w:t xml:space="preserve"> = cargo loaded and </w:t>
      </w:r>
      <w:proofErr w:type="spellStart"/>
      <w:r>
        <w:t>F_out</w:t>
      </w:r>
      <w:proofErr w:type="spellEnd"/>
      <w:r>
        <w:t xml:space="preserve"> = cargo discharged.</w:t>
      </w:r>
    </w:p>
    <w:p w14:paraId="36BCFE9C" w14:textId="77777777" w:rsidR="008E1B31" w:rsidRDefault="00000000">
      <w:pPr>
        <w:spacing w:after="80"/>
      </w:pPr>
      <w:r>
        <w:rPr>
          <w:sz w:val="12"/>
          <w:szCs w:val="12"/>
        </w:rPr>
        <w:t xml:space="preserve"> </w:t>
      </w:r>
    </w:p>
    <w:p w14:paraId="36BCFE9D" w14:textId="77777777" w:rsidR="008E1B31" w:rsidRDefault="00000000">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w:t>
      </w:r>
      <w:proofErr w:type="spellStart"/>
      <w:r>
        <w:t>GraphSAGE</w:t>
      </w:r>
      <w:proofErr w:type="spellEnd"/>
      <w:r>
        <w:t>, DCRNN, and STGCN.</w:t>
      </w:r>
    </w:p>
    <w:p w14:paraId="36BCFE9E" w14:textId="77777777" w:rsidR="008E1B31" w:rsidRDefault="00000000">
      <w:pPr>
        <w:spacing w:after="80"/>
      </w:pPr>
      <w:r>
        <w:rPr>
          <w:sz w:val="12"/>
          <w:szCs w:val="12"/>
        </w:rPr>
        <w:t xml:space="preserve"> </w:t>
      </w:r>
    </w:p>
    <w:p w14:paraId="36BCFE9F" w14:textId="77777777" w:rsidR="008E1B31" w:rsidRDefault="00000000">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000000">
      <w:pPr>
        <w:spacing w:after="80"/>
      </w:pPr>
      <w:r>
        <w:rPr>
          <w:sz w:val="12"/>
          <w:szCs w:val="12"/>
        </w:rPr>
        <w:t xml:space="preserve"> </w:t>
      </w:r>
    </w:p>
    <w:p w14:paraId="36BCFEA1" w14:textId="77777777" w:rsidR="008E1B31" w:rsidRDefault="00000000">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000000">
      <w:pPr>
        <w:spacing w:after="80"/>
      </w:pPr>
      <w:r>
        <w:rPr>
          <w:sz w:val="12"/>
          <w:szCs w:val="12"/>
        </w:rPr>
        <w:t xml:space="preserve"> </w:t>
      </w:r>
    </w:p>
    <w:p w14:paraId="36BCFEA3" w14:textId="77777777" w:rsidR="008E1B31" w:rsidRDefault="00000000">
      <w:pPr>
        <w:pStyle w:val="Heading1"/>
        <w:pageBreakBefore/>
      </w:pPr>
      <w:r>
        <w:lastRenderedPageBreak/>
        <w:t>B.7 Persistent Asset Graph and Scenario Graph</w:t>
      </w:r>
    </w:p>
    <w:p w14:paraId="36BCFEA4" w14:textId="77777777" w:rsidR="008E1B31" w:rsidRDefault="00000000">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000000">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000000">
      <w:pPr>
        <w:spacing w:after="160" w:line="320" w:lineRule="auto"/>
        <w:jc w:val="both"/>
      </w:pPr>
      <w:r>
        <w:t xml:space="preserve">The scenario graph is what a model </w:t>
      </w:r>
      <w:proofErr w:type="gramStart"/>
      <w:r>
        <w:t>actually trains</w:t>
      </w:r>
      <w:proofErr w:type="gramEnd"/>
      <w:r>
        <w:t xml:space="preserve">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000000">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000000">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000000">
      <w:pPr>
        <w:pStyle w:val="Heading1"/>
        <w:pageBreakBefore/>
      </w:pPr>
      <w:r>
        <w:lastRenderedPageBreak/>
        <w:t>B.8 The Observational Aggregation Layer</w:t>
      </w:r>
    </w:p>
    <w:p w14:paraId="36BCFEAA" w14:textId="77777777" w:rsidR="008E1B31" w:rsidRDefault="00000000">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000000">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xml:space="preserve">, which provides formula-defined views over the physical layer. A PADD-level production variable is defined as a formula: </w:t>
      </w:r>
      <w:proofErr w:type="gramStart"/>
      <w:r>
        <w:t>P(</w:t>
      </w:r>
      <w:proofErr w:type="gramEnd"/>
      <w:r>
        <w:t xml:space="preserve">PADD_3, t) equals the sum of </w:t>
      </w:r>
      <w:proofErr w:type="gramStart"/>
      <w:r>
        <w:t>P(</w:t>
      </w:r>
      <w:proofErr w:type="spellStart"/>
      <w:proofErr w:type="gramEnd"/>
      <w:r>
        <w:t>i</w:t>
      </w:r>
      <w:proofErr w:type="spellEnd"/>
      <w:r>
        <w:t xml:space="preserve">, t) over all physical nodes </w:t>
      </w:r>
      <w:proofErr w:type="spellStart"/>
      <w:r>
        <w:t>i</w:t>
      </w:r>
      <w:proofErr w:type="spellEnd"/>
      <w:r>
        <w:t xml:space="preserve">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000000">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000000">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000000">
      <w:pPr>
        <w:pStyle w:val="Heading1"/>
        <w:pageBreakBefore/>
      </w:pPr>
      <w:r>
        <w:lastRenderedPageBreak/>
        <w:t>B.9 Geography Metadata and Administrative Aggregations</w:t>
      </w:r>
    </w:p>
    <w:p w14:paraId="36BCFEAF" w14:textId="77777777" w:rsidR="008E1B31" w:rsidRDefault="00000000">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w:t>
      </w:r>
      <w:proofErr w:type="gramStart"/>
      <w:r>
        <w:t>node in itself</w:t>
      </w:r>
      <w:proofErr w:type="gramEnd"/>
      <w:r>
        <w:t>.</w:t>
      </w:r>
    </w:p>
    <w:p w14:paraId="36BCFEB0" w14:textId="77777777" w:rsidR="008E1B31" w:rsidRDefault="00000000">
      <w:pPr>
        <w:spacing w:after="160" w:line="320" w:lineRule="auto"/>
        <w:jc w:val="both"/>
      </w:pPr>
      <w:r>
        <w:t xml:space="preserve">Administrative aggregations from Section B.8 are implemented as queries that filter physical nodes by their geography metadata. The expression </w:t>
      </w:r>
      <w:proofErr w:type="gramStart"/>
      <w:r>
        <w:t>P(</w:t>
      </w:r>
      <w:proofErr w:type="gramEnd"/>
      <w:r>
        <w:t xml:space="preserve">PADD_3, t) = sum of </w:t>
      </w:r>
      <w:proofErr w:type="gramStart"/>
      <w:r>
        <w:t>P(</w:t>
      </w:r>
      <w:proofErr w:type="spellStart"/>
      <w:proofErr w:type="gramEnd"/>
      <w:r>
        <w:t>i</w:t>
      </w:r>
      <w:proofErr w:type="spellEnd"/>
      <w:r>
        <w:t xml:space="preserve">, t) where </w:t>
      </w:r>
      <w:proofErr w:type="spellStart"/>
      <w:proofErr w:type="gramStart"/>
      <w:r>
        <w:t>i.location</w:t>
      </w:r>
      <w:proofErr w:type="gramEnd"/>
      <w:r>
        <w:t>.padd</w:t>
      </w:r>
      <w:proofErr w:type="spellEnd"/>
      <w:r>
        <w:t xml:space="preserve">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000000">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000000">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000000">
      <w:pPr>
        <w:spacing w:after="160" w:line="320" w:lineRule="auto"/>
        <w:jc w:val="both"/>
      </w:pPr>
      <w:r>
        <w:t>The distinction between geography and resolution hierarchy is summarised in Figure B.6.</w:t>
      </w:r>
    </w:p>
    <w:p w14:paraId="36BCFEB4" w14:textId="77777777" w:rsidR="008E1B31" w:rsidRDefault="00000000">
      <w:pPr>
        <w:spacing w:after="160" w:line="320" w:lineRule="auto"/>
        <w:jc w:val="both"/>
      </w:pPr>
      <w:r>
        <w:rPr>
          <w:i/>
          <w:iCs/>
        </w:rPr>
        <w:t xml:space="preserve">Figure B.6 — Geography metadata (labels on nodes) and resolution hierarchy (relationships between nodes). A well has a geography label </w:t>
      </w:r>
      <w:proofErr w:type="gramStart"/>
      <w:r>
        <w:rPr>
          <w:i/>
          <w:iCs/>
        </w:rPr>
        <w:t>and also</w:t>
      </w:r>
      <w:proofErr w:type="gramEnd"/>
      <w:r>
        <w:rPr>
          <w:i/>
          <w:iCs/>
        </w:rPr>
        <w:t xml:space="preserve">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000000">
      <w:pPr>
        <w:pStyle w:val="Heading1"/>
        <w:pageBreakBefore/>
      </w:pPr>
      <w:r>
        <w:lastRenderedPageBreak/>
        <w:t>B.10 Resolution Hierarchy and Forward Compatibility</w:t>
      </w:r>
    </w:p>
    <w:p w14:paraId="36BCFEB6" w14:textId="77777777" w:rsidR="008E1B31" w:rsidRDefault="00000000">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000000">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000000">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000000">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000000">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000000">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000000">
      <w:pPr>
        <w:pStyle w:val="Heading1"/>
        <w:pageBreakBefore/>
      </w:pPr>
      <w:r>
        <w:lastRenderedPageBreak/>
        <w:t>B.11 Assignment Tables, the Observed/Derived Invariant, and Coverage Contracts</w:t>
      </w:r>
    </w:p>
    <w:p w14:paraId="36BCFEBD" w14:textId="77777777" w:rsidR="008E1B31" w:rsidRDefault="00000000">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000000">
      <w:pPr>
        <w:spacing w:after="160" w:line="320" w:lineRule="auto"/>
        <w:jc w:val="both"/>
      </w:pPr>
      <w:r>
        <w:t>For any given combination of node, variable, commodity, and timestamp, a single constraint governs the scenario graph:</w:t>
      </w:r>
    </w:p>
    <w:p w14:paraId="36BCFEBF" w14:textId="77777777" w:rsidR="008E1B31" w:rsidRDefault="00000000">
      <w:pPr>
        <w:spacing w:after="160" w:line="320" w:lineRule="auto"/>
        <w:jc w:val="both"/>
      </w:pPr>
      <w:r>
        <w:t xml:space="preserve">Exactly one of </w:t>
      </w:r>
      <w:proofErr w:type="spellStart"/>
      <w:r>
        <w:rPr>
          <w:b/>
          <w:bCs/>
        </w:rPr>
        <w:t>observed_authoritative</w:t>
      </w:r>
      <w:proofErr w:type="spellEnd"/>
      <w:r>
        <w:t xml:space="preserve"> or </w:t>
      </w:r>
      <w:r>
        <w:rPr>
          <w:b/>
          <w:bCs/>
        </w:rPr>
        <w:t>derived</w:t>
      </w:r>
      <w:r>
        <w:t xml:space="preserve"> holds. Additional observed series may be attached as </w:t>
      </w:r>
      <w:proofErr w:type="spellStart"/>
      <w:r>
        <w:rPr>
          <w:b/>
          <w:bCs/>
        </w:rPr>
        <w:t>observed_auxiliary</w:t>
      </w:r>
      <w:proofErr w:type="spellEnd"/>
      <w:r>
        <w:t>, which are stored on the node but do not participate in the mass balance at their own level.</w:t>
      </w:r>
    </w:p>
    <w:p w14:paraId="36BCFEC0" w14:textId="77777777" w:rsidR="008E1B31" w:rsidRDefault="00000000">
      <w:pPr>
        <w:spacing w:after="160" w:line="320" w:lineRule="auto"/>
        <w:jc w:val="both"/>
      </w:pPr>
      <w:r>
        <w:t xml:space="preserve">This is the </w:t>
      </w:r>
      <w:r>
        <w:rPr>
          <w:b/>
          <w:bCs/>
        </w:rPr>
        <w:t>observed/derived invariant</w:t>
      </w:r>
      <w:r>
        <w:t>. A node-variable is either populated directly from an assigned time series (observed authoritative</w:t>
      </w:r>
      <w:proofErr w:type="gramStart"/>
      <w:r>
        <w:t>), or</w:t>
      </w:r>
      <w:proofErr w:type="gramEnd"/>
      <w:r>
        <w:t xml:space="preserve">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000000">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000000">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000000">
      <w:pPr>
        <w:spacing w:after="160" w:line="320" w:lineRule="auto"/>
        <w:jc w:val="both"/>
      </w:pPr>
      <w:r>
        <w:rPr>
          <w:i/>
          <w:iCs/>
        </w:rPr>
        <w:lastRenderedPageBreak/>
        <w:t xml:space="preserve">Figure B.7 — State machine for a single node-variable under the scenario loader. Valid end states are </w:t>
      </w:r>
      <w:proofErr w:type="spellStart"/>
      <w:r>
        <w:rPr>
          <w:i/>
          <w:iCs/>
        </w:rPr>
        <w:t>observed_authoritative</w:t>
      </w:r>
      <w:proofErr w:type="spellEnd"/>
      <w:r>
        <w:rPr>
          <w:i/>
          <w:iCs/>
        </w:rPr>
        <w:t xml:space="preserve">, derived, </w:t>
      </w:r>
      <w:proofErr w:type="spellStart"/>
      <w:r>
        <w:rPr>
          <w:i/>
          <w:iCs/>
        </w:rPr>
        <w:t>observed_auxiliary</w:t>
      </w:r>
      <w:proofErr w:type="spellEnd"/>
      <w:r>
        <w:rPr>
          <w:i/>
          <w:iCs/>
        </w:rPr>
        <w:t xml:space="preserve">, and null. The invariant excludes any combination of </w:t>
      </w:r>
      <w:proofErr w:type="spellStart"/>
      <w:r>
        <w:rPr>
          <w:i/>
          <w:iCs/>
        </w:rPr>
        <w:t>observed_authoritative</w:t>
      </w:r>
      <w:proofErr w:type="spellEnd"/>
      <w:r>
        <w:rPr>
          <w:i/>
          <w:iCs/>
        </w:rPr>
        <w:t xml:space="preserve"> and derived on the same variable at the same time.</w:t>
      </w:r>
    </w:p>
    <w:p w14:paraId="36BCFEC4" w14:textId="77777777" w:rsidR="008E1B31" w:rsidRDefault="00000000">
      <w:pPr>
        <w:spacing w:after="160" w:line="320" w:lineRule="auto"/>
        <w:jc w:val="both"/>
      </w:pPr>
      <w:r>
        <w:t xml:space="preserve">The invariant does not cover every failure mode. Sibling overlap — two assigned series whose coverage descriptors overlap geographically or temporally without one being an ancestor of the other — can still </w:t>
      </w:r>
      <w:proofErr w:type="gramStart"/>
      <w:r>
        <w:t>occur, and</w:t>
      </w:r>
      <w:proofErr w:type="gramEnd"/>
      <w:r>
        <w:t xml:space="preserve"> requires a pairwise coverage </w:t>
      </w:r>
      <w:proofErr w:type="spellStart"/>
      <w:r>
        <w:t>disjointness</w:t>
      </w:r>
      <w:proofErr w:type="spellEnd"/>
      <w:r>
        <w:t xml:space="preserve"> check across the assigned series at each level. The mass balance diagnostic at the authoritative level serves as a backstop for any remaining inconsistencies, surfacing them as large balancing items that the user can investigate. The invariant, the coverage </w:t>
      </w:r>
      <w:proofErr w:type="spellStart"/>
      <w:r>
        <w:t>disjointness</w:t>
      </w:r>
      <w:proofErr w:type="spellEnd"/>
      <w:r>
        <w:t xml:space="preserve"> check, and the mass balance diagnostic together form a layered defence against the aggregation and duplication errors that are otherwise endemic in multi-source commodity data pipelines.</w:t>
      </w:r>
    </w:p>
    <w:p w14:paraId="36BCFEC5" w14:textId="77777777" w:rsidR="008E1B31" w:rsidRDefault="00000000">
      <w:pPr>
        <w:pStyle w:val="Heading1"/>
        <w:pageBreakBefore/>
      </w:pPr>
      <w:r>
        <w:lastRenderedPageBreak/>
        <w:t>B.12 Junction Nodes, Collapsed States, and Latent Allocation</w:t>
      </w:r>
    </w:p>
    <w:p w14:paraId="36BCFEC6" w14:textId="77777777" w:rsidR="008E1B31" w:rsidRDefault="00000000">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000000">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000000">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000000">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000000">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000000">
      <w:pPr>
        <w:spacing w:after="160" w:line="320" w:lineRule="auto"/>
        <w:jc w:val="both"/>
      </w:pPr>
      <w:r>
        <w:lastRenderedPageBreak/>
        <w:t xml:space="preserve">This is the </w:t>
      </w:r>
      <w:r>
        <w:rPr>
          <w:b/>
          <w:bCs/>
        </w:rPr>
        <w:t>latent allocation problem</w:t>
      </w:r>
      <w:r>
        <w:t xml:space="preserve">.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w:t>
      </w:r>
      <w:proofErr w:type="gramStart"/>
      <w:r>
        <w:t>neighbours</w:t>
      </w:r>
      <w:proofErr w:type="gramEnd"/>
      <w:r>
        <w:t xml:space="preserve">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000000">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000000">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000000">
      <w:pPr>
        <w:pStyle w:val="Heading1"/>
        <w:pageBreakBefore/>
      </w:pPr>
      <w:r>
        <w:lastRenderedPageBreak/>
        <w:t>B.13 Summary and Position in the Thesis</w:t>
      </w:r>
    </w:p>
    <w:p w14:paraId="36BCFECF" w14:textId="77777777" w:rsidR="008E1B31" w:rsidRDefault="00000000">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000000">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000000">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000000">
      <w:pPr>
        <w:pStyle w:val="Heading1"/>
        <w:pageBreakBefore/>
      </w:pPr>
      <w:r>
        <w:lastRenderedPageBreak/>
        <w:t>References</w:t>
      </w:r>
    </w:p>
    <w:p w14:paraId="36BCFED3" w14:textId="77777777" w:rsidR="008E1B31" w:rsidRDefault="00000000">
      <w:pPr>
        <w:spacing w:after="160" w:line="320" w:lineRule="auto"/>
        <w:jc w:val="both"/>
      </w:pPr>
      <w:r>
        <w:t>Energy Information Administration (EIA). Weekly Petroleum Status Report. U.S. Department of Energy. https://www.eia.gov/petroleum/supply/weekly/</w:t>
      </w:r>
    </w:p>
    <w:p w14:paraId="36BCFED4" w14:textId="77777777" w:rsidR="008E1B31" w:rsidRDefault="00000000">
      <w:pPr>
        <w:spacing w:after="160" w:line="320" w:lineRule="auto"/>
        <w:jc w:val="both"/>
      </w:pPr>
      <w:r>
        <w:t>Fattouh, B. (2011). An Anatomy of the Crude Oil Pricing System. Oxford Institute for Energy Studies, WPM 40.</w:t>
      </w:r>
    </w:p>
    <w:p w14:paraId="36BCFED5" w14:textId="77777777" w:rsidR="008E1B31" w:rsidRDefault="00000000">
      <w:pPr>
        <w:spacing w:after="160" w:line="320" w:lineRule="auto"/>
        <w:jc w:val="both"/>
      </w:pPr>
      <w:r>
        <w:t xml:space="preserve">Kazemi, Y. and Szmerekovsky, J. (2015). </w:t>
      </w:r>
      <w:proofErr w:type="spellStart"/>
      <w:r>
        <w:t>Modeling</w:t>
      </w:r>
      <w:proofErr w:type="spellEnd"/>
      <w:r>
        <w:t xml:space="preserve"> Downstream Petroleum Supply Chain. Transportation Research Part E, 83, pp. 111--125.</w:t>
      </w:r>
    </w:p>
    <w:p w14:paraId="36BCFED6" w14:textId="77777777" w:rsidR="008E1B31" w:rsidRDefault="00000000">
      <w:pPr>
        <w:spacing w:after="160" w:line="320" w:lineRule="auto"/>
        <w:jc w:val="both"/>
      </w:pPr>
      <w:r>
        <w:t>Li, Y., Yu, R., Shahabi, C., and Liu, Y. (2018). Diffusion Convolutional Recurrent Neural Network. ICLR.</w:t>
      </w:r>
    </w:p>
    <w:p w14:paraId="36BCFED7" w14:textId="77777777" w:rsidR="008E1B31" w:rsidRDefault="00000000">
      <w:pPr>
        <w:spacing w:after="160" w:line="320" w:lineRule="auto"/>
        <w:jc w:val="both"/>
      </w:pPr>
      <w:r>
        <w:t>Stopford, M. (2009). Maritime Economics. 3rd ed. Routledge.</w:t>
      </w:r>
    </w:p>
    <w:p w14:paraId="36BCFED8" w14:textId="77777777" w:rsidR="008E1B31" w:rsidRDefault="00000000">
      <w:pPr>
        <w:spacing w:after="160" w:line="320" w:lineRule="auto"/>
        <w:jc w:val="both"/>
      </w:pPr>
      <w:r>
        <w:t xml:space="preserve">Wasi, A. T., Islam, S. R., Karim, R., and </w:t>
      </w:r>
      <w:proofErr w:type="spellStart"/>
      <w:r>
        <w:t>Brintrup</w:t>
      </w:r>
      <w:proofErr w:type="spellEnd"/>
      <w:r>
        <w:t xml:space="preserve">, A. (2024). </w:t>
      </w:r>
      <w:proofErr w:type="spellStart"/>
      <w:r>
        <w:t>SupplyGraph</w:t>
      </w:r>
      <w:proofErr w:type="spellEnd"/>
      <w:r>
        <w:t>: A Benchmark Dataset for Supply Chain Planning using Graph Neural Networks. arXiv:2401.15299.</w:t>
      </w:r>
    </w:p>
    <w:p w14:paraId="36BCFED9"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DA" w14:textId="77777777" w:rsidR="008E1B31" w:rsidRDefault="00000000">
      <w:pPr>
        <w:pStyle w:val="Heading1"/>
        <w:pageBreakBefore/>
      </w:pPr>
      <w:r>
        <w:lastRenderedPageBreak/>
        <w:t>Annex C: Resolver Dispatch Rule Reference</w:t>
      </w:r>
    </w:p>
    <w:p w14:paraId="36BCFEDB" w14:textId="77777777" w:rsidR="008E1B31" w:rsidRDefault="00000000">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000000">
      <w:pPr>
        <w:pStyle w:val="Heading2"/>
      </w:pPr>
      <w:r>
        <w:t>C.1 Rule priority and short-circuit behaviour</w:t>
      </w:r>
    </w:p>
    <w:p w14:paraId="36BCFEDD" w14:textId="77777777" w:rsidR="008E1B31" w:rsidRDefault="00000000">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p w14:paraId="36BCFEDE" w14:textId="77777777" w:rsidR="008E1B31" w:rsidRDefault="00000000">
      <w:pPr>
        <w:spacing w:after="160" w:line="320" w:lineRule="auto"/>
        <w:jc w:val="both"/>
      </w:pPr>
      <w:r>
        <w:t>| Priority | Rule | Trigger condition | Output source |</w:t>
      </w:r>
    </w:p>
    <w:p w14:paraId="36BCFEDF" w14:textId="77777777" w:rsidR="008E1B31" w:rsidRDefault="00000000">
      <w:pPr>
        <w:spacing w:after="160" w:line="320" w:lineRule="auto"/>
        <w:jc w:val="both"/>
      </w:pPr>
      <w:r>
        <w:t>|—|—|—|—|</w:t>
      </w:r>
    </w:p>
    <w:p w14:paraId="36BCFEE0" w14:textId="77777777" w:rsidR="008E1B31" w:rsidRDefault="00000000">
      <w:pPr>
        <w:spacing w:after="160" w:line="320" w:lineRule="auto"/>
        <w:jc w:val="both"/>
      </w:pPr>
      <w:r>
        <w:t xml:space="preserve">| 1 | Observed |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 observed |</w:t>
      </w:r>
    </w:p>
    <w:p w14:paraId="36BCFEE1" w14:textId="77777777" w:rsidR="008E1B31" w:rsidRDefault="00000000">
      <w:pPr>
        <w:spacing w:after="160" w:line="320" w:lineRule="auto"/>
        <w:jc w:val="both"/>
      </w:pPr>
      <w:r>
        <w:t xml:space="preserve">| 2 | Zero | </w:t>
      </w:r>
      <w:r>
        <w:rPr>
          <w:rFonts w:ascii="Consolas" w:eastAsia="Consolas" w:hAnsi="Consolas" w:cs="Consolas"/>
        </w:rPr>
        <w:t>formula = '0'</w:t>
      </w:r>
      <w:r>
        <w:t xml:space="preserve"> | zero |</w:t>
      </w:r>
    </w:p>
    <w:p w14:paraId="36BCFEE2" w14:textId="77777777" w:rsidR="008E1B31" w:rsidRDefault="00000000">
      <w:pPr>
        <w:spacing w:after="160" w:line="320" w:lineRule="auto"/>
        <w:jc w:val="both"/>
      </w:pPr>
      <w:r>
        <w:t xml:space="preserve">| 3 | Latent (with reverse-mirror promotion) |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 latent or reverse-mirror |</w:t>
      </w:r>
    </w:p>
    <w:p w14:paraId="36BCFEE3" w14:textId="77777777" w:rsidR="008E1B31" w:rsidRDefault="00000000">
      <w:pPr>
        <w:spacing w:after="160" w:line="320" w:lineRule="auto"/>
        <w:jc w:val="both"/>
      </w:pPr>
      <w:r>
        <w:t xml:space="preserve">| 4 | Sum | </w:t>
      </w:r>
      <w:r>
        <w:rPr>
          <w:rFonts w:ascii="Consolas" w:eastAsia="Consolas" w:hAnsi="Consolas" w:cs="Consolas"/>
        </w:rPr>
        <w:t>formula = 'sum'</w:t>
      </w:r>
      <w:r>
        <w:t xml:space="preserve"> | derived |</w:t>
      </w:r>
    </w:p>
    <w:p w14:paraId="36BCFEE4" w14:textId="77777777" w:rsidR="008E1B31" w:rsidRDefault="00000000">
      <w:pPr>
        <w:spacing w:after="160" w:line="320" w:lineRule="auto"/>
        <w:jc w:val="both"/>
      </w:pPr>
      <w:r>
        <w:t xml:space="preserve">| 5 | Single-variable alias |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 derived |</w:t>
      </w:r>
    </w:p>
    <w:p w14:paraId="36BCFEE5" w14:textId="77777777" w:rsidR="008E1B31" w:rsidRDefault="00000000">
      <w:pPr>
        <w:spacing w:after="160" w:line="320" w:lineRule="auto"/>
        <w:jc w:val="both"/>
      </w:pPr>
      <w:r>
        <w:t>| 6 | Reverse mirror (standalone) | paired direction resolved, this direction has no own formula | derived |</w:t>
      </w:r>
    </w:p>
    <w:p w14:paraId="36BCFEE6" w14:textId="77777777" w:rsidR="008E1B31" w:rsidRDefault="00000000">
      <w:pPr>
        <w:spacing w:after="160" w:line="320" w:lineRule="auto"/>
        <w:jc w:val="both"/>
      </w:pPr>
      <w:r>
        <w:t xml:space="preserve">| 7 | Closure formula | balancing item with mixed-type inputs in </w:t>
      </w:r>
      <w:proofErr w:type="spellStart"/>
      <w:r>
        <w:t>formula_inputs</w:t>
      </w:r>
      <w:proofErr w:type="spellEnd"/>
      <w:r>
        <w:t xml:space="preserve"> | derived |</w:t>
      </w:r>
    </w:p>
    <w:p w14:paraId="36BCFEE7" w14:textId="77777777" w:rsidR="008E1B31" w:rsidRDefault="00000000">
      <w:pPr>
        <w:spacing w:after="160" w:line="320" w:lineRule="auto"/>
        <w:jc w:val="both"/>
      </w:pPr>
      <w:r>
        <w:t>| 8 | Arithmetic | formula matches signed-variable-references pattern | derived |</w:t>
      </w:r>
    </w:p>
    <w:p w14:paraId="36BCFEE8" w14:textId="77777777" w:rsidR="008E1B31" w:rsidRDefault="00000000">
      <w:pPr>
        <w:spacing w:after="160" w:line="320" w:lineRule="auto"/>
        <w:jc w:val="both"/>
      </w:pPr>
      <w:r>
        <w:t>| 9 | Unresolved (fallback) | none of the above matched | unresolved |</w:t>
      </w:r>
    </w:p>
    <w:p w14:paraId="36BCFEE9" w14:textId="77777777" w:rsidR="008E1B31" w:rsidRDefault="00000000">
      <w:pPr>
        <w:pStyle w:val="Heading2"/>
      </w:pPr>
      <w:r>
        <w:t>C.2 Rule details</w:t>
      </w:r>
    </w:p>
    <w:p w14:paraId="36BCFEEA" w14:textId="77777777" w:rsidR="008E1B31" w:rsidRDefault="00000000">
      <w:pPr>
        <w:pStyle w:val="Heading3"/>
      </w:pPr>
      <w:r>
        <w:t>C.2.1 Rule 1: Observed</w:t>
      </w:r>
    </w:p>
    <w:p w14:paraId="36BCFEEB" w14:textId="77777777" w:rsidR="008E1B31" w:rsidRDefault="00000000">
      <w:pPr>
        <w:spacing w:after="160" w:line="320" w:lineRule="auto"/>
        <w:jc w:val="both"/>
      </w:pPr>
      <w:r>
        <w:t xml:space="preserve">The variable carries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rule performs a direct lookup against </w:t>
      </w:r>
      <w:proofErr w:type="spellStart"/>
      <w:r>
        <w:rPr>
          <w:rFonts w:ascii="Consolas" w:eastAsia="Consolas" w:hAnsi="Consolas" w:cs="Consolas"/>
        </w:rPr>
        <w:t>timeseries_data</w:t>
      </w:r>
      <w:proofErr w:type="spellEnd"/>
      <w:r>
        <w:t xml:space="preserve"> at the observation date. The lookup is a primary key access on </w:t>
      </w:r>
      <w:r>
        <w:rPr>
          <w:rFonts w:ascii="Consolas" w:eastAsia="Consolas" w:hAnsi="Consolas" w:cs="Consolas"/>
        </w:rPr>
        <w:t>(</w:t>
      </w:r>
      <w:proofErr w:type="spellStart"/>
      <w:r>
        <w:rPr>
          <w:rFonts w:ascii="Consolas" w:eastAsia="Consolas" w:hAnsi="Consolas" w:cs="Consolas"/>
        </w:rPr>
        <w:t>timeseries_id</w:t>
      </w:r>
      <w:proofErr w:type="spellEnd"/>
      <w:r>
        <w:rPr>
          <w:rFonts w:ascii="Consolas" w:eastAsia="Consolas" w:hAnsi="Consolas" w:cs="Consolas"/>
        </w:rPr>
        <w:t xml:space="preserve">, </w:t>
      </w:r>
      <w:proofErr w:type="spellStart"/>
      <w:r>
        <w:rPr>
          <w:rFonts w:ascii="Consolas" w:eastAsia="Consolas" w:hAnsi="Consolas" w:cs="Consolas"/>
        </w:rPr>
        <w:t>observation_date</w:t>
      </w:r>
      <w:proofErr w:type="spellEnd"/>
      <w:r>
        <w:rPr>
          <w:rFonts w:ascii="Consolas" w:eastAsia="Consolas" w:hAnsi="Consolas" w:cs="Consolas"/>
        </w:rPr>
        <w:t>)</w:t>
      </w:r>
      <w:r>
        <w:t>.</w:t>
      </w:r>
    </w:p>
    <w:p w14:paraId="36BCFEEC" w14:textId="77777777" w:rsidR="008E1B31" w:rsidRDefault="00000000">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w:t>
      </w:r>
      <w:proofErr w:type="spellStart"/>
      <w:r>
        <w:rPr>
          <w:rFonts w:ascii="Consolas" w:eastAsia="Consolas" w:hAnsi="Consolas" w:cs="Consolas"/>
        </w:rPr>
        <w:t>timeseries_id</w:t>
      </w:r>
      <w:proofErr w:type="spellEnd"/>
      <w:r>
        <w:rPr>
          <w:rFonts w:ascii="Consolas" w:eastAsia="Consolas" w:hAnsi="Consolas" w:cs="Consolas"/>
        </w:rPr>
        <w:t>&gt;</w:t>
      </w:r>
      <w:r>
        <w:t>.</w:t>
      </w:r>
    </w:p>
    <w:p w14:paraId="36BCFEED" w14:textId="77777777" w:rsidR="008E1B31" w:rsidRDefault="00000000">
      <w:pPr>
        <w:spacing w:after="160" w:line="320" w:lineRule="auto"/>
        <w:jc w:val="both"/>
      </w:pPr>
      <w:r>
        <w:rPr>
          <w:b/>
          <w:bCs/>
        </w:rPr>
        <w:lastRenderedPageBreak/>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transient state, which the L4 views flag as a partial coverage warning. Future revision will distinguish "observed but null" from "unresolved".</w:t>
      </w:r>
    </w:p>
    <w:p w14:paraId="36BCFEEE" w14:textId="77777777" w:rsidR="008E1B31" w:rsidRDefault="00000000">
      <w:pPr>
        <w:pStyle w:val="Heading3"/>
      </w:pPr>
      <w:r>
        <w:t>C.2.2 Rule 2: Structural zero</w:t>
      </w:r>
    </w:p>
    <w:p w14:paraId="36BCFEEF" w14:textId="77777777" w:rsidR="008E1B31" w:rsidRDefault="00000000">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proofErr w:type="spellStart"/>
      <w:r>
        <w:rPr>
          <w:rFonts w:ascii="Consolas" w:eastAsia="Consolas" w:hAnsi="Consolas" w:cs="Consolas"/>
        </w:rPr>
        <w:t>node_type_default_formulas</w:t>
      </w:r>
      <w:proofErr w:type="spellEnd"/>
      <w:r>
        <w:t>: pipeline P, C, ΔS, B; refinery outflow; gathering P (within-basin); and other physical structural zeros.</w:t>
      </w:r>
    </w:p>
    <w:p w14:paraId="36BCFEF0" w14:textId="77777777" w:rsidR="008E1B31" w:rsidRDefault="00000000">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'0'</w:t>
      </w:r>
      <w:r>
        <w:t>.</w:t>
      </w:r>
    </w:p>
    <w:p w14:paraId="36BCFEF1" w14:textId="77777777" w:rsidR="008E1B31" w:rsidRDefault="00000000">
      <w:pPr>
        <w:spacing w:after="160" w:line="320" w:lineRule="auto"/>
        <w:jc w:val="both"/>
      </w:pPr>
      <w:r>
        <w:rPr>
          <w:b/>
          <w:bCs/>
        </w:rPr>
        <w:t>Failure mode:</w:t>
      </w:r>
      <w:r>
        <w:t xml:space="preserve"> None. This rule cannot fail.</w:t>
      </w:r>
    </w:p>
    <w:p w14:paraId="36BCFEF2" w14:textId="77777777" w:rsidR="008E1B31" w:rsidRDefault="00000000">
      <w:pPr>
        <w:pStyle w:val="Heading3"/>
      </w:pPr>
      <w:r>
        <w:t>C.2.3 Rule 3: Latent with reverse-mirror promotion</w:t>
      </w:r>
    </w:p>
    <w:p w14:paraId="36BCFEF3" w14:textId="77777777" w:rsidR="008E1B31" w:rsidRDefault="00000000">
      <w:pPr>
        <w:spacing w:after="160" w:line="320" w:lineRule="auto"/>
        <w:jc w:val="both"/>
      </w:pPr>
      <w:r>
        <w:t xml:space="preserve">The variable carries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000000">
      <w:pPr>
        <w:spacing w:after="160" w:line="320" w:lineRule="auto"/>
        <w:jc w:val="both"/>
      </w:pPr>
      <w:r>
        <w:rPr>
          <w:b/>
          <w:bCs/>
        </w:rPr>
        <w:t>Outputs depending on the promotion:</w:t>
      </w:r>
    </w:p>
    <w:p w14:paraId="36BCFEF5" w14:textId="77777777" w:rsidR="008E1B31" w:rsidRDefault="00000000">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reverse_mirror_promotion</w:t>
      </w:r>
      <w:proofErr w:type="spellEnd"/>
      <w:r>
        <w:rPr>
          <w:rFonts w:ascii="Consolas" w:eastAsia="Consolas" w:hAnsi="Consolas" w:cs="Consolas"/>
        </w:rPr>
        <w:t>'</w:t>
      </w:r>
      <w:r>
        <w:t>.</w:t>
      </w:r>
    </w:p>
    <w:p w14:paraId="36BCFEF6" w14:textId="77777777" w:rsidR="008E1B31" w:rsidRDefault="00000000">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gramStart"/>
      <w:r>
        <w:rPr>
          <w:rFonts w:ascii="Consolas" w:eastAsia="Consolas" w:hAnsi="Consolas" w:cs="Consolas"/>
        </w:rPr>
        <w:t>latent(</w:t>
      </w:r>
      <w:proofErr w:type="gramEnd"/>
      <w:r>
        <w:rPr>
          <w:rFonts w:ascii="Consolas" w:eastAsia="Consolas" w:hAnsi="Consolas" w:cs="Consolas"/>
        </w:rPr>
        <w:t>)'</w:t>
      </w:r>
      <w:r>
        <w:t>.</w:t>
      </w:r>
    </w:p>
    <w:p w14:paraId="36BCFEF7" w14:textId="77777777" w:rsidR="008E1B31" w:rsidRDefault="00000000">
      <w:pPr>
        <w:spacing w:after="80"/>
      </w:pPr>
      <w:r>
        <w:rPr>
          <w:sz w:val="12"/>
          <w:szCs w:val="12"/>
        </w:rPr>
        <w:t xml:space="preserve"> </w:t>
      </w:r>
    </w:p>
    <w:p w14:paraId="36BCFEF8" w14:textId="77777777" w:rsidR="008E1B31" w:rsidRDefault="00000000">
      <w:pPr>
        <w:spacing w:after="160" w:line="320" w:lineRule="auto"/>
        <w:jc w:val="both"/>
      </w:pPr>
      <w:r>
        <w:t xml:space="preserve">The mirror-promotion logic exists because Rule 3's natural priority position (before Rule 6) would otherwise short-circuit and prevent the standalone Rule 6 from firing for </w:t>
      </w:r>
      <w:proofErr w:type="gramStart"/>
      <w:r>
        <w:t>explicitly-latent</w:t>
      </w:r>
      <w:proofErr w:type="gramEnd"/>
      <w:r>
        <w:t xml:space="preserve"> variables.</w:t>
      </w:r>
    </w:p>
    <w:p w14:paraId="36BCFEF9" w14:textId="77777777" w:rsidR="008E1B31" w:rsidRDefault="00000000">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000000">
      <w:pPr>
        <w:pStyle w:val="Heading3"/>
      </w:pPr>
      <w:r>
        <w:t>C.2.4 Rule 4: Sum</w:t>
      </w:r>
    </w:p>
    <w:p w14:paraId="36BCFEFB" w14:textId="77777777" w:rsidR="008E1B31" w:rsidRDefault="00000000">
      <w:pPr>
        <w:spacing w:after="160" w:line="320" w:lineRule="auto"/>
        <w:jc w:val="both"/>
      </w:pPr>
      <w:r>
        <w:t xml:space="preserve">The variable carries </w:t>
      </w:r>
      <w:r>
        <w:rPr>
          <w:rFonts w:ascii="Consolas" w:eastAsia="Consolas" w:hAnsi="Consolas" w:cs="Consolas"/>
        </w:rPr>
        <w:t>formula = 'sum'</w:t>
      </w:r>
      <w:r>
        <w:t xml:space="preserve">. The rule sums every value in </w:t>
      </w:r>
      <w:proofErr w:type="spellStart"/>
      <w:r>
        <w:rPr>
          <w:rFonts w:ascii="Consolas" w:eastAsia="Consolas" w:hAnsi="Consolas" w:cs="Consolas"/>
        </w:rPr>
        <w:t>formula_inputs</w:t>
      </w:r>
      <w:proofErr w:type="spellEnd"/>
      <w:r>
        <w:t>; NULL inputs are skipped (treated as zero contribution).</w:t>
      </w:r>
    </w:p>
    <w:p w14:paraId="36BCFEFC" w14:textId="77777777" w:rsidR="008E1B31" w:rsidRDefault="00000000">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'sum'</w:t>
      </w:r>
      <w:r>
        <w:t>.</w:t>
      </w:r>
    </w:p>
    <w:p w14:paraId="36BCFEFD" w14:textId="77777777" w:rsidR="008E1B31" w:rsidRDefault="00000000">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proofErr w:type="spellStart"/>
      <w:r>
        <w:rPr>
          <w:rFonts w:ascii="Consolas" w:eastAsia="Consolas" w:hAnsi="Consolas" w:cs="Consolas"/>
        </w:rPr>
        <w:t>formula_inputs</w:t>
      </w:r>
      <w:proofErr w:type="spellEnd"/>
      <w:r>
        <w:t xml:space="preserve"> structure when a sum variable resolves to zero unexpectedly.</w:t>
      </w:r>
    </w:p>
    <w:p w14:paraId="36BCFEFE" w14:textId="77777777" w:rsidR="008E1B31" w:rsidRDefault="00000000">
      <w:pPr>
        <w:spacing w:after="160" w:line="320" w:lineRule="auto"/>
        <w:jc w:val="both"/>
      </w:pPr>
      <w:r>
        <w:lastRenderedPageBreak/>
        <w:t>The rule is the twelfth-pass collapse of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The semantic role of any given sum is recoverable from the structure of </w:t>
      </w:r>
      <w:proofErr w:type="spellStart"/>
      <w:r>
        <w:rPr>
          <w:rFonts w:ascii="Consolas" w:eastAsia="Consolas" w:hAnsi="Consolas" w:cs="Consolas"/>
        </w:rPr>
        <w:t>formula_inputs</w:t>
      </w:r>
      <w:proofErr w:type="spellEnd"/>
      <w:r>
        <w:t xml:space="preserve"> and does not need to be encoded in the formula text.</w:t>
      </w:r>
    </w:p>
    <w:p w14:paraId="36BCFEFF" w14:textId="77777777" w:rsidR="008E1B31" w:rsidRDefault="00000000">
      <w:pPr>
        <w:pStyle w:val="Heading3"/>
      </w:pPr>
      <w:r>
        <w:t>C.2.5 Rule 5: Single-variable alias</w:t>
      </w:r>
    </w:p>
    <w:p w14:paraId="36BCFF00" w14:textId="77777777" w:rsidR="008E1B31" w:rsidRDefault="00000000">
      <w:pPr>
        <w:spacing w:after="160" w:line="320" w:lineRule="auto"/>
        <w:jc w:val="both"/>
      </w:pPr>
      <w:r>
        <w:t xml:space="preserve">The variable carries </w:t>
      </w:r>
      <w:r>
        <w:rPr>
          <w:rFonts w:ascii="Consolas" w:eastAsia="Consolas" w:hAnsi="Consolas" w:cs="Consolas"/>
        </w:rPr>
        <w:t>formula = &lt;</w:t>
      </w:r>
      <w:proofErr w:type="spellStart"/>
      <w:r>
        <w:rPr>
          <w:rFonts w:ascii="Consolas" w:eastAsia="Consolas" w:hAnsi="Consolas" w:cs="Consolas"/>
        </w:rPr>
        <w:t>bare_variable_id</w:t>
      </w:r>
      <w:proofErr w:type="spellEnd"/>
      <w:r>
        <w:rPr>
          <w:rFonts w:ascii="Consolas" w:eastAsia="Consolas" w:hAnsi="Consolas" w:cs="Consolas"/>
        </w:rPr>
        <w:t>&gt;</w:t>
      </w:r>
      <w:r>
        <w:t xml:space="preserve"> (a bare identifier matching exactly one entry in </w:t>
      </w:r>
      <w:proofErr w:type="spellStart"/>
      <w:r>
        <w:rPr>
          <w:rFonts w:ascii="Consolas" w:eastAsia="Consolas" w:hAnsi="Consolas" w:cs="Consolas"/>
        </w:rPr>
        <w:t>formula_inputs</w:t>
      </w:r>
      <w:proofErr w:type="spellEnd"/>
      <w:r>
        <w:t>). The rule inherits the value of the named target.</w:t>
      </w:r>
    </w:p>
    <w:p w14:paraId="36BCFF01" w14:textId="77777777" w:rsidR="008E1B31" w:rsidRDefault="00000000">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'alias(&lt;</w:t>
      </w:r>
      <w:proofErr w:type="spellStart"/>
      <w:r>
        <w:rPr>
          <w:rFonts w:ascii="Consolas" w:eastAsia="Consolas" w:hAnsi="Consolas" w:cs="Consolas"/>
        </w:rPr>
        <w:t>bare_variable_id</w:t>
      </w:r>
      <w:proofErr w:type="spellEnd"/>
      <w:r>
        <w:rPr>
          <w:rFonts w:ascii="Consolas" w:eastAsia="Consolas" w:hAnsi="Consolas" w:cs="Consolas"/>
        </w:rPr>
        <w:t>&gt;)'</w:t>
      </w:r>
      <w:r>
        <w:t>.</w:t>
      </w:r>
    </w:p>
    <w:p w14:paraId="36BCFF02" w14:textId="77777777" w:rsidR="008E1B31" w:rsidRDefault="00000000">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000000">
      <w:pPr>
        <w:pStyle w:val="Heading3"/>
      </w:pPr>
      <w:r>
        <w:t>C.2.6 Rule 6: Reverse mirror (standalone)</w:t>
      </w:r>
    </w:p>
    <w:p w14:paraId="36BCFF04" w14:textId="77777777" w:rsidR="008E1B31" w:rsidRDefault="00000000">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000000">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w:t>
      </w:r>
      <w:proofErr w:type="spellEnd"/>
      <w:r>
        <w:rPr>
          <w:rFonts w:ascii="Consolas" w:eastAsia="Consolas" w:hAnsi="Consolas" w:cs="Consolas"/>
        </w:rPr>
        <w:t>'</w:t>
      </w:r>
      <w:r>
        <w:t>.</w:t>
      </w:r>
    </w:p>
    <w:p w14:paraId="36BCFF06" w14:textId="77777777" w:rsidR="008E1B31" w:rsidRDefault="00000000">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000000">
      <w:pPr>
        <w:pStyle w:val="Heading3"/>
      </w:pPr>
      <w:r>
        <w:t>C.2.7 Rule 7: Closure formula</w:t>
      </w:r>
    </w:p>
    <w:p w14:paraId="36BCFF08" w14:textId="77777777" w:rsidR="008E1B31" w:rsidRDefault="00000000">
      <w:pPr>
        <w:spacing w:after="160" w:line="320" w:lineRule="auto"/>
        <w:jc w:val="both"/>
      </w:pPr>
      <w:r>
        <w:t xml:space="preserve">The variable is a balancing item whose </w:t>
      </w:r>
      <w:proofErr w:type="spellStart"/>
      <w:r>
        <w:rPr>
          <w:rFonts w:ascii="Consolas" w:eastAsia="Consolas" w:hAnsi="Consolas" w:cs="Consolas"/>
        </w:rPr>
        <w:t>formula_inputs</w:t>
      </w:r>
      <w:proofErr w:type="spellEnd"/>
      <w:r>
        <w:t xml:space="preserve"> mix inventory, inflow, and outflow variables. The rule evaluates the closure equation:</w:t>
      </w:r>
    </w:p>
    <w:p w14:paraId="36BCFF09"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F0A" w14:textId="77777777" w:rsidR="008E1B31" w:rsidRDefault="00000000">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'closure'</w:t>
      </w:r>
      <w:r>
        <w:t>.</w:t>
      </w:r>
    </w:p>
    <w:p w14:paraId="36BCFF0B" w14:textId="77777777" w:rsidR="008E1B31" w:rsidRDefault="00000000">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000000">
      <w:pPr>
        <w:pStyle w:val="Heading3"/>
      </w:pPr>
      <w:r>
        <w:t>C.2.8 Rule 8: Arithmetic combination</w:t>
      </w:r>
    </w:p>
    <w:p w14:paraId="36BCFF0D" w14:textId="77777777" w:rsidR="008E1B31" w:rsidRDefault="00000000">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rule parses the signed terms via a regular expression that extracts (sign, </w:t>
      </w:r>
      <w:proofErr w:type="spellStart"/>
      <w:r>
        <w:t>variable_id</w:t>
      </w:r>
      <w:proofErr w:type="spellEnd"/>
      <w:r>
        <w:t xml:space="preserve">) pairs and aborts if any term fails to match a variable in </w:t>
      </w:r>
      <w:proofErr w:type="spellStart"/>
      <w:r>
        <w:rPr>
          <w:rFonts w:ascii="Consolas" w:eastAsia="Consolas" w:hAnsi="Consolas" w:cs="Consolas"/>
        </w:rPr>
        <w:t>formula_inputs</w:t>
      </w:r>
      <w:proofErr w:type="spellEnd"/>
      <w:r>
        <w:t>.</w:t>
      </w:r>
    </w:p>
    <w:p w14:paraId="36BCFF0E" w14:textId="77777777" w:rsidR="008E1B31" w:rsidRDefault="00000000">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&lt;original formula string&gt;</w:t>
      </w:r>
      <w:r>
        <w:t>.</w:t>
      </w:r>
    </w:p>
    <w:p w14:paraId="36BCFF0F" w14:textId="77777777" w:rsidR="008E1B31" w:rsidRDefault="00000000">
      <w:pPr>
        <w:spacing w:after="160" w:line="320" w:lineRule="auto"/>
        <w:jc w:val="both"/>
      </w:pPr>
      <w:r>
        <w:rPr>
          <w:b/>
          <w:bCs/>
        </w:rPr>
        <w:lastRenderedPageBreak/>
        <w:t>Failure mode:</w:t>
      </w:r>
      <w:r>
        <w:t xml:space="preserve"> Parser fails to match the formula text. The variable falls through to Rule 9.</w:t>
      </w:r>
    </w:p>
    <w:p w14:paraId="36BCFF10" w14:textId="77777777" w:rsidR="008E1B31" w:rsidRDefault="00000000">
      <w:pPr>
        <w:pStyle w:val="Heading3"/>
      </w:pPr>
      <w:r>
        <w:t>C.2.9 Rule 9: Unresolved (fallback)</w:t>
      </w:r>
    </w:p>
    <w:p w14:paraId="36BCFF11" w14:textId="77777777" w:rsidR="008E1B31" w:rsidRDefault="00000000">
      <w:pPr>
        <w:spacing w:after="160" w:line="320" w:lineRule="auto"/>
        <w:jc w:val="both"/>
      </w:pPr>
      <w:r>
        <w:t>None of the above rules matched.</w:t>
      </w:r>
    </w:p>
    <w:p w14:paraId="36BCFF12" w14:textId="77777777" w:rsidR="008E1B31" w:rsidRDefault="00000000">
      <w:pPr>
        <w:spacing w:after="160" w:line="320" w:lineRule="auto"/>
        <w:jc w:val="both"/>
      </w:pPr>
      <w:r>
        <w:rPr>
          <w:b/>
          <w:bCs/>
        </w:rPr>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NULL</w:t>
      </w:r>
      <w:r>
        <w:t>.</w:t>
      </w:r>
    </w:p>
    <w:p w14:paraId="36BCFF13" w14:textId="77777777" w:rsidR="008E1B31" w:rsidRDefault="00000000">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proofErr w:type="spellStart"/>
      <w:r>
        <w:rPr>
          <w:rFonts w:ascii="Consolas" w:eastAsia="Consolas" w:hAnsi="Consolas" w:cs="Consolas"/>
        </w:rPr>
        <w:t>scenario_resolved_values</w:t>
      </w:r>
      <w:proofErr w:type="spellEnd"/>
      <w:r>
        <w:rPr>
          <w:rFonts w:ascii="Consolas" w:eastAsia="Consolas" w:hAnsi="Consolas" w:cs="Consolas"/>
        </w:rPr>
        <w:t xml:space="preserve">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000000">
      <w:pPr>
        <w:pStyle w:val="Heading2"/>
      </w:pPr>
      <w:r>
        <w:t>C.3 The dependency DAG</w:t>
      </w:r>
    </w:p>
    <w:p w14:paraId="36BCFF15" w14:textId="77777777" w:rsidR="008E1B31" w:rsidRDefault="00000000">
      <w:pPr>
        <w:spacing w:after="160" w:line="320" w:lineRule="auto"/>
        <w:jc w:val="both"/>
      </w:pPr>
      <w:r>
        <w:t xml:space="preserve">The resolver's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function produces a </w:t>
      </w:r>
      <w:proofErr w:type="gramStart"/>
      <w:r>
        <w:t xml:space="preserve">dictionary </w:t>
      </w:r>
      <w:r>
        <w:rPr>
          <w:rFonts w:ascii="Consolas" w:eastAsia="Consolas" w:hAnsi="Consolas" w:cs="Consolas"/>
        </w:rPr>
        <w:t>deps[variable]</w:t>
      </w:r>
      <w:r>
        <w:t xml:space="preserve"> of upstream variable IDs</w:t>
      </w:r>
      <w:proofErr w:type="gramEnd"/>
      <w:r>
        <w:t xml:space="preserve"> that each variable depends on. The topological sort over this dictionary orders the variables so that each is resolved only after its dependencies.</w:t>
      </w:r>
    </w:p>
    <w:p w14:paraId="36BCFF16" w14:textId="77777777" w:rsidR="008E1B31" w:rsidRDefault="00000000">
      <w:pPr>
        <w:spacing w:after="160" w:line="320" w:lineRule="auto"/>
        <w:jc w:val="both"/>
      </w:pPr>
      <w:r>
        <w:t>Three sources contribute to the dependency dictionary:</w:t>
      </w:r>
    </w:p>
    <w:p w14:paraId="36BCFF17" w14:textId="77777777" w:rsidR="008E1B31" w:rsidRDefault="00000000">
      <w:pPr>
        <w:spacing w:after="160" w:line="320" w:lineRule="auto"/>
        <w:jc w:val="both"/>
      </w:pPr>
      <w:r>
        <w:t>| Source | Trigger | Dependency added |</w:t>
      </w:r>
    </w:p>
    <w:p w14:paraId="36BCFF18" w14:textId="77777777" w:rsidR="008E1B31" w:rsidRDefault="00000000">
      <w:pPr>
        <w:spacing w:after="160" w:line="320" w:lineRule="auto"/>
        <w:jc w:val="both"/>
      </w:pPr>
      <w:r>
        <w:t>|—|—|—|</w:t>
      </w:r>
    </w:p>
    <w:p w14:paraId="36BCFF19" w14:textId="77777777" w:rsidR="008E1B31" w:rsidRDefault="00000000">
      <w:pPr>
        <w:spacing w:after="160" w:line="320" w:lineRule="auto"/>
        <w:jc w:val="both"/>
      </w:pPr>
      <w:r>
        <w:t xml:space="preserve">| Formula inputs | Variable has a non-empty </w:t>
      </w:r>
      <w:proofErr w:type="spellStart"/>
      <w:r>
        <w:rPr>
          <w:rFonts w:ascii="Consolas" w:eastAsia="Consolas" w:hAnsi="Consolas" w:cs="Consolas"/>
        </w:rPr>
        <w:t>formula_inputs</w:t>
      </w:r>
      <w:proofErr w:type="spellEnd"/>
      <w:r>
        <w:t xml:space="preserve"> list | Every variable ID in the list that exists in the assignment set |</w:t>
      </w:r>
    </w:p>
    <w:p w14:paraId="36BCFF1A" w14:textId="77777777" w:rsidR="008E1B31" w:rsidRDefault="00000000">
      <w:pPr>
        <w:spacing w:after="160" w:line="320" w:lineRule="auto"/>
        <w:jc w:val="both"/>
      </w:pPr>
      <w:r>
        <w:t>| Fan-out at same node | Variable's formula is a sum over outflows | Every outflow variable at the same node, except itself |</w:t>
      </w:r>
    </w:p>
    <w:p w14:paraId="36BCFF1B" w14:textId="77777777" w:rsidR="008E1B31" w:rsidRDefault="00000000">
      <w:pPr>
        <w:spacing w:after="160" w:line="320" w:lineRule="auto"/>
        <w:jc w:val="both"/>
      </w:pPr>
      <w:r>
        <w:t>| Reverse mirror, hoisted | Variable is latent and paired direction is resolved | The paired direction's variable ID |</w:t>
      </w:r>
    </w:p>
    <w:p w14:paraId="36BCFF1C" w14:textId="77777777" w:rsidR="008E1B31" w:rsidRDefault="00000000">
      <w:pPr>
        <w:spacing w:after="160" w:line="320" w:lineRule="auto"/>
        <w:jc w:val="both"/>
      </w:pPr>
      <w:r>
        <w:t>Two cycle gates protect the reverse-mirror addition:</w:t>
      </w:r>
    </w:p>
    <w:p w14:paraId="36BCFF1D" w14:textId="77777777" w:rsidR="008E1B31" w:rsidRDefault="00000000">
      <w:pPr>
        <w:spacing w:after="160" w:line="320" w:lineRule="auto"/>
        <w:jc w:val="both"/>
      </w:pPr>
      <w:r>
        <w:t>| Gate | Condition |</w:t>
      </w:r>
    </w:p>
    <w:p w14:paraId="36BCFF1E" w14:textId="77777777" w:rsidR="008E1B31" w:rsidRDefault="00000000">
      <w:pPr>
        <w:spacing w:after="160" w:line="320" w:lineRule="auto"/>
        <w:jc w:val="both"/>
      </w:pPr>
      <w:r>
        <w:t>|—|—|</w:t>
      </w:r>
    </w:p>
    <w:p w14:paraId="36BCFF1F" w14:textId="77777777" w:rsidR="008E1B31" w:rsidRDefault="00000000">
      <w:pPr>
        <w:spacing w:after="160" w:line="320" w:lineRule="auto"/>
        <w:jc w:val="both"/>
      </w:pPr>
      <w:r>
        <w:t>| Paired side is non-latent | Without this, latent ↔ latent forms a two-node cycle |</w:t>
      </w:r>
    </w:p>
    <w:p w14:paraId="36BCFF20" w14:textId="77777777" w:rsidR="008E1B31" w:rsidRDefault="00000000">
      <w:pPr>
        <w:spacing w:after="160" w:line="320" w:lineRule="auto"/>
        <w:jc w:val="both"/>
      </w:pPr>
      <w:r>
        <w:t>| Paired side does not already alias from us | Without this, this side aliases from paired, paired aliases from this side → cycle |</w:t>
      </w:r>
    </w:p>
    <w:p w14:paraId="36BCFF21" w14:textId="77777777" w:rsidR="008E1B31" w:rsidRDefault="00000000">
      <w:pPr>
        <w:spacing w:after="160" w:line="320" w:lineRule="auto"/>
        <w:jc w:val="both"/>
      </w:pPr>
      <w:r>
        <w:t xml:space="preserve">A cycle detected by the topological sort raises a </w:t>
      </w:r>
      <w:proofErr w:type="spellStart"/>
      <w:r>
        <w:rPr>
          <w:rFonts w:ascii="Consolas" w:eastAsia="Consolas" w:hAnsi="Consolas" w:cs="Consolas"/>
        </w:rPr>
        <w:t>CycleError</w:t>
      </w:r>
      <w:proofErr w:type="spellEnd"/>
      <w:r>
        <w:t xml:space="preserve"> and halts the resolver. The audit row records the failure with a non-NULL </w:t>
      </w:r>
      <w:proofErr w:type="spellStart"/>
      <w:r>
        <w:rPr>
          <w:rFonts w:ascii="Consolas" w:eastAsia="Consolas" w:hAnsi="Consolas" w:cs="Consolas"/>
        </w:rPr>
        <w:t>failed_at</w:t>
      </w:r>
      <w:proofErr w:type="spellEnd"/>
      <w:r>
        <w:t xml:space="preserve"> timestamp.</w:t>
      </w:r>
    </w:p>
    <w:p w14:paraId="36BCFF22" w14:textId="77777777" w:rsidR="008E1B31" w:rsidRDefault="00000000">
      <w:pPr>
        <w:pStyle w:val="Heading2"/>
      </w:pPr>
      <w:r>
        <w:lastRenderedPageBreak/>
        <w:t>C.4 Healthy-run signature</w:t>
      </w:r>
    </w:p>
    <w:p w14:paraId="36BCFF23" w14:textId="77777777" w:rsidR="008E1B31" w:rsidRDefault="00000000">
      <w:pPr>
        <w:spacing w:after="160" w:line="320" w:lineRule="auto"/>
        <w:jc w:val="both"/>
      </w:pPr>
      <w:r>
        <w:t>The dispatch counts in a healthy run on the starter scenario are stable across repeated runs:</w:t>
      </w:r>
    </w:p>
    <w:p w14:paraId="36BCFF24" w14:textId="77777777" w:rsidR="008E1B31" w:rsidRDefault="00000000">
      <w:pPr>
        <w:spacing w:after="160" w:line="320" w:lineRule="auto"/>
        <w:jc w:val="both"/>
      </w:pPr>
      <w:r>
        <w:t>| Rule | Expected count |</w:t>
      </w:r>
    </w:p>
    <w:p w14:paraId="36BCFF25" w14:textId="77777777" w:rsidR="008E1B31" w:rsidRDefault="00000000">
      <w:pPr>
        <w:spacing w:after="160" w:line="320" w:lineRule="auto"/>
        <w:jc w:val="both"/>
      </w:pPr>
      <w:r>
        <w:t>|—|—|</w:t>
      </w:r>
    </w:p>
    <w:p w14:paraId="36BCFF26" w14:textId="77777777" w:rsidR="008E1B31" w:rsidRDefault="00000000">
      <w:pPr>
        <w:spacing w:after="160" w:line="320" w:lineRule="auto"/>
        <w:jc w:val="both"/>
      </w:pPr>
      <w:r>
        <w:t>| observed | 80 |</w:t>
      </w:r>
    </w:p>
    <w:p w14:paraId="36BCFF27" w14:textId="77777777" w:rsidR="008E1B31" w:rsidRDefault="00000000">
      <w:pPr>
        <w:spacing w:after="160" w:line="320" w:lineRule="auto"/>
        <w:jc w:val="both"/>
      </w:pPr>
      <w:r>
        <w:t>| zero | 628 |</w:t>
      </w:r>
    </w:p>
    <w:p w14:paraId="36BCFF28" w14:textId="77777777" w:rsidR="008E1B31" w:rsidRDefault="00000000">
      <w:pPr>
        <w:spacing w:after="160" w:line="320" w:lineRule="auto"/>
        <w:jc w:val="both"/>
      </w:pPr>
      <w:r>
        <w:t>| latent | 652 |</w:t>
      </w:r>
    </w:p>
    <w:p w14:paraId="36BCFF29" w14:textId="77777777" w:rsidR="008E1B31" w:rsidRDefault="00000000">
      <w:pPr>
        <w:spacing w:after="160" w:line="320" w:lineRule="auto"/>
        <w:jc w:val="both"/>
      </w:pPr>
      <w:r>
        <w:t>| alias | 442 |</w:t>
      </w:r>
    </w:p>
    <w:p w14:paraId="36BCFF2A" w14:textId="77777777" w:rsidR="008E1B31" w:rsidRDefault="00000000">
      <w:pPr>
        <w:spacing w:after="160" w:line="320" w:lineRule="auto"/>
        <w:jc w:val="both"/>
      </w:pPr>
      <w:r>
        <w:t>| reverse-mirror | 15 |</w:t>
      </w:r>
    </w:p>
    <w:p w14:paraId="36BCFF2B" w14:textId="77777777" w:rsidR="008E1B31" w:rsidRDefault="00000000">
      <w:pPr>
        <w:spacing w:after="160" w:line="320" w:lineRule="auto"/>
        <w:jc w:val="both"/>
      </w:pPr>
      <w:r>
        <w:t>| arithmetic | 8 |</w:t>
      </w:r>
    </w:p>
    <w:p w14:paraId="36BCFF2C" w14:textId="77777777" w:rsidR="008E1B31" w:rsidRDefault="00000000">
      <w:pPr>
        <w:spacing w:after="160" w:line="320" w:lineRule="auto"/>
        <w:jc w:val="both"/>
      </w:pPr>
      <w:r>
        <w:t>| sum | 5 |</w:t>
      </w:r>
    </w:p>
    <w:p w14:paraId="36BCFF2D" w14:textId="77777777" w:rsidR="008E1B31" w:rsidRDefault="00000000">
      <w:pPr>
        <w:spacing w:after="160" w:line="320" w:lineRule="auto"/>
        <w:jc w:val="both"/>
      </w:pPr>
      <w:r>
        <w:t>| closure | 0 |</w:t>
      </w:r>
    </w:p>
    <w:p w14:paraId="36BCFF2E" w14:textId="77777777" w:rsidR="008E1B31" w:rsidRDefault="00000000">
      <w:pPr>
        <w:spacing w:after="160" w:line="320" w:lineRule="auto"/>
        <w:jc w:val="both"/>
      </w:pPr>
      <w:r>
        <w:t>| unresolved | 0 |</w:t>
      </w:r>
    </w:p>
    <w:p w14:paraId="36BCFF2F" w14:textId="77777777" w:rsidR="008E1B31" w:rsidRDefault="00000000">
      <w:pPr>
        <w:spacing w:after="160" w:line="320" w:lineRule="auto"/>
        <w:jc w:val="both"/>
      </w:pPr>
      <w:r>
        <w:t xml:space="preserve">| </w:t>
      </w:r>
      <w:r>
        <w:rPr>
          <w:b/>
          <w:bCs/>
        </w:rPr>
        <w:t>Total</w:t>
      </w:r>
      <w:r>
        <w:t xml:space="preserve"> | </w:t>
      </w:r>
      <w:r>
        <w:rPr>
          <w:b/>
          <w:bCs/>
        </w:rPr>
        <w:t>1,830</w:t>
      </w:r>
      <w:r>
        <w:t xml:space="preserve"> |</w:t>
      </w:r>
    </w:p>
    <w:p w14:paraId="36BCFF30" w14:textId="77777777" w:rsidR="008E1B31" w:rsidRDefault="00000000">
      <w:pPr>
        <w:spacing w:after="160" w:line="320" w:lineRule="auto"/>
        <w:jc w:val="both"/>
      </w:pPr>
      <w:r>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proofErr w:type="spellStart"/>
      <w:r>
        <w:rPr>
          <w:rFonts w:ascii="Consolas" w:eastAsia="Consolas" w:hAnsi="Consolas" w:cs="Consolas"/>
        </w:rPr>
        <w:t>scenario_resolver_</w:t>
      </w:r>
      <w:proofErr w:type="gramStart"/>
      <w:r>
        <w:rPr>
          <w:rFonts w:ascii="Consolas" w:eastAsia="Consolas" w:hAnsi="Consolas" w:cs="Consolas"/>
        </w:rPr>
        <w:t>runs.dispatch</w:t>
      </w:r>
      <w:proofErr w:type="gramEnd"/>
      <w:r>
        <w:rPr>
          <w:rFonts w:ascii="Consolas" w:eastAsia="Consolas" w:hAnsi="Consolas" w:cs="Consolas"/>
        </w:rPr>
        <w:t>_counts</w:t>
      </w:r>
      <w:proofErr w:type="spellEnd"/>
      <w:r>
        <w:t xml:space="preserve"> as JSONB and can be diffed across runs with standard SQL.</w:t>
      </w:r>
    </w:p>
    <w:p w14:paraId="36BCFF31" w14:textId="77777777" w:rsidR="008E1B31" w:rsidRDefault="00000000">
      <w:pPr>
        <w:pStyle w:val="Heading1"/>
        <w:pageBreakBefore/>
      </w:pPr>
      <w:r>
        <w:lastRenderedPageBreak/>
        <w:t>Annex D: Variable Catalogue and Starter Scenario Inventory</w:t>
      </w:r>
    </w:p>
    <w:p w14:paraId="36BCFF32" w14:textId="77777777" w:rsidR="008E1B31" w:rsidRDefault="00000000">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000000">
      <w:pPr>
        <w:pStyle w:val="Heading2"/>
      </w:pPr>
      <w:r>
        <w:t>D.1 Node inventory by class</w:t>
      </w:r>
    </w:p>
    <w:p w14:paraId="36BCFF34" w14:textId="77777777" w:rsidR="008E1B31" w:rsidRDefault="00000000">
      <w:pPr>
        <w:spacing w:after="160" w:line="320" w:lineRule="auto"/>
        <w:jc w:val="both"/>
      </w:pPr>
      <w:r>
        <w:t>| Class | Count | Examples |</w:t>
      </w:r>
    </w:p>
    <w:p w14:paraId="36BCFF35" w14:textId="77777777" w:rsidR="008E1B31" w:rsidRDefault="00000000">
      <w:pPr>
        <w:spacing w:after="160" w:line="320" w:lineRule="auto"/>
        <w:jc w:val="both"/>
      </w:pPr>
      <w:r>
        <w:t>|—|—|—|</w:t>
      </w:r>
    </w:p>
    <w:p w14:paraId="36BCFF36" w14:textId="77777777" w:rsidR="008E1B31" w:rsidRDefault="00000000">
      <w:pPr>
        <w:spacing w:after="160" w:line="320" w:lineRule="auto"/>
        <w:jc w:val="both"/>
      </w:pPr>
      <w:r>
        <w:t xml:space="preserve">| Production (physical) | 19 |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padd1_other through padd5_other, </w:t>
      </w:r>
      <w:proofErr w:type="spellStart"/>
      <w:r>
        <w:t>gulf_of_america</w:t>
      </w:r>
      <w:proofErr w:type="spellEnd"/>
      <w:r>
        <w:t xml:space="preserve"> |</w:t>
      </w:r>
    </w:p>
    <w:p w14:paraId="36BCFF37" w14:textId="77777777" w:rsidR="008E1B31" w:rsidRDefault="00000000">
      <w:pPr>
        <w:spacing w:after="160" w:line="320" w:lineRule="auto"/>
        <w:jc w:val="both"/>
      </w:pPr>
      <w:r>
        <w:t>| Refining (physical) | 24 (active; 115 total slots) | padd1_refinery_agg, padd2_refinery_agg through padd5_refinery_agg, 19 named refineries (Motiva Port Arthur, ExxonMobil Beaumont, Marathon Galveston Bay, BP Whiting, Marathon Detroit, Valero refineries, and others) |</w:t>
      </w:r>
    </w:p>
    <w:p w14:paraId="36BCFF38" w14:textId="77777777" w:rsidR="008E1B31" w:rsidRDefault="00000000">
      <w:pPr>
        <w:spacing w:after="160" w:line="320" w:lineRule="auto"/>
        <w:jc w:val="both"/>
      </w:pPr>
      <w:r>
        <w:t xml:space="preserve">| Storage (physical) | 10 | </w:t>
      </w:r>
      <w:proofErr w:type="spellStart"/>
      <w:r>
        <w:t>cushing_hub</w:t>
      </w:r>
      <w:proofErr w:type="spellEnd"/>
      <w:r>
        <w:t xml:space="preserve"> (with three operator sub-terminals: </w:t>
      </w:r>
      <w:proofErr w:type="spellStart"/>
      <w:r>
        <w:t>enterprise_cushing</w:t>
      </w:r>
      <w:proofErr w:type="spellEnd"/>
      <w:r>
        <w:t xml:space="preserve">, </w:t>
      </w:r>
      <w:proofErr w:type="spellStart"/>
      <w:r>
        <w:t>plains_cushing</w:t>
      </w:r>
      <w:proofErr w:type="spellEnd"/>
      <w:r>
        <w:t xml:space="preserve">, </w:t>
      </w:r>
      <w:proofErr w:type="spellStart"/>
      <w:r>
        <w:t>magellan_cushing</w:t>
      </w:r>
      <w:proofErr w:type="spellEnd"/>
      <w:r>
        <w:t xml:space="preserve">), </w:t>
      </w:r>
      <w:proofErr w:type="spellStart"/>
      <w:r>
        <w:t>patoka_hub</w:t>
      </w:r>
      <w:proofErr w:type="spellEnd"/>
      <w:r>
        <w:t xml:space="preserve">, </w:t>
      </w:r>
      <w:proofErr w:type="spellStart"/>
      <w:r>
        <w:t>houston_storage</w:t>
      </w:r>
      <w:proofErr w:type="spellEnd"/>
      <w:r>
        <w:t xml:space="preserve">, </w:t>
      </w:r>
      <w:proofErr w:type="spellStart"/>
      <w:r>
        <w:t>st_james_terminal</w:t>
      </w:r>
      <w:proofErr w:type="spellEnd"/>
      <w:r>
        <w:t xml:space="preserve">, </w:t>
      </w:r>
      <w:proofErr w:type="spellStart"/>
      <w:r>
        <w:t>loop_terminal</w:t>
      </w:r>
      <w:proofErr w:type="spellEnd"/>
      <w:r>
        <w:t>, others |</w:t>
      </w:r>
    </w:p>
    <w:p w14:paraId="36BCFF39" w14:textId="77777777" w:rsidR="008E1B31" w:rsidRDefault="00000000">
      <w:pPr>
        <w:spacing w:after="160" w:line="320" w:lineRule="auto"/>
        <w:jc w:val="both"/>
      </w:pPr>
      <w:r>
        <w:t xml:space="preserve">| SPR (physical) | 4 |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F3A" w14:textId="77777777" w:rsidR="008E1B31" w:rsidRDefault="00000000">
      <w:pPr>
        <w:spacing w:after="160" w:line="320" w:lineRule="auto"/>
        <w:jc w:val="both"/>
      </w:pPr>
      <w:r>
        <w:t xml:space="preserve">| Pipeline (physical) | 37 | </w:t>
      </w:r>
      <w:proofErr w:type="spellStart"/>
      <w:r>
        <w:t>seaway_south</w:t>
      </w:r>
      <w:proofErr w:type="spellEnd"/>
      <w:r>
        <w:t xml:space="preserve">, </w:t>
      </w:r>
      <w:proofErr w:type="spellStart"/>
      <w:r>
        <w:t>seaway_north</w:t>
      </w:r>
      <w:proofErr w:type="spellEnd"/>
      <w:r>
        <w:t xml:space="preserve">, </w:t>
      </w:r>
      <w:proofErr w:type="spellStart"/>
      <w:r>
        <w:t>capline_south</w:t>
      </w:r>
      <w:proofErr w:type="spellEnd"/>
      <w:r>
        <w:t xml:space="preserve">, </w:t>
      </w:r>
      <w:proofErr w:type="spellStart"/>
      <w:r>
        <w:t>capline_north</w:t>
      </w:r>
      <w:proofErr w:type="spellEnd"/>
      <w:r>
        <w:t xml:space="preserve">, </w:t>
      </w:r>
      <w:proofErr w:type="spellStart"/>
      <w:r>
        <w:t>keystone_xl</w:t>
      </w:r>
      <w:proofErr w:type="spellEnd"/>
      <w:r>
        <w:t xml:space="preserve">, </w:t>
      </w:r>
      <w:proofErr w:type="spellStart"/>
      <w:r>
        <w:t>marketlink</w:t>
      </w:r>
      <w:proofErr w:type="spellEnd"/>
      <w:r>
        <w:t xml:space="preserve">, diamond, </w:t>
      </w:r>
      <w:proofErr w:type="spellStart"/>
      <w:r>
        <w:t>pipe_bakken_xstate</w:t>
      </w:r>
      <w:proofErr w:type="spellEnd"/>
      <w:r>
        <w:t>, 12 inter_</w:t>
      </w:r>
      <w:proofErr w:type="spellStart"/>
      <w:r>
        <w:t>padd</w:t>
      </w:r>
      <w:proofErr w:type="spellEnd"/>
      <w:r>
        <w:t>_</w:t>
      </w:r>
      <w:r>
        <w:rPr>
          <w:i/>
          <w:iCs/>
        </w:rPr>
        <w:t>_to_</w:t>
      </w:r>
      <w:r>
        <w:t>_</w:t>
      </w:r>
      <w:proofErr w:type="spellStart"/>
      <w:r>
        <w:t>agg</w:t>
      </w:r>
      <w:proofErr w:type="spellEnd"/>
      <w:r>
        <w:t xml:space="preserve"> aggregates, and others |</w:t>
      </w:r>
    </w:p>
    <w:p w14:paraId="36BCFF3B" w14:textId="77777777" w:rsidR="008E1B31" w:rsidRDefault="00000000">
      <w:pPr>
        <w:spacing w:after="160" w:line="320" w:lineRule="auto"/>
        <w:jc w:val="both"/>
      </w:pPr>
      <w:r>
        <w:t xml:space="preserve">| Import terminal (physical) | 8 | </w:t>
      </w:r>
      <w:proofErr w:type="spellStart"/>
      <w:r>
        <w:t>clearbrook</w:t>
      </w:r>
      <w:proofErr w:type="spellEnd"/>
      <w:r>
        <w:t>, padd1_imports_agg through padd5_imports_agg, padd1_canadian_imports_agg, padd2_canadian_imports_agg, padd2_xstate |</w:t>
      </w:r>
    </w:p>
    <w:p w14:paraId="36BCFF3C" w14:textId="77777777" w:rsidR="008E1B31" w:rsidRDefault="00000000">
      <w:pPr>
        <w:spacing w:after="160" w:line="320" w:lineRule="auto"/>
        <w:jc w:val="both"/>
      </w:pPr>
      <w:r>
        <w:t xml:space="preserve">| Export terminal (physical) | 12 | ingleside, </w:t>
      </w:r>
      <w:proofErr w:type="spellStart"/>
      <w:r>
        <w:t>houston_exports_agg</w:t>
      </w:r>
      <w:proofErr w:type="spellEnd"/>
      <w:r>
        <w:t xml:space="preserve"> with three sub-terminals (</w:t>
      </w:r>
      <w:proofErr w:type="spellStart"/>
      <w:r>
        <w:t>enterprise_houston</w:t>
      </w:r>
      <w:proofErr w:type="spellEnd"/>
      <w:r>
        <w:t xml:space="preserve">, </w:t>
      </w:r>
      <w:proofErr w:type="spellStart"/>
      <w:r>
        <w:t>magellan_houston</w:t>
      </w:r>
      <w:proofErr w:type="spellEnd"/>
      <w:r>
        <w:t xml:space="preserve">, </w:t>
      </w:r>
      <w:proofErr w:type="spellStart"/>
      <w:r>
        <w:t>moda_midstream_houston</w:t>
      </w:r>
      <w:proofErr w:type="spellEnd"/>
      <w:r>
        <w:t xml:space="preserve">), </w:t>
      </w:r>
      <w:proofErr w:type="spellStart"/>
      <w:r>
        <w:t>nederland</w:t>
      </w:r>
      <w:proofErr w:type="spellEnd"/>
      <w:r>
        <w:t xml:space="preserve">, </w:t>
      </w:r>
      <w:proofErr w:type="spellStart"/>
      <w:r>
        <w:t>loop_exports</w:t>
      </w:r>
      <w:proofErr w:type="spellEnd"/>
      <w:r>
        <w:t xml:space="preserve">, </w:t>
      </w:r>
      <w:proofErr w:type="spellStart"/>
      <w:r>
        <w:t>st_james_exports</w:t>
      </w:r>
      <w:proofErr w:type="spellEnd"/>
      <w:r>
        <w:t>, padd1 through padd5 export aggregates |</w:t>
      </w:r>
    </w:p>
    <w:p w14:paraId="36BCFF3D" w14:textId="77777777" w:rsidR="008E1B31" w:rsidRDefault="00000000">
      <w:pPr>
        <w:spacing w:after="160" w:line="320" w:lineRule="auto"/>
        <w:jc w:val="both"/>
      </w:pPr>
      <w:r>
        <w:t xml:space="preserve">| Gathering (physical) | 6 | </w:t>
      </w:r>
      <w:proofErr w:type="spellStart"/>
      <w:r>
        <w:t>ans</w:t>
      </w:r>
      <w:proofErr w:type="spellEnd"/>
      <w:r>
        <w:t xml:space="preserve">, </w:t>
      </w:r>
      <w:proofErr w:type="spellStart"/>
      <w:r>
        <w:t>bakken_nd_gathering</w:t>
      </w:r>
      <w:proofErr w:type="spellEnd"/>
      <w:r>
        <w:t xml:space="preserve">, </w:t>
      </w:r>
      <w:proofErr w:type="spellStart"/>
      <w:r>
        <w:t>bakken_mt_gathering</w:t>
      </w:r>
      <w:proofErr w:type="spellEnd"/>
      <w:r>
        <w:t xml:space="preserve">, </w:t>
      </w:r>
      <w:proofErr w:type="spellStart"/>
      <w:r>
        <w:t>eagle_ford_gathering</w:t>
      </w:r>
      <w:proofErr w:type="spellEnd"/>
      <w:r>
        <w:t xml:space="preserve">, </w:t>
      </w:r>
      <w:proofErr w:type="spellStart"/>
      <w:r>
        <w:t>permian_nm_gathering</w:t>
      </w:r>
      <w:proofErr w:type="spellEnd"/>
      <w:r>
        <w:t xml:space="preserve">, </w:t>
      </w:r>
      <w:proofErr w:type="spellStart"/>
      <w:r>
        <w:t>permian_tx_gathering</w:t>
      </w:r>
      <w:proofErr w:type="spellEnd"/>
      <w:r>
        <w:t xml:space="preserve"> |</w:t>
      </w:r>
    </w:p>
    <w:p w14:paraId="36BCFF3E" w14:textId="77777777" w:rsidR="008E1B31" w:rsidRDefault="00000000">
      <w:pPr>
        <w:spacing w:after="160" w:line="320" w:lineRule="auto"/>
        <w:jc w:val="both"/>
      </w:pPr>
      <w:r>
        <w:t xml:space="preserve">| Origin terminal (physical) | 6 |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F3F" w14:textId="77777777" w:rsidR="008E1B31" w:rsidRDefault="00000000">
      <w:pPr>
        <w:spacing w:after="160" w:line="320" w:lineRule="auto"/>
        <w:jc w:val="both"/>
      </w:pPr>
      <w:r>
        <w:t xml:space="preserve">| Region view (abstract) | 6 | </w:t>
      </w:r>
      <w:proofErr w:type="spellStart"/>
      <w:r>
        <w:t>usa_view</w:t>
      </w:r>
      <w:proofErr w:type="spellEnd"/>
      <w:r>
        <w:t>, padd1_view through padd5_view |</w:t>
      </w:r>
    </w:p>
    <w:p w14:paraId="36BCFF40" w14:textId="77777777" w:rsidR="008E1B31" w:rsidRDefault="00000000">
      <w:pPr>
        <w:spacing w:after="160" w:line="320" w:lineRule="auto"/>
        <w:jc w:val="both"/>
      </w:pPr>
      <w:r>
        <w:lastRenderedPageBreak/>
        <w:t>| Refining district view (abstract) | 10 | refining_district_1A, 1B, 2A, 2B, 2C, 3A, 3B, 3C, 4_west, 5_combined |</w:t>
      </w:r>
    </w:p>
    <w:p w14:paraId="36BCFF41" w14:textId="77777777" w:rsidR="008E1B31" w:rsidRDefault="00000000">
      <w:pPr>
        <w:spacing w:after="160" w:line="320" w:lineRule="auto"/>
        <w:jc w:val="both"/>
      </w:pPr>
      <w:r>
        <w:t xml:space="preserve">| State view (abstract) | 2 | </w:t>
      </w:r>
      <w:proofErr w:type="spellStart"/>
      <w:r>
        <w:t>texas_state_view</w:t>
      </w:r>
      <w:proofErr w:type="spellEnd"/>
      <w:r>
        <w:t xml:space="preserve">, </w:t>
      </w:r>
      <w:proofErr w:type="spellStart"/>
      <w:r>
        <w:t>montana_state_view</w:t>
      </w:r>
      <w:proofErr w:type="spellEnd"/>
      <w:r>
        <w:t xml:space="preserve"> |</w:t>
      </w:r>
    </w:p>
    <w:p w14:paraId="36BCFF42" w14:textId="77777777" w:rsidR="008E1B31" w:rsidRDefault="00000000">
      <w:pPr>
        <w:spacing w:after="160" w:line="320" w:lineRule="auto"/>
        <w:jc w:val="both"/>
      </w:pPr>
      <w:r>
        <w:t xml:space="preserve">| Observational aggregate (abstract) | 4 | </w:t>
      </w:r>
      <w:proofErr w:type="spellStart"/>
      <w:r>
        <w:t>spr_total</w:t>
      </w:r>
      <w:proofErr w:type="spellEnd"/>
      <w:r>
        <w:t xml:space="preserve">, </w:t>
      </w:r>
      <w:proofErr w:type="spellStart"/>
      <w:r>
        <w:t>permian_aggregate</w:t>
      </w:r>
      <w:proofErr w:type="spellEnd"/>
      <w:r>
        <w:t xml:space="preserve">, </w:t>
      </w:r>
      <w:proofErr w:type="spellStart"/>
      <w:r>
        <w:t>bakken_aggregate</w:t>
      </w:r>
      <w:proofErr w:type="spellEnd"/>
      <w:r>
        <w:t xml:space="preserve">, </w:t>
      </w:r>
      <w:proofErr w:type="spellStart"/>
      <w:r>
        <w:t>eagle_ford_aggregate</w:t>
      </w:r>
      <w:proofErr w:type="spellEnd"/>
      <w:r>
        <w:t xml:space="preserve"> |</w:t>
      </w:r>
    </w:p>
    <w:p w14:paraId="36BCFF43" w14:textId="77777777" w:rsidR="008E1B31" w:rsidRDefault="00000000">
      <w:pPr>
        <w:spacing w:after="160" w:line="320" w:lineRule="auto"/>
        <w:jc w:val="both"/>
      </w:pPr>
      <w:r>
        <w:t>| USA subtotal view (abstract) | 1 | usa_lower48_excl_gom_view |</w:t>
      </w:r>
    </w:p>
    <w:p w14:paraId="36BCFF44" w14:textId="77777777" w:rsidR="008E1B31" w:rsidRDefault="00000000">
      <w:pPr>
        <w:spacing w:after="160" w:line="320" w:lineRule="auto"/>
        <w:jc w:val="both"/>
      </w:pPr>
      <w:r>
        <w:t xml:space="preserve">| Boundary | 4 | </w:t>
      </w:r>
      <w:proofErr w:type="spellStart"/>
      <w:r>
        <w:t>foreign_supply</w:t>
      </w:r>
      <w:proofErr w:type="spellEnd"/>
      <w:r>
        <w:t xml:space="preserve">, </w:t>
      </w:r>
      <w:proofErr w:type="spellStart"/>
      <w:r>
        <w:t>canadian_oil_sands</w:t>
      </w:r>
      <w:proofErr w:type="spellEnd"/>
      <w:r>
        <w:t xml:space="preserve">, </w:t>
      </w:r>
      <w:proofErr w:type="spellStart"/>
      <w:r>
        <w:t>foreign_export_destination</w:t>
      </w:r>
      <w:proofErr w:type="spellEnd"/>
      <w:r>
        <w:t xml:space="preserve">, </w:t>
      </w:r>
      <w:proofErr w:type="spellStart"/>
      <w:r>
        <w:t>spr_total</w:t>
      </w:r>
      <w:proofErr w:type="spellEnd"/>
      <w:r>
        <w:t xml:space="preserve"> (also boundary-functional) |</w:t>
      </w:r>
    </w:p>
    <w:p w14:paraId="36BCFF45" w14:textId="77777777" w:rsidR="008E1B31" w:rsidRDefault="00000000">
      <w:pPr>
        <w:spacing w:after="160" w:line="320" w:lineRule="auto"/>
        <w:jc w:val="both"/>
      </w:pPr>
      <w:r>
        <w:t xml:space="preserve">| </w:t>
      </w:r>
      <w:r>
        <w:rPr>
          <w:b/>
          <w:bCs/>
        </w:rPr>
        <w:t>Total</w:t>
      </w:r>
      <w:r>
        <w:t xml:space="preserve"> | </w:t>
      </w:r>
      <w:r>
        <w:rPr>
          <w:b/>
          <w:bCs/>
        </w:rPr>
        <w:t>240</w:t>
      </w:r>
      <w:r>
        <w:t xml:space="preserve"> | |</w:t>
      </w:r>
    </w:p>
    <w:p w14:paraId="36BCFF46" w14:textId="77777777" w:rsidR="008E1B31" w:rsidRDefault="00000000">
      <w:pPr>
        <w:pStyle w:val="Heading2"/>
      </w:pPr>
      <w:r>
        <w:t>D.2 Variables by type</w:t>
      </w:r>
    </w:p>
    <w:p w14:paraId="36BCFF47" w14:textId="77777777" w:rsidR="008E1B31" w:rsidRDefault="00000000">
      <w:pPr>
        <w:spacing w:after="160" w:line="320" w:lineRule="auto"/>
        <w:jc w:val="both"/>
      </w:pPr>
      <w:r>
        <w:t>The starter scenario carries 1,830 variables, distributed across the seven variable types as follows:</w:t>
      </w:r>
    </w:p>
    <w:p w14:paraId="36BCFF48" w14:textId="77777777" w:rsidR="008E1B31" w:rsidRDefault="00000000">
      <w:pPr>
        <w:spacing w:after="160" w:line="320" w:lineRule="auto"/>
        <w:jc w:val="both"/>
      </w:pPr>
      <w:r>
        <w:t>| Type | Symbol | Count | Note |</w:t>
      </w:r>
    </w:p>
    <w:p w14:paraId="36BCFF49" w14:textId="77777777" w:rsidR="008E1B31" w:rsidRDefault="00000000">
      <w:pPr>
        <w:spacing w:after="160" w:line="320" w:lineRule="auto"/>
        <w:jc w:val="both"/>
      </w:pPr>
      <w:r>
        <w:t>|—|—|—|—|</w:t>
      </w:r>
    </w:p>
    <w:p w14:paraId="36BCFF4A" w14:textId="77777777" w:rsidR="008E1B31" w:rsidRDefault="00000000">
      <w:pPr>
        <w:spacing w:after="160" w:line="320" w:lineRule="auto"/>
        <w:jc w:val="both"/>
      </w:pPr>
      <w:r>
        <w:t>| Production | P | 245 | One per (node × commodity), with non-applicable types set to zero |</w:t>
      </w:r>
    </w:p>
    <w:p w14:paraId="36BCFF4B" w14:textId="77777777" w:rsidR="008E1B31" w:rsidRDefault="00000000">
      <w:pPr>
        <w:spacing w:after="160" w:line="320" w:lineRule="auto"/>
        <w:jc w:val="both"/>
      </w:pPr>
      <w:r>
        <w:t>| Consumption | C | 245 | Same structure as P |</w:t>
      </w:r>
    </w:p>
    <w:p w14:paraId="36BCFF4C" w14:textId="77777777" w:rsidR="008E1B31" w:rsidRDefault="00000000">
      <w:pPr>
        <w:spacing w:after="160" w:line="320" w:lineRule="auto"/>
        <w:jc w:val="both"/>
      </w:pPr>
      <w:r>
        <w:t>| Inventory | S | 245 | Same structure as P |</w:t>
      </w:r>
    </w:p>
    <w:p w14:paraId="36BCFF4D" w14:textId="77777777" w:rsidR="008E1B31" w:rsidRDefault="00000000">
      <w:pPr>
        <w:spacing w:after="160" w:line="320" w:lineRule="auto"/>
        <w:jc w:val="both"/>
      </w:pPr>
      <w:r>
        <w:t>| Balancing item | B | 245 | Same structure as P |</w:t>
      </w:r>
    </w:p>
    <w:p w14:paraId="36BCFF4E" w14:textId="77777777" w:rsidR="008E1B31" w:rsidRDefault="00000000">
      <w:pPr>
        <w:spacing w:after="160" w:line="320" w:lineRule="auto"/>
        <w:jc w:val="both"/>
      </w:pPr>
      <w:r>
        <w:t xml:space="preserve">| Inflow | </w:t>
      </w:r>
      <w:proofErr w:type="spellStart"/>
      <w:r>
        <w:t>F_in</w:t>
      </w:r>
      <w:proofErr w:type="spellEnd"/>
      <w:r>
        <w:t xml:space="preserve"> | 410 | One per directed inbound edge per node |</w:t>
      </w:r>
    </w:p>
    <w:p w14:paraId="36BCFF4F" w14:textId="77777777" w:rsidR="008E1B31" w:rsidRDefault="00000000">
      <w:pPr>
        <w:spacing w:after="160" w:line="320" w:lineRule="auto"/>
        <w:jc w:val="both"/>
      </w:pPr>
      <w:r>
        <w:t xml:space="preserve">| Outflow | </w:t>
      </w:r>
      <w:proofErr w:type="spellStart"/>
      <w:r>
        <w:t>F_out</w:t>
      </w:r>
      <w:proofErr w:type="spellEnd"/>
      <w:r>
        <w:t xml:space="preserve"> | 410 | One per directed outbound edge per node (matches </w:t>
      </w:r>
      <w:proofErr w:type="spellStart"/>
      <w:r>
        <w:t>F_in</w:t>
      </w:r>
      <w:proofErr w:type="spellEnd"/>
      <w:r>
        <w:t xml:space="preserve"> count) |</w:t>
      </w:r>
    </w:p>
    <w:p w14:paraId="36BCFF50" w14:textId="77777777" w:rsidR="008E1B31" w:rsidRDefault="00000000">
      <w:pPr>
        <w:spacing w:after="160" w:line="320" w:lineRule="auto"/>
        <w:jc w:val="both"/>
      </w:pPr>
      <w:r>
        <w:t>| Phi (reference) | φ | 30 | Used for cross-node alias chains in derived aggregates |</w:t>
      </w:r>
    </w:p>
    <w:p w14:paraId="36BCFF51" w14:textId="77777777" w:rsidR="008E1B31" w:rsidRDefault="00000000">
      <w:pPr>
        <w:spacing w:after="160" w:line="320" w:lineRule="auto"/>
        <w:jc w:val="both"/>
      </w:pPr>
      <w:r>
        <w:t xml:space="preserve">| </w:t>
      </w:r>
      <w:r>
        <w:rPr>
          <w:b/>
          <w:bCs/>
        </w:rPr>
        <w:t>Total</w:t>
      </w:r>
      <w:r>
        <w:t xml:space="preserve"> | | </w:t>
      </w:r>
      <w:r>
        <w:rPr>
          <w:b/>
          <w:bCs/>
        </w:rPr>
        <w:t>1,830</w:t>
      </w:r>
      <w:r>
        <w:t xml:space="preserve"> | |</w:t>
      </w:r>
    </w:p>
    <w:p w14:paraId="36BCFF52" w14:textId="77777777" w:rsidR="008E1B31" w:rsidRDefault="00000000">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000000">
      <w:pPr>
        <w:pStyle w:val="Heading2"/>
      </w:pPr>
      <w:r>
        <w:t>D.3 Authoritative bindings by subsystem</w:t>
      </w:r>
    </w:p>
    <w:p w14:paraId="36BCFF54" w14:textId="77777777" w:rsidR="008E1B31" w:rsidRDefault="00000000">
      <w:pPr>
        <w:spacing w:after="160" w:line="320" w:lineRule="auto"/>
        <w:jc w:val="both"/>
      </w:pPr>
      <w:r>
        <w:t>The 80 time-series-observed variables in the starter scenario are distributed across the U.S. crude system as follows:</w:t>
      </w:r>
    </w:p>
    <w:p w14:paraId="36BCFF55" w14:textId="77777777" w:rsidR="008E1B31" w:rsidRDefault="00000000">
      <w:pPr>
        <w:spacing w:after="160" w:line="320" w:lineRule="auto"/>
        <w:jc w:val="both"/>
      </w:pPr>
      <w:r>
        <w:t>| Subsystem | Variable type | Authoritative resolution | Count of bound variables | Lead EIA series |</w:t>
      </w:r>
    </w:p>
    <w:p w14:paraId="36BCFF56" w14:textId="77777777" w:rsidR="008E1B31" w:rsidRDefault="00000000">
      <w:pPr>
        <w:spacing w:after="160" w:line="320" w:lineRule="auto"/>
        <w:jc w:val="both"/>
      </w:pPr>
      <w:r>
        <w:lastRenderedPageBreak/>
        <w:t>|—|—|—|—|—|</w:t>
      </w:r>
    </w:p>
    <w:p w14:paraId="36BCFF57" w14:textId="77777777" w:rsidR="008E1B31" w:rsidRDefault="00000000">
      <w:pPr>
        <w:spacing w:after="160" w:line="320" w:lineRule="auto"/>
        <w:jc w:val="both"/>
      </w:pPr>
      <w:r>
        <w:t>| Production | P | Basin level + state | 15 | MCRFPP1, MCRFPP2, MCRFPP3, MCRFPP4, MCRFPP5, MCRFPP3TX, MCRFPP3NM, others |</w:t>
      </w:r>
    </w:p>
    <w:p w14:paraId="36BCFF58" w14:textId="77777777" w:rsidR="008E1B31" w:rsidRDefault="00000000">
      <w:pPr>
        <w:spacing w:after="160" w:line="320" w:lineRule="auto"/>
        <w:jc w:val="both"/>
      </w:pPr>
      <w:r>
        <w:t>| Refinery throughput | C | PADD level | 5 | MCRRIP1 through MCRRIP5 |</w:t>
      </w:r>
    </w:p>
    <w:p w14:paraId="36BCFF59" w14:textId="77777777" w:rsidR="008E1B31" w:rsidRDefault="00000000">
      <w:pPr>
        <w:spacing w:after="160" w:line="320" w:lineRule="auto"/>
        <w:jc w:val="both"/>
      </w:pPr>
      <w:r>
        <w:t>| Stocks (commercial) | S | PADD level | 5 | MCESTP1 through MCESTP5 |</w:t>
      </w:r>
    </w:p>
    <w:p w14:paraId="36BCFF5A" w14:textId="77777777" w:rsidR="008E1B31" w:rsidRDefault="00000000">
      <w:pPr>
        <w:spacing w:after="160" w:line="320" w:lineRule="auto"/>
        <w:jc w:val="both"/>
      </w:pPr>
      <w:r>
        <w:t>| Stocks (SPR sites) | S | Site level | 4 | MCESTUS1 series (decomposed) |</w:t>
      </w:r>
    </w:p>
    <w:p w14:paraId="36BCFF5B" w14:textId="77777777" w:rsidR="008E1B31" w:rsidRDefault="00000000">
      <w:pPr>
        <w:spacing w:after="160" w:line="320" w:lineRule="auto"/>
        <w:jc w:val="both"/>
      </w:pPr>
      <w:r>
        <w:t>| Stocks (Cushing hub) | S | Hub level | 1 | Cushing weekly aggregated to monthly |</w:t>
      </w:r>
    </w:p>
    <w:p w14:paraId="36BCFF5C" w14:textId="77777777" w:rsidR="008E1B31" w:rsidRDefault="00000000">
      <w:pPr>
        <w:spacing w:after="160" w:line="320" w:lineRule="auto"/>
        <w:jc w:val="both"/>
      </w:pPr>
      <w:r>
        <w:t xml:space="preserve">| Imports (non-Canada) | </w:t>
      </w:r>
      <w:proofErr w:type="spellStart"/>
      <w:r>
        <w:t>F_in</w:t>
      </w:r>
      <w:proofErr w:type="spellEnd"/>
      <w:r>
        <w:t xml:space="preserve"> | PADD level | 5 | MCRIPP12 minus Canadian contribution |</w:t>
      </w:r>
    </w:p>
    <w:p w14:paraId="36BCFF5D" w14:textId="77777777" w:rsidR="008E1B31" w:rsidRDefault="00000000">
      <w:pPr>
        <w:spacing w:after="160" w:line="320" w:lineRule="auto"/>
        <w:jc w:val="both"/>
      </w:pPr>
      <w:r>
        <w:t xml:space="preserve">| Imports (Canada) | </w:t>
      </w:r>
      <w:proofErr w:type="spellStart"/>
      <w:r>
        <w:t>F_in</w:t>
      </w:r>
      <w:proofErr w:type="spellEnd"/>
      <w:r>
        <w:t xml:space="preserve"> | PADD level | 2 | MCRIPP1CA2 (PADD 1 Canadian), MCRIPP2CA2 (PADD 2 Canadian) |</w:t>
      </w:r>
    </w:p>
    <w:p w14:paraId="36BCFF5E" w14:textId="77777777" w:rsidR="008E1B31" w:rsidRDefault="00000000">
      <w:pPr>
        <w:spacing w:after="160" w:line="320" w:lineRule="auto"/>
        <w:jc w:val="both"/>
      </w:pPr>
      <w:r>
        <w:t xml:space="preserve">| Exports | </w:t>
      </w:r>
      <w:proofErr w:type="spellStart"/>
      <w:r>
        <w:t>F_out</w:t>
      </w:r>
      <w:proofErr w:type="spellEnd"/>
      <w:r>
        <w:t xml:space="preserve"> | PADD level | 5 | MCREXP12 through MCREXP52 |</w:t>
      </w:r>
    </w:p>
    <w:p w14:paraId="36BCFF5F" w14:textId="77777777" w:rsidR="008E1B31" w:rsidRDefault="00000000">
      <w:pPr>
        <w:spacing w:after="160" w:line="320" w:lineRule="auto"/>
        <w:jc w:val="both"/>
      </w:pPr>
      <w:r>
        <w:t>| Inter-PADD flows | F (aggregate) | PADD-pair level | 12 | MCRMP* family across all pairs |</w:t>
      </w:r>
    </w:p>
    <w:p w14:paraId="36BCFF60" w14:textId="77777777" w:rsidR="008E1B31" w:rsidRDefault="00000000">
      <w:pPr>
        <w:spacing w:after="160" w:line="320" w:lineRule="auto"/>
        <w:jc w:val="both"/>
      </w:pPr>
      <w:r>
        <w:t>| Balancing item | B | PADD level + USA | 6 | MCRUA-P1 through MCRUA-P5 and MCRUA-USA |</w:t>
      </w:r>
    </w:p>
    <w:p w14:paraId="36BCFF61" w14:textId="77777777" w:rsidR="008E1B31" w:rsidRDefault="00000000">
      <w:pPr>
        <w:spacing w:after="160" w:line="320" w:lineRule="auto"/>
        <w:jc w:val="both"/>
      </w:pPr>
      <w:r>
        <w:t xml:space="preserve">| USA aggregates | P, C, S, </w:t>
      </w:r>
      <w:proofErr w:type="spellStart"/>
      <w:r>
        <w:t>F_in</w:t>
      </w:r>
      <w:proofErr w:type="spellEnd"/>
      <w:r>
        <w:t xml:space="preserve">, </w:t>
      </w:r>
      <w:proofErr w:type="spellStart"/>
      <w:r>
        <w:t>F_out</w:t>
      </w:r>
      <w:proofErr w:type="spellEnd"/>
      <w:r>
        <w:t>, B | USA total | 6 | MCRFPUS2, MCRRIUS2, MCESTUS1, MCRIMUS2, MCREEXUS2, MCRUA |</w:t>
      </w:r>
    </w:p>
    <w:p w14:paraId="36BCFF62" w14:textId="77777777" w:rsidR="008E1B31" w:rsidRDefault="00000000">
      <w:pPr>
        <w:spacing w:after="160" w:line="320" w:lineRule="auto"/>
        <w:jc w:val="both"/>
      </w:pPr>
      <w:r>
        <w:t>| Texas/Montana state aggregates | P | State | 2 | Texas state series, Montana state series |</w:t>
      </w:r>
    </w:p>
    <w:p w14:paraId="36BCFF63" w14:textId="77777777" w:rsidR="008E1B31" w:rsidRDefault="00000000">
      <w:pPr>
        <w:spacing w:after="160" w:line="320" w:lineRule="auto"/>
        <w:jc w:val="both"/>
      </w:pPr>
      <w:r>
        <w:t>| Auxiliary observed (not in mass balance) | S | PADD level | 12 | MCRSFP (PADD ex-SPR), MCRSSP (SPR), others |</w:t>
      </w:r>
    </w:p>
    <w:p w14:paraId="36BCFF64" w14:textId="77777777" w:rsidR="008E1B31" w:rsidRDefault="00000000">
      <w:pPr>
        <w:spacing w:after="160" w:line="320" w:lineRule="auto"/>
        <w:jc w:val="both"/>
      </w:pPr>
      <w:r>
        <w:t xml:space="preserve">| </w:t>
      </w:r>
      <w:r>
        <w:rPr>
          <w:b/>
          <w:bCs/>
        </w:rPr>
        <w:t>Total</w:t>
      </w:r>
      <w:r>
        <w:t xml:space="preserve"> | | | </w:t>
      </w:r>
      <w:r>
        <w:rPr>
          <w:b/>
          <w:bCs/>
        </w:rPr>
        <w:t>80</w:t>
      </w:r>
      <w:r>
        <w:t xml:space="preserve"> | |</w:t>
      </w:r>
    </w:p>
    <w:p w14:paraId="36BCFF65" w14:textId="77777777" w:rsidR="008E1B31" w:rsidRDefault="00000000">
      <w:pPr>
        <w:spacing w:after="160" w:line="320" w:lineRule="auto"/>
        <w:jc w:val="both"/>
      </w:pPr>
      <w:r>
        <w:t>The 80 authoritative bindings collectively produce all 1,830 resolved values through the resolver's dispatch logic.</w:t>
      </w:r>
    </w:p>
    <w:p w14:paraId="36BCFF66" w14:textId="77777777" w:rsidR="008E1B31" w:rsidRDefault="00000000">
      <w:pPr>
        <w:pStyle w:val="Heading2"/>
      </w:pPr>
      <w:r>
        <w:t>D.4 Latent variables by location</w:t>
      </w:r>
    </w:p>
    <w:p w14:paraId="36BCFF67" w14:textId="77777777" w:rsidR="008E1B31" w:rsidRDefault="00000000">
      <w:pPr>
        <w:spacing w:after="160" w:line="320" w:lineRule="auto"/>
        <w:jc w:val="both"/>
      </w:pPr>
      <w:r>
        <w:t>The 652 latent variables in the starter scenario are concentrated at junction nodes where per-edge flows are not publicly observed. The distribution:</w:t>
      </w:r>
    </w:p>
    <w:p w14:paraId="36BCFF68" w14:textId="77777777" w:rsidR="008E1B31" w:rsidRDefault="00000000">
      <w:pPr>
        <w:spacing w:after="160" w:line="320" w:lineRule="auto"/>
        <w:jc w:val="both"/>
      </w:pPr>
      <w:r>
        <w:t>| Junction or subsystem | Latent count | Reason |</w:t>
      </w:r>
    </w:p>
    <w:p w14:paraId="36BCFF69" w14:textId="77777777" w:rsidR="008E1B31" w:rsidRDefault="00000000">
      <w:pPr>
        <w:spacing w:after="160" w:line="320" w:lineRule="auto"/>
        <w:jc w:val="both"/>
      </w:pPr>
      <w:r>
        <w:t>|—|—|—|</w:t>
      </w:r>
    </w:p>
    <w:p w14:paraId="36BCFF6A" w14:textId="77777777" w:rsidR="008E1B31" w:rsidRDefault="00000000">
      <w:pPr>
        <w:spacing w:after="160" w:line="320" w:lineRule="auto"/>
        <w:jc w:val="both"/>
      </w:pPr>
      <w:r>
        <w:t>| Permian fan-out (basin → origin terminals → trunk pipelines) | 47 | Per-pipeline splits between Midland, Wink, Crane terminals and downstream Gulf Coast pipelines |</w:t>
      </w:r>
    </w:p>
    <w:p w14:paraId="36BCFF6B" w14:textId="77777777" w:rsidR="008E1B31" w:rsidRDefault="00000000">
      <w:pPr>
        <w:spacing w:after="160" w:line="320" w:lineRule="auto"/>
        <w:jc w:val="both"/>
      </w:pPr>
      <w:r>
        <w:t>| Bakken fan-out (gathering → trunk pipelines to PADD 2 and beyond) | 32 | Per-pipeline splits out of Bakken gathering systems |</w:t>
      </w:r>
    </w:p>
    <w:p w14:paraId="36BCFF6C" w14:textId="77777777" w:rsidR="008E1B31" w:rsidRDefault="00000000">
      <w:pPr>
        <w:spacing w:after="160" w:line="320" w:lineRule="auto"/>
        <w:jc w:val="both"/>
      </w:pPr>
      <w:r>
        <w:lastRenderedPageBreak/>
        <w:t xml:space="preserve">| Bakken cross-state connector | 4 | All four flow variables on </w:t>
      </w:r>
      <w:proofErr w:type="spellStart"/>
      <w:r>
        <w:rPr>
          <w:rFonts w:ascii="Consolas" w:eastAsia="Consolas" w:hAnsi="Consolas" w:cs="Consolas"/>
        </w:rPr>
        <w:t>pipe_bakken_xstate</w:t>
      </w:r>
      <w:proofErr w:type="spellEnd"/>
      <w:r>
        <w:t xml:space="preserve"> (eleventh migration pass) |</w:t>
      </w:r>
    </w:p>
    <w:p w14:paraId="36BCFF6D" w14:textId="77777777" w:rsidR="008E1B31" w:rsidRDefault="00000000">
      <w:pPr>
        <w:spacing w:after="160" w:line="320" w:lineRule="auto"/>
        <w:jc w:val="both"/>
      </w:pPr>
      <w:r>
        <w:t>| Cushing hub sub-decomposition | 18 | Per-operator-sub-terminal splits within the hub (only aggregate stocks observed) |</w:t>
      </w:r>
    </w:p>
    <w:p w14:paraId="36BCFF6E" w14:textId="77777777" w:rsidR="008E1B31" w:rsidRDefault="00000000">
      <w:pPr>
        <w:spacing w:after="160" w:line="320" w:lineRule="auto"/>
        <w:jc w:val="both"/>
      </w:pPr>
      <w:r>
        <w:t>| Houston exports sub-decomposition | 24 | Per-sub-terminal splits within the Houston aggregate |</w:t>
      </w:r>
    </w:p>
    <w:p w14:paraId="36BCFF6F" w14:textId="77777777" w:rsidR="008E1B31" w:rsidRDefault="00000000">
      <w:pPr>
        <w:spacing w:after="160" w:line="320" w:lineRule="auto"/>
        <w:jc w:val="both"/>
      </w:pPr>
      <w:r>
        <w:t>| Inter-PADD aggregate per-pipeline splits | 196 | Each inter-PADD aggregate has multiple constituent pipelines; aggregate flow observed, per-pipeline split latent |</w:t>
      </w:r>
    </w:p>
    <w:p w14:paraId="36BCFF70" w14:textId="77777777" w:rsidR="008E1B31" w:rsidRDefault="00000000">
      <w:pPr>
        <w:spacing w:after="160" w:line="320" w:lineRule="auto"/>
        <w:jc w:val="both"/>
      </w:pPr>
      <w:r>
        <w:t>| SPR per-site outflows | 16 | Observed only at SPR-total level when released; per-site decomposition latent |</w:t>
      </w:r>
    </w:p>
    <w:p w14:paraId="36BCFF71" w14:textId="77777777" w:rsidR="008E1B31" w:rsidRDefault="00000000">
      <w:pPr>
        <w:spacing w:after="160" w:line="320" w:lineRule="auto"/>
        <w:jc w:val="both"/>
      </w:pPr>
      <w:r>
        <w:t>| Refinery per-pipeline-receipt flows | 184 | Refineries observed at PADD-aggregate level for receipts; per-source-pipeline splits latent |</w:t>
      </w:r>
    </w:p>
    <w:p w14:paraId="36BCFF72" w14:textId="77777777" w:rsidR="008E1B31" w:rsidRDefault="00000000">
      <w:pPr>
        <w:spacing w:after="160" w:line="320" w:lineRule="auto"/>
        <w:jc w:val="both"/>
      </w:pPr>
      <w:r>
        <w:t>| Origin terminal outflows to multiple downstream pipelines | 89 | Midland, Wink, Crane outflows to multiple trunk pipelines, latent at the per-pipeline level |</w:t>
      </w:r>
    </w:p>
    <w:p w14:paraId="36BCFF73" w14:textId="77777777" w:rsidR="008E1B31" w:rsidRDefault="00000000">
      <w:pPr>
        <w:spacing w:after="160" w:line="320" w:lineRule="auto"/>
        <w:jc w:val="both"/>
      </w:pPr>
      <w:r>
        <w:t>| Offshore production routing | 28 | Gulf of America platforms route through multiple offshore-to-shore systems, splits unobserved |</w:t>
      </w:r>
    </w:p>
    <w:p w14:paraId="36BCFF74" w14:textId="77777777" w:rsidR="008E1B31" w:rsidRDefault="00000000">
      <w:pPr>
        <w:spacing w:after="160" w:line="320" w:lineRule="auto"/>
        <w:jc w:val="both"/>
      </w:pPr>
      <w:r>
        <w:t xml:space="preserve">| Other (smaller subsystems) | 14 | Foreign aggregate boundary edges, miscellaneous </w:t>
      </w:r>
      <w:proofErr w:type="spellStart"/>
      <w:r>
        <w:t>latents</w:t>
      </w:r>
      <w:proofErr w:type="spellEnd"/>
      <w:r>
        <w:t xml:space="preserve"> |</w:t>
      </w:r>
    </w:p>
    <w:p w14:paraId="36BCFF75" w14:textId="77777777" w:rsidR="008E1B31" w:rsidRDefault="00000000">
      <w:pPr>
        <w:spacing w:after="160" w:line="320" w:lineRule="auto"/>
        <w:jc w:val="both"/>
      </w:pPr>
      <w:r>
        <w:t xml:space="preserve">| </w:t>
      </w:r>
      <w:r>
        <w:rPr>
          <w:b/>
          <w:bCs/>
        </w:rPr>
        <w:t>Total</w:t>
      </w:r>
      <w:r>
        <w:t xml:space="preserve"> | </w:t>
      </w:r>
      <w:r>
        <w:rPr>
          <w:b/>
          <w:bCs/>
        </w:rPr>
        <w:t>652</w:t>
      </w:r>
      <w:r>
        <w:t xml:space="preserve"> | |</w:t>
      </w:r>
    </w:p>
    <w:p w14:paraId="36BCFF76" w14:textId="77777777" w:rsidR="008E1B31" w:rsidRDefault="00000000">
      <w:pPr>
        <w:spacing w:after="160" w:line="320" w:lineRule="auto"/>
        <w:jc w:val="both"/>
      </w:pPr>
      <w:r>
        <w:t xml:space="preserve">These </w:t>
      </w:r>
      <w:proofErr w:type="spellStart"/>
      <w:r>
        <w:t>latents</w:t>
      </w:r>
      <w:proofErr w:type="spellEnd"/>
      <w:r>
        <w:t xml:space="preserve">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000000">
      <w:pPr>
        <w:pStyle w:val="Heading2"/>
      </w:pPr>
      <w:r>
        <w:t>D.5 Structural zeros by node type</w:t>
      </w:r>
    </w:p>
    <w:p w14:paraId="36BCFF78" w14:textId="77777777" w:rsidR="008E1B31" w:rsidRDefault="00000000">
      <w:pPr>
        <w:spacing w:after="160" w:line="320" w:lineRule="auto"/>
        <w:jc w:val="both"/>
      </w:pPr>
      <w:r>
        <w:t xml:space="preserve">The 628 structural zero variables are inherited from </w:t>
      </w:r>
      <w:proofErr w:type="spellStart"/>
      <w:r>
        <w:rPr>
          <w:rFonts w:ascii="Consolas" w:eastAsia="Consolas" w:hAnsi="Consolas" w:cs="Consolas"/>
        </w:rPr>
        <w:t>node_type_default_formulas</w:t>
      </w:r>
      <w:proofErr w:type="spellEnd"/>
      <w:r>
        <w:t>. The distribution by node type:</w:t>
      </w:r>
    </w:p>
    <w:p w14:paraId="36BCFF79" w14:textId="77777777" w:rsidR="008E1B31" w:rsidRDefault="00000000">
      <w:pPr>
        <w:spacing w:after="160" w:line="320" w:lineRule="auto"/>
        <w:jc w:val="both"/>
      </w:pPr>
      <w:r>
        <w:t>| Node type | Structural zeros per node | Total nodes | Zero variables |</w:t>
      </w:r>
    </w:p>
    <w:p w14:paraId="36BCFF7A" w14:textId="77777777" w:rsidR="008E1B31" w:rsidRDefault="00000000">
      <w:pPr>
        <w:spacing w:after="160" w:line="320" w:lineRule="auto"/>
        <w:jc w:val="both"/>
      </w:pPr>
      <w:r>
        <w:t>|—|—|—|—|</w:t>
      </w:r>
    </w:p>
    <w:p w14:paraId="36BCFF7B" w14:textId="77777777" w:rsidR="008E1B31" w:rsidRDefault="00000000">
      <w:pPr>
        <w:spacing w:after="160" w:line="320" w:lineRule="auto"/>
        <w:jc w:val="both"/>
      </w:pPr>
      <w:r>
        <w:t>| Pipeline | 4 (P, C, ΔS, B; the four pass-through quantities) | 37 | 148 |</w:t>
      </w:r>
    </w:p>
    <w:p w14:paraId="36BCFF7C" w14:textId="77777777" w:rsidR="008E1B31" w:rsidRDefault="00000000">
      <w:pPr>
        <w:spacing w:after="160" w:line="320" w:lineRule="auto"/>
        <w:jc w:val="both"/>
      </w:pPr>
      <w:r>
        <w:t>| Gathering | 4 (P, C, ΔS, B if no own production) + 1 (P for gatherings within their basin: zero if basin-level P is authoritative elsewhere) | 6 | 24 |</w:t>
      </w:r>
    </w:p>
    <w:p w14:paraId="36BCFF7D" w14:textId="77777777" w:rsidR="008E1B31" w:rsidRDefault="00000000">
      <w:pPr>
        <w:spacing w:after="160" w:line="320" w:lineRule="auto"/>
        <w:jc w:val="both"/>
      </w:pPr>
      <w:r>
        <w:t>| Refinery | 1 (P; refineries do not produce crude) | 24 | 24 |</w:t>
      </w:r>
    </w:p>
    <w:p w14:paraId="36BCFF7E" w14:textId="77777777" w:rsidR="008E1B31" w:rsidRDefault="00000000">
      <w:pPr>
        <w:spacing w:after="160" w:line="320" w:lineRule="auto"/>
        <w:jc w:val="both"/>
      </w:pPr>
      <w:r>
        <w:t>| Storage terminal | 4 (P, C, ΔS for pass-through stocks, B) | 10 | 40 |</w:t>
      </w:r>
    </w:p>
    <w:p w14:paraId="36BCFF7F" w14:textId="77777777" w:rsidR="008E1B31" w:rsidRDefault="00000000">
      <w:pPr>
        <w:spacing w:after="160" w:line="320" w:lineRule="auto"/>
        <w:jc w:val="both"/>
      </w:pPr>
      <w:r>
        <w:lastRenderedPageBreak/>
        <w:t>| SPR site | 2 (P, C; SPR sites do not produce or consume) | 4 | 8 |</w:t>
      </w:r>
    </w:p>
    <w:p w14:paraId="36BCFF80" w14:textId="77777777" w:rsidR="008E1B31" w:rsidRDefault="00000000">
      <w:pPr>
        <w:spacing w:after="160" w:line="320" w:lineRule="auto"/>
        <w:jc w:val="both"/>
      </w:pPr>
      <w:r>
        <w:t>| Import terminal | 4 (P, C, ΔS for pass-through, B) | 8 | 32 |</w:t>
      </w:r>
    </w:p>
    <w:p w14:paraId="36BCFF81" w14:textId="77777777" w:rsidR="008E1B31" w:rsidRDefault="00000000">
      <w:pPr>
        <w:spacing w:after="160" w:line="320" w:lineRule="auto"/>
        <w:jc w:val="both"/>
      </w:pPr>
      <w:r>
        <w:t>| Export terminal | 4 (P, C, ΔS for pass-through, B) | 12 | 48 |</w:t>
      </w:r>
    </w:p>
    <w:p w14:paraId="36BCFF82" w14:textId="77777777" w:rsidR="008E1B31" w:rsidRDefault="00000000">
      <w:pPr>
        <w:spacing w:after="160" w:line="320" w:lineRule="auto"/>
        <w:jc w:val="both"/>
      </w:pPr>
      <w:r>
        <w:t>| Origin terminal | 4 (P, C, ΔS, B for pass-through) | 6 | 24 |</w:t>
      </w:r>
    </w:p>
    <w:p w14:paraId="36BCFF83" w14:textId="77777777" w:rsidR="008E1B31" w:rsidRDefault="00000000">
      <w:pPr>
        <w:spacing w:after="160" w:line="320" w:lineRule="auto"/>
        <w:jc w:val="both"/>
      </w:pPr>
      <w:r>
        <w:t>| Boundary source | C, ΔS, B | 3 (</w:t>
      </w:r>
      <w:proofErr w:type="spellStart"/>
      <w:r>
        <w:t>foreign_supply</w:t>
      </w:r>
      <w:proofErr w:type="spellEnd"/>
      <w:r>
        <w:t xml:space="preserve">, </w:t>
      </w:r>
      <w:proofErr w:type="spellStart"/>
      <w:r>
        <w:t>canadian_oil_sands</w:t>
      </w:r>
      <w:proofErr w:type="spellEnd"/>
      <w:r>
        <w:t>, plus structural slots) | 9 |</w:t>
      </w:r>
    </w:p>
    <w:p w14:paraId="36BCFF84" w14:textId="77777777" w:rsidR="008E1B31" w:rsidRDefault="00000000">
      <w:pPr>
        <w:spacing w:after="160" w:line="320" w:lineRule="auto"/>
        <w:jc w:val="both"/>
      </w:pPr>
      <w:r>
        <w:t>| Other (region views, observational, mixed) | various | 130 | 271 |</w:t>
      </w:r>
    </w:p>
    <w:p w14:paraId="36BCFF85" w14:textId="77777777" w:rsidR="008E1B31" w:rsidRDefault="00000000">
      <w:pPr>
        <w:spacing w:after="160" w:line="320" w:lineRule="auto"/>
        <w:jc w:val="both"/>
      </w:pPr>
      <w:r>
        <w:t xml:space="preserve">| </w:t>
      </w:r>
      <w:r>
        <w:rPr>
          <w:b/>
          <w:bCs/>
        </w:rPr>
        <w:t>Total</w:t>
      </w:r>
      <w:r>
        <w:t xml:space="preserve"> | | | </w:t>
      </w:r>
      <w:r>
        <w:rPr>
          <w:b/>
          <w:bCs/>
        </w:rPr>
        <w:t>628</w:t>
      </w:r>
      <w:r>
        <w:t xml:space="preserve"> |</w:t>
      </w:r>
    </w:p>
    <w:p w14:paraId="36BCFF86" w14:textId="77777777" w:rsidR="008E1B31" w:rsidRDefault="00000000">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000000">
      <w:pPr>
        <w:pStyle w:val="Heading2"/>
      </w:pPr>
      <w:r>
        <w:t>D.6 Migration history</w:t>
      </w:r>
    </w:p>
    <w:p w14:paraId="36BCFF88" w14:textId="77777777" w:rsidR="008E1B31" w:rsidRDefault="00000000">
      <w:pPr>
        <w:spacing w:after="160" w:line="320" w:lineRule="auto"/>
        <w:jc w:val="both"/>
      </w:pPr>
      <w:r>
        <w:t>The starter graph reached its current state through twelve migration passes. The major passes are summarised here:</w:t>
      </w:r>
    </w:p>
    <w:p w14:paraId="36BCFF89" w14:textId="77777777" w:rsidR="008E1B31" w:rsidRDefault="00000000">
      <w:pPr>
        <w:spacing w:after="160" w:line="320" w:lineRule="auto"/>
        <w:jc w:val="both"/>
      </w:pPr>
      <w:r>
        <w:t>| Pass | Description | Result on dispatch counts |</w:t>
      </w:r>
    </w:p>
    <w:p w14:paraId="36BCFF8A" w14:textId="77777777" w:rsidR="008E1B31" w:rsidRDefault="00000000">
      <w:pPr>
        <w:spacing w:after="160" w:line="320" w:lineRule="auto"/>
        <w:jc w:val="both"/>
      </w:pPr>
      <w:r>
        <w:t>|—|—|—|</w:t>
      </w:r>
    </w:p>
    <w:p w14:paraId="36BCFF8B" w14:textId="77777777" w:rsidR="008E1B31" w:rsidRDefault="00000000">
      <w:pPr>
        <w:spacing w:after="160" w:line="320" w:lineRule="auto"/>
        <w:jc w:val="both"/>
      </w:pPr>
      <w:r>
        <w:t xml:space="preserve">| 1 | Initial seed load from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 Baseline ~1,200 variables, ~50% unresolved |</w:t>
      </w:r>
    </w:p>
    <w:p w14:paraId="36BCFF8C" w14:textId="77777777" w:rsidR="008E1B31" w:rsidRDefault="00000000">
      <w:pPr>
        <w:spacing w:after="160" w:line="320" w:lineRule="auto"/>
        <w:jc w:val="both"/>
      </w:pPr>
      <w:r>
        <w:t xml:space="preserve">| 2 | Populate </w:t>
      </w:r>
      <w:proofErr w:type="spellStart"/>
      <w:r>
        <w:rPr>
          <w:rFonts w:ascii="Consolas" w:eastAsia="Consolas" w:hAnsi="Consolas" w:cs="Consolas"/>
        </w:rPr>
        <w:t>node_type_default_formulas</w:t>
      </w:r>
      <w:proofErr w:type="spellEnd"/>
      <w:r>
        <w:t>; resolve pass-through zeros | Unresolved drops to ~30% |</w:t>
      </w:r>
    </w:p>
    <w:p w14:paraId="36BCFF8D" w14:textId="77777777" w:rsidR="008E1B31" w:rsidRDefault="00000000">
      <w:pPr>
        <w:spacing w:after="160" w:line="320" w:lineRule="auto"/>
        <w:jc w:val="both"/>
      </w:pPr>
      <w:r>
        <w:t>| 3 | Add PADD-level residual nodes; assign EIA PADD aggregates | Unresolved drops to ~20%; arithmetic rule first appears |</w:t>
      </w:r>
    </w:p>
    <w:p w14:paraId="36BCFF8E" w14:textId="77777777" w:rsidR="008E1B31" w:rsidRDefault="00000000">
      <w:pPr>
        <w:spacing w:after="160" w:line="320" w:lineRule="auto"/>
        <w:jc w:val="both"/>
      </w:pPr>
      <w:r>
        <w:t>| 4 | Wire inter-PADD aggregates; add the MCRMP_</w:t>
      </w:r>
      <w:r>
        <w:rPr>
          <w:i/>
          <w:iCs/>
        </w:rPr>
        <w:t>_</w:t>
      </w:r>
      <w:r>
        <w:t xml:space="preserve"> series | Aliases proliferate; reverse-mirror first fires (3 cases) |</w:t>
      </w:r>
    </w:p>
    <w:p w14:paraId="36BCFF8F" w14:textId="77777777" w:rsidR="008E1B31" w:rsidRDefault="00000000">
      <w:pPr>
        <w:spacing w:after="160" w:line="320" w:lineRule="auto"/>
        <w:jc w:val="both"/>
      </w:pPr>
      <w:r>
        <w:t>| 5 | Add SPR sub-nodes; promote SPR site stocks to authoritative | SPR-aggregate becomes derived; 4 new observed bindings |</w:t>
      </w:r>
    </w:p>
    <w:p w14:paraId="36BCFF90" w14:textId="77777777" w:rsidR="008E1B31" w:rsidRDefault="00000000">
      <w:pPr>
        <w:spacing w:after="160" w:line="320" w:lineRule="auto"/>
        <w:jc w:val="both"/>
      </w:pPr>
      <w:r>
        <w:t>| 6 | Promote balancing item B to time-series-observed at PADD and USA | Closure rule fires drop from ~15 to 0 |</w:t>
      </w:r>
    </w:p>
    <w:p w14:paraId="36BCFF91" w14:textId="77777777" w:rsidR="008E1B31" w:rsidRDefault="00000000">
      <w:pPr>
        <w:spacing w:after="160" w:line="320" w:lineRule="auto"/>
        <w:jc w:val="both"/>
      </w:pPr>
      <w:r>
        <w:t xml:space="preserve">| 7 | Add origin terminal nodes (Midland, Wink, Crane); declare Permian fan-out </w:t>
      </w:r>
      <w:proofErr w:type="spellStart"/>
      <w:r>
        <w:t>latents</w:t>
      </w:r>
      <w:proofErr w:type="spellEnd"/>
      <w:r>
        <w:t xml:space="preserve"> | Latent count rises to ~400 |</w:t>
      </w:r>
    </w:p>
    <w:p w14:paraId="36BCFF92" w14:textId="77777777" w:rsidR="008E1B31" w:rsidRDefault="00000000">
      <w:pPr>
        <w:spacing w:after="160" w:line="320" w:lineRule="auto"/>
        <w:jc w:val="both"/>
      </w:pPr>
      <w:r>
        <w:t xml:space="preserve">| 8 | Fix latent-mirror cycle; add cycle gates to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 Resolver runs to completion without </w:t>
      </w:r>
      <w:proofErr w:type="spellStart"/>
      <w:r>
        <w:rPr>
          <w:rFonts w:ascii="Consolas" w:eastAsia="Consolas" w:hAnsi="Consolas" w:cs="Consolas"/>
        </w:rPr>
        <w:t>CycleError</w:t>
      </w:r>
      <w:proofErr w:type="spellEnd"/>
      <w:r>
        <w:t xml:space="preserve"> |</w:t>
      </w:r>
    </w:p>
    <w:p w14:paraId="36BCFF93" w14:textId="77777777" w:rsidR="008E1B31" w:rsidRDefault="00000000">
      <w:pPr>
        <w:spacing w:after="160" w:line="320" w:lineRule="auto"/>
        <w:jc w:val="both"/>
      </w:pPr>
      <w:r>
        <w:lastRenderedPageBreak/>
        <w:t>| 9 | Hoist reverse-mirror dependency above early-continue; promote mirror inside Rule 3 | Reverse-mirror dispatch lifts from 3 to 15 |</w:t>
      </w:r>
    </w:p>
    <w:p w14:paraId="36BCFF94" w14:textId="77777777" w:rsidR="008E1B31" w:rsidRDefault="00000000">
      <w:pPr>
        <w:spacing w:after="160" w:line="320" w:lineRule="auto"/>
        <w:jc w:val="both"/>
      </w:pPr>
      <w:r>
        <w:t xml:space="preserve">| 10 | Add Bakken cross-state connector node; declare its four flow </w:t>
      </w:r>
      <w:proofErr w:type="spellStart"/>
      <w:r>
        <w:t>latents</w:t>
      </w:r>
      <w:proofErr w:type="spellEnd"/>
      <w:r>
        <w:t xml:space="preserve"> | Latent count rises to ~640 |</w:t>
      </w:r>
    </w:p>
    <w:p w14:paraId="36BCFF95" w14:textId="77777777" w:rsidR="008E1B31" w:rsidRDefault="00000000">
      <w:pPr>
        <w:spacing w:after="160" w:line="320" w:lineRule="auto"/>
        <w:jc w:val="both"/>
      </w:pPr>
      <w:r>
        <w:t>| 11 | Sub-decompose Houston exports; reorganise Cushing hub sub-terminals | Latent count reaches 652 |</w:t>
      </w:r>
    </w:p>
    <w:p w14:paraId="36BCFF96" w14:textId="77777777" w:rsidR="008E1B31" w:rsidRDefault="00000000">
      <w:pPr>
        <w:spacing w:after="160" w:line="320" w:lineRule="auto"/>
        <w:jc w:val="both"/>
      </w:pPr>
      <w:r>
        <w:t>| 12 | Collapse three sum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into canonical </w:t>
      </w:r>
      <w:r>
        <w:rPr>
          <w:rFonts w:ascii="Consolas" w:eastAsia="Consolas" w:hAnsi="Consolas" w:cs="Consolas"/>
        </w:rPr>
        <w:t>sum</w:t>
      </w:r>
      <w:r>
        <w:t xml:space="preserve"> | Dispatch surface reduced from 11 labels to 9 |</w:t>
      </w:r>
    </w:p>
    <w:p w14:paraId="36BCFF97" w14:textId="77777777" w:rsidR="008E1B31" w:rsidRDefault="00000000">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w:t>
      </w:r>
      <w:proofErr w:type="spellStart"/>
      <w:r>
        <w:t>replayable</w:t>
      </w:r>
      <w:proofErr w:type="spellEnd"/>
      <w:r>
        <w:t xml:space="preserve"> from a fresh database. The current state of the starter scenario is the result of running all twelve passes in sequence.</w:t>
      </w:r>
    </w:p>
    <w:p w14:paraId="36BCFF98" w14:textId="77777777" w:rsidR="008E1B31" w:rsidRDefault="00000000">
      <w:pPr>
        <w:pStyle w:val="Heading2"/>
      </w:pPr>
      <w:r>
        <w:t>D.7 Summary statistics</w:t>
      </w:r>
    </w:p>
    <w:p w14:paraId="36BCFF99" w14:textId="77777777" w:rsidR="008E1B31" w:rsidRDefault="00000000">
      <w:pPr>
        <w:spacing w:after="160" w:line="320" w:lineRule="auto"/>
        <w:jc w:val="both"/>
      </w:pPr>
      <w:r>
        <w:t xml:space="preserve">For reference </w:t>
      </w:r>
      <w:proofErr w:type="gramStart"/>
      <w:r>
        <w:t>at a glance</w:t>
      </w:r>
      <w:proofErr w:type="gramEnd"/>
      <w:r>
        <w:t>:</w:t>
      </w:r>
    </w:p>
    <w:p w14:paraId="36BCFF9A" w14:textId="77777777" w:rsidR="008E1B31" w:rsidRDefault="00000000">
      <w:pPr>
        <w:pStyle w:val="ListParagraph"/>
        <w:numPr>
          <w:ilvl w:val="0"/>
          <w:numId w:val="2"/>
        </w:numPr>
        <w:spacing w:after="80" w:line="320" w:lineRule="auto"/>
        <w:jc w:val="both"/>
      </w:pPr>
      <w:r>
        <w:rPr>
          <w:b/>
          <w:bCs/>
        </w:rPr>
        <w:t>Nodes:</w:t>
      </w:r>
      <w:r>
        <w:t xml:space="preserve"> 240 (197 physical, 43 </w:t>
      </w:r>
      <w:proofErr w:type="gramStart"/>
      <w:r>
        <w:t>abstract</w:t>
      </w:r>
      <w:proofErr w:type="gramEnd"/>
      <w:r>
        <w:t>; including 4 boundary)</w:t>
      </w:r>
    </w:p>
    <w:p w14:paraId="36BCFF9B" w14:textId="77777777" w:rsidR="008E1B31" w:rsidRDefault="00000000">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000000">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000000">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000000">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000000">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000000">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000000">
      <w:pPr>
        <w:pStyle w:val="ListParagraph"/>
        <w:numPr>
          <w:ilvl w:val="0"/>
          <w:numId w:val="2"/>
        </w:numPr>
        <w:spacing w:after="80" w:line="320" w:lineRule="auto"/>
        <w:jc w:val="both"/>
      </w:pPr>
      <w:r>
        <w:rPr>
          <w:b/>
          <w:bCs/>
        </w:rPr>
        <w:t>Partition closure gap:</w:t>
      </w:r>
      <w:r>
        <w:t xml:space="preserve"> 0 </w:t>
      </w:r>
      <w:proofErr w:type="spellStart"/>
      <w:r>
        <w:t>kbd</w:t>
      </w:r>
      <w:proofErr w:type="spellEnd"/>
      <w:r>
        <w:t xml:space="preserve"> at every PADD aggregate and at the USA aggregate</w:t>
      </w:r>
    </w:p>
    <w:p w14:paraId="36BCFFA2" w14:textId="77777777" w:rsidR="008E1B31" w:rsidRDefault="00000000">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000000">
      <w:pPr>
        <w:spacing w:after="80"/>
      </w:pPr>
      <w:r>
        <w:rPr>
          <w:sz w:val="12"/>
          <w:szCs w:val="12"/>
        </w:rPr>
        <w:t xml:space="preserve"> </w:t>
      </w:r>
    </w:p>
    <w:p w14:paraId="36BCFFA4" w14:textId="77777777" w:rsidR="008E1B31" w:rsidRDefault="00000000">
      <w:r>
        <w:br w:type="page"/>
      </w:r>
    </w:p>
    <w:p w14:paraId="36BCFFA5" w14:textId="77777777" w:rsidR="008E1B31" w:rsidRDefault="00000000">
      <w:pPr>
        <w:pStyle w:val="Heading1"/>
        <w:pageBreakBefore/>
        <w:spacing w:before="240"/>
      </w:pPr>
      <w:r>
        <w:lastRenderedPageBreak/>
        <w:t>References</w:t>
      </w:r>
    </w:p>
    <w:p w14:paraId="36BCFFA6" w14:textId="77777777" w:rsidR="008E1B31" w:rsidRDefault="00000000">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000000">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000000">
      <w:pPr>
        <w:spacing w:after="120" w:line="280" w:lineRule="auto"/>
        <w:ind w:left="360" w:hanging="360"/>
      </w:pPr>
      <w:r>
        <w:rPr>
          <w:sz w:val="21"/>
          <w:szCs w:val="21"/>
        </w:rPr>
        <w:t xml:space="preserve">Fernandes, L.J.,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(2013) "Strategic network design of downstream petroleum supply chains: single versus multi-entity participation", Chemical Engineering Research and Design, 91(8), pp. 1557–1587.</w:t>
      </w:r>
    </w:p>
    <w:p w14:paraId="36BCFFA9" w14:textId="77777777" w:rsidR="008E1B31" w:rsidRDefault="00000000">
      <w:pPr>
        <w:spacing w:after="120" w:line="280" w:lineRule="auto"/>
        <w:ind w:left="360" w:hanging="360"/>
      </w:pPr>
      <w:proofErr w:type="spellStart"/>
      <w:r>
        <w:rPr>
          <w:sz w:val="21"/>
          <w:szCs w:val="21"/>
        </w:rPr>
        <w:t>Ghaithan</w:t>
      </w:r>
      <w:proofErr w:type="spellEnd"/>
      <w:r>
        <w:rPr>
          <w:sz w:val="21"/>
          <w:szCs w:val="21"/>
        </w:rPr>
        <w:t xml:space="preserve">, A.M., Attia, A. and </w:t>
      </w:r>
      <w:proofErr w:type="spellStart"/>
      <w:r>
        <w:rPr>
          <w:sz w:val="21"/>
          <w:szCs w:val="21"/>
        </w:rPr>
        <w:t>Duffuaa</w:t>
      </w:r>
      <w:proofErr w:type="spellEnd"/>
      <w:r>
        <w:rPr>
          <w:sz w:val="21"/>
          <w:szCs w:val="21"/>
        </w:rPr>
        <w:t>, S.O. (2017) "Multi-objective optimization model for a downstream oil and gas supply chain", Applied Mathematical Modelling, 52, pp. 689–708.</w:t>
      </w:r>
    </w:p>
    <w:p w14:paraId="36BCFFAA" w14:textId="77777777" w:rsidR="008E1B31" w:rsidRDefault="00000000">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000000">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000000">
      <w:pPr>
        <w:spacing w:after="120" w:line="280" w:lineRule="auto"/>
        <w:ind w:left="360" w:hanging="360"/>
      </w:pPr>
      <w:r>
        <w:rPr>
          <w:sz w:val="21"/>
          <w:szCs w:val="21"/>
        </w:rPr>
        <w:t xml:space="preserve">Jin, M., Koh, H.Y., Wen, Q., Zambon, D., </w:t>
      </w:r>
      <w:proofErr w:type="spellStart"/>
      <w:r>
        <w:rPr>
          <w:sz w:val="21"/>
          <w:szCs w:val="21"/>
        </w:rPr>
        <w:t>Alippi</w:t>
      </w:r>
      <w:proofErr w:type="spellEnd"/>
      <w:r>
        <w:rPr>
          <w:sz w:val="21"/>
          <w:szCs w:val="21"/>
        </w:rPr>
        <w:t>,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000000">
      <w:pPr>
        <w:spacing w:after="120" w:line="280" w:lineRule="auto"/>
        <w:ind w:left="360" w:hanging="360"/>
      </w:pPr>
      <w:r>
        <w:rPr>
          <w:sz w:val="21"/>
          <w:szCs w:val="21"/>
        </w:rPr>
        <w:t>Kazemi, Y. and Szmerekovsky, J. (2015) "</w:t>
      </w:r>
      <w:proofErr w:type="spellStart"/>
      <w:r>
        <w:rPr>
          <w:sz w:val="21"/>
          <w:szCs w:val="21"/>
        </w:rPr>
        <w:t>Modeling</w:t>
      </w:r>
      <w:proofErr w:type="spellEnd"/>
      <w:r>
        <w:rPr>
          <w:sz w:val="21"/>
          <w:szCs w:val="21"/>
        </w:rPr>
        <w:t xml:space="preserve"> downstream petroleum supply chain: the importance of multi-mode transportation to strategic planning", Transportation Research Part E, 83, pp. 111–125.</w:t>
      </w:r>
    </w:p>
    <w:p w14:paraId="36BCFFAE" w14:textId="77777777" w:rsidR="008E1B31" w:rsidRDefault="00000000">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000000">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000000">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000000">
      <w:pPr>
        <w:spacing w:after="120" w:line="280" w:lineRule="auto"/>
        <w:ind w:left="360" w:hanging="360"/>
      </w:pPr>
      <w:r>
        <w:rPr>
          <w:sz w:val="21"/>
          <w:szCs w:val="21"/>
        </w:rPr>
        <w:t xml:space="preserve">Lima, C.,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(2016) "Downstream oil supply chain management: a critical review and future directions", Computers and Chemical Engineering, 92, pp. 78–92.</w:t>
      </w:r>
    </w:p>
    <w:p w14:paraId="36BCFFB2" w14:textId="77777777" w:rsidR="008E1B31" w:rsidRDefault="00000000">
      <w:pPr>
        <w:spacing w:after="120" w:line="280" w:lineRule="auto"/>
        <w:ind w:left="360" w:hanging="360"/>
      </w:pPr>
      <w:r>
        <w:rPr>
          <w:sz w:val="21"/>
          <w:szCs w:val="21"/>
        </w:rPr>
        <w:t>Perozzi, B., Al-</w:t>
      </w:r>
      <w:proofErr w:type="spellStart"/>
      <w:r>
        <w:rPr>
          <w:sz w:val="21"/>
          <w:szCs w:val="21"/>
        </w:rPr>
        <w:t>Rfou</w:t>
      </w:r>
      <w:proofErr w:type="spellEnd"/>
      <w:r>
        <w:rPr>
          <w:sz w:val="21"/>
          <w:szCs w:val="21"/>
        </w:rPr>
        <w:t xml:space="preserve">, R. and </w:t>
      </w:r>
      <w:proofErr w:type="spellStart"/>
      <w:r>
        <w:rPr>
          <w:sz w:val="21"/>
          <w:szCs w:val="21"/>
        </w:rPr>
        <w:t>Skiena</w:t>
      </w:r>
      <w:proofErr w:type="spellEnd"/>
      <w:r>
        <w:rPr>
          <w:sz w:val="21"/>
          <w:szCs w:val="21"/>
        </w:rPr>
        <w:t>, S. (2014) "</w:t>
      </w:r>
      <w:proofErr w:type="spellStart"/>
      <w:r>
        <w:rPr>
          <w:sz w:val="21"/>
          <w:szCs w:val="21"/>
        </w:rPr>
        <w:t>DeepWalk</w:t>
      </w:r>
      <w:proofErr w:type="spellEnd"/>
      <w:r>
        <w:rPr>
          <w:sz w:val="21"/>
          <w:szCs w:val="21"/>
        </w:rPr>
        <w:t>: online learning of social representations", in Proceedings of the 20th ACM SIGKDD International Conference on Knowledge Discovery and Data Mining, pp. 701–710.</w:t>
      </w:r>
    </w:p>
    <w:p w14:paraId="36BCFFB3" w14:textId="77777777" w:rsidR="008E1B31" w:rsidRDefault="00000000">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000000">
      <w:pPr>
        <w:spacing w:after="120" w:line="280" w:lineRule="auto"/>
        <w:ind w:left="360" w:hanging="360"/>
      </w:pPr>
      <w:r>
        <w:rPr>
          <w:sz w:val="21"/>
          <w:szCs w:val="21"/>
        </w:rPr>
        <w:t xml:space="preserve">Rossi, E., Chamberlain, B., Frasca, F., </w:t>
      </w:r>
      <w:proofErr w:type="spellStart"/>
      <w:r>
        <w:rPr>
          <w:sz w:val="21"/>
          <w:szCs w:val="21"/>
        </w:rPr>
        <w:t>Eynard</w:t>
      </w:r>
      <w:proofErr w:type="spellEnd"/>
      <w:r>
        <w:rPr>
          <w:sz w:val="21"/>
          <w:szCs w:val="21"/>
        </w:rPr>
        <w:t>, D., Monti, F. and Bronstein, M. (2020) "Temporal graph networks for deep learning on dynamic graphs", in ICML 2020 Workshop on Graph Representation Learning.</w:t>
      </w:r>
    </w:p>
    <w:p w14:paraId="36BCFFB5" w14:textId="77777777" w:rsidR="008E1B31" w:rsidRDefault="00000000">
      <w:pPr>
        <w:spacing w:after="120" w:line="280" w:lineRule="auto"/>
        <w:ind w:left="360" w:hanging="360"/>
      </w:pPr>
      <w:r>
        <w:rPr>
          <w:sz w:val="21"/>
          <w:szCs w:val="21"/>
        </w:rPr>
        <w:t xml:space="preserve">Stopford, M. (2009) Maritime Economics. 3rd </w:t>
      </w:r>
      <w:proofErr w:type="spellStart"/>
      <w:r>
        <w:rPr>
          <w:sz w:val="21"/>
          <w:szCs w:val="21"/>
        </w:rPr>
        <w:t>edn</w:t>
      </w:r>
      <w:proofErr w:type="spellEnd"/>
      <w:r>
        <w:rPr>
          <w:sz w:val="21"/>
          <w:szCs w:val="21"/>
        </w:rPr>
        <w:t>. London: Routledge.</w:t>
      </w:r>
    </w:p>
    <w:p w14:paraId="36BCFFB6" w14:textId="77777777" w:rsidR="008E1B31" w:rsidRDefault="00000000">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000000">
      <w:pPr>
        <w:spacing w:after="120" w:line="280" w:lineRule="auto"/>
        <w:ind w:left="360" w:hanging="360"/>
      </w:pPr>
      <w:proofErr w:type="spellStart"/>
      <w:r>
        <w:rPr>
          <w:sz w:val="21"/>
          <w:szCs w:val="21"/>
        </w:rPr>
        <w:t>Veličković</w:t>
      </w:r>
      <w:proofErr w:type="spellEnd"/>
      <w:r>
        <w:rPr>
          <w:sz w:val="21"/>
          <w:szCs w:val="21"/>
        </w:rPr>
        <w:t xml:space="preserve">, P., </w:t>
      </w:r>
      <w:proofErr w:type="spellStart"/>
      <w:r>
        <w:rPr>
          <w:sz w:val="21"/>
          <w:szCs w:val="21"/>
        </w:rPr>
        <w:t>Cucurull</w:t>
      </w:r>
      <w:proofErr w:type="spellEnd"/>
      <w:r>
        <w:rPr>
          <w:sz w:val="21"/>
          <w:szCs w:val="21"/>
        </w:rPr>
        <w:t xml:space="preserve">, G., Casanova, A., Romero, A., </w:t>
      </w:r>
      <w:proofErr w:type="spellStart"/>
      <w:r>
        <w:rPr>
          <w:sz w:val="21"/>
          <w:szCs w:val="21"/>
        </w:rPr>
        <w:t>Liò</w:t>
      </w:r>
      <w:proofErr w:type="spellEnd"/>
      <w:r>
        <w:rPr>
          <w:sz w:val="21"/>
          <w:szCs w:val="21"/>
        </w:rPr>
        <w:t>, P. and Bengio, Y. (2018) "Graph attention networks", in International Conference on Learning Representations.</w:t>
      </w:r>
    </w:p>
    <w:p w14:paraId="36BCFFB8" w14:textId="77777777" w:rsidR="008E1B31" w:rsidRDefault="00000000">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000000">
      <w:pPr>
        <w:spacing w:after="120" w:line="280" w:lineRule="auto"/>
        <w:ind w:left="360" w:hanging="360"/>
      </w:pPr>
      <w:r>
        <w:rPr>
          <w:sz w:val="21"/>
          <w:szCs w:val="21"/>
        </w:rPr>
        <w:t>Wasi, A.T., Islam, M.A. and Akib, A.R. (2024) "</w:t>
      </w:r>
      <w:proofErr w:type="spellStart"/>
      <w:r>
        <w:rPr>
          <w:sz w:val="21"/>
          <w:szCs w:val="21"/>
        </w:rPr>
        <w:t>SupplyGraph</w:t>
      </w:r>
      <w:proofErr w:type="spellEnd"/>
      <w:r>
        <w:rPr>
          <w:sz w:val="21"/>
          <w:szCs w:val="21"/>
        </w:rPr>
        <w:t>: a benchmark dataset for supply chain planning using graph neural networks", in AAAI 2024 Workshop on Graphs and More Complex Structures for Learning and Reasoning.</w:t>
      </w:r>
    </w:p>
    <w:p w14:paraId="36BCFFBA" w14:textId="77777777" w:rsidR="008E1B31" w:rsidRDefault="00000000">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000000">
      <w:pPr>
        <w:spacing w:after="120" w:line="280" w:lineRule="auto"/>
        <w:ind w:left="360" w:hanging="360"/>
      </w:pPr>
      <w:r>
        <w:rPr>
          <w:sz w:val="21"/>
          <w:szCs w:val="21"/>
        </w:rPr>
        <w:t xml:space="preserve">Xu, D., Ruan, C., </w:t>
      </w:r>
      <w:proofErr w:type="spellStart"/>
      <w:r>
        <w:rPr>
          <w:sz w:val="21"/>
          <w:szCs w:val="21"/>
        </w:rPr>
        <w:t>Korpeoglu</w:t>
      </w:r>
      <w:proofErr w:type="spellEnd"/>
      <w:r>
        <w:rPr>
          <w:sz w:val="21"/>
          <w:szCs w:val="21"/>
        </w:rPr>
        <w:t>, E., Kumar, S. and Achan, K. (2020) "Inductive representation learning on temporal graphs", in International Conference on Learning Representations.</w:t>
      </w:r>
    </w:p>
    <w:p w14:paraId="36BCFFBC" w14:textId="77777777" w:rsidR="008E1B31" w:rsidRDefault="00000000">
      <w:pPr>
        <w:spacing w:after="120" w:line="280" w:lineRule="auto"/>
        <w:ind w:left="360" w:hanging="360"/>
      </w:pPr>
      <w:r>
        <w:rPr>
          <w:sz w:val="21"/>
          <w:szCs w:val="21"/>
        </w:rPr>
        <w:t>Yu, B., Yin, H. and Zhu, Z. (2018) "</w:t>
      </w:r>
      <w:proofErr w:type="spellStart"/>
      <w:r>
        <w:rPr>
          <w:sz w:val="21"/>
          <w:szCs w:val="21"/>
        </w:rPr>
        <w:t>Spatio</w:t>
      </w:r>
      <w:proofErr w:type="spellEnd"/>
      <w:r>
        <w:rPr>
          <w:sz w:val="21"/>
          <w:szCs w:val="21"/>
        </w:rPr>
        <w:t>-temporal graph convolutional networks: a deep learning framework for traffic forecasting", in Proceedings of the 27th International Joint Conference on Artificial Intelligence, pp. 3634–3640.</w:t>
      </w:r>
    </w:p>
    <w:sectPr w:rsidR="008E1B31">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2EB8" w14:textId="77777777" w:rsidR="00A8663C" w:rsidRDefault="00A8663C">
      <w:r>
        <w:separator/>
      </w:r>
    </w:p>
  </w:endnote>
  <w:endnote w:type="continuationSeparator" w:id="0">
    <w:p w14:paraId="2BF4BC61" w14:textId="77777777" w:rsidR="00A8663C" w:rsidRDefault="00A86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000000">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0A771" w14:textId="77777777" w:rsidR="00A8663C" w:rsidRDefault="00A8663C">
      <w:r>
        <w:separator/>
      </w:r>
    </w:p>
  </w:footnote>
  <w:footnote w:type="continuationSeparator" w:id="0">
    <w:p w14:paraId="2F5BE3A1" w14:textId="77777777" w:rsidR="00A8663C" w:rsidRDefault="00A86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000000">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4D1315"/>
    <w:rsid w:val="00553CCE"/>
    <w:rsid w:val="006E3777"/>
    <w:rsid w:val="008E1B31"/>
    <w:rsid w:val="00964724"/>
    <w:rsid w:val="00A8663C"/>
    <w:rsid w:val="00A9717A"/>
    <w:rsid w:val="00BD3161"/>
    <w:rsid w:val="00EA7A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114</Pages>
  <Words>37908</Words>
  <Characters>211906</Characters>
  <Application>Microsoft Office Word</Application>
  <DocSecurity>0</DocSecurity>
  <Lines>3473</Lines>
  <Paragraphs>1350</Paragraphs>
  <ScaleCrop>false</ScaleCrop>
  <Company/>
  <LinksUpToDate>false</LinksUpToDate>
  <CharactersWithSpaces>248464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5</cp:revision>
  <dcterms:created xsi:type="dcterms:W3CDTF">2026-05-15T15:36:00Z</dcterms:created>
  <dcterms:modified xsi:type="dcterms:W3CDTF">2026-05-16T17:34:00Z</dcterms:modified>
</cp:coreProperties>
</file>