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852160" cy="2835914"/>
            <wp:docPr id="5" name="Picture 5"/>
            <wp:cNvGraphicFramePr>
              <a:graphicFrameLocks noChangeAspect="1"/>
            </wp:cNvGraphicFramePr>
            <a:graphic>
              <a:graphicData uri="http://schemas.openxmlformats.org/drawingml/2006/picture">
                <pic:pic>
                  <pic:nvPicPr>
                    <pic:cNvPr id="0" name="fig_eagle_ford_binding.png"/>
                    <pic:cNvPicPr/>
                  </pic:nvPicPr>
                  <pic:blipFill>
                    <a:blip r:embed="rId15"/>
                    <a:stretch>
                      <a:fillRect/>
                    </a:stretch>
                  </pic:blipFill>
                  <pic:spPr>
                    <a:xfrm>
                      <a:off x="0" y="0"/>
                      <a:ext cx="5852160" cy="2835914"/>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05A43D87"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05A43D87"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05A43D87"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17"/>
          <w:szCs w:val="20"/>
        </w:rPr>
        <w:t>usa_view</w:t>
      </w:r>
      <w:proofErr w:type="spellEnd"/>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oklahoma</w:t>
      </w:r>
      <w:proofErr w:type="spellEnd"/>
      <w:r>
        <w:rPr>
          <w:rFonts w:ascii="Consolas" w:eastAsia="Consolas" w:hAnsi="Consolas" w:cs="Consolas"/>
          <w:sz w:val="17"/>
          <w:szCs w:val="20"/>
        </w:rPr>
        <w:t>, padd2_other</w:t>
      </w:r>
    </w:p>
    <w:p w14:paraId="36BCFC15"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cushing_hub</w:t>
      </w:r>
      <w:proofErr w:type="spellEnd"/>
      <w:r>
        <w:rPr>
          <w:rFonts w:ascii="Consolas" w:eastAsia="Consolas" w:hAnsi="Consolas" w:cs="Consolas"/>
          <w:sz w:val="17"/>
          <w:szCs w:val="20"/>
        </w:rPr>
        <w:t xml:space="preserve"> (with three operator sub-terminals), </w:t>
      </w:r>
      <w:proofErr w:type="spellStart"/>
      <w:r>
        <w:rPr>
          <w:rFonts w:ascii="Consolas" w:eastAsia="Consolas" w:hAnsi="Consolas" w:cs="Consolas"/>
          <w:sz w:val="17"/>
          <w:szCs w:val="20"/>
        </w:rPr>
        <w:t>patoka_hub</w:t>
      </w:r>
      <w:proofErr w:type="spellEnd"/>
    </w:p>
    <w:p w14:paraId="36BCFC16"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bakken_nd_gathering</w:t>
      </w:r>
      <w:proofErr w:type="spellEnd"/>
      <w:r>
        <w:rPr>
          <w:rFonts w:ascii="Consolas" w:eastAsia="Consolas" w:hAnsi="Consolas" w:cs="Consolas"/>
          <w:sz w:val="17"/>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w:t>
      </w:r>
      <w:proofErr w:type="gramStart"/>
      <w:r>
        <w:rPr>
          <w:rFonts w:ascii="Consolas" w:eastAsia="Consolas" w:hAnsi="Consolas" w:cs="Consolas"/>
          <w:sz w:val="17"/>
          <w:szCs w:val="20"/>
        </w:rPr>
        <w:t>_{</w:t>
      </w:r>
      <w:proofErr w:type="gramEnd"/>
      <w:r>
        <w:rPr>
          <w:rFonts w:ascii="Consolas" w:eastAsia="Consolas" w:hAnsi="Consolas" w:cs="Consolas"/>
          <w:sz w:val="17"/>
          <w:szCs w:val="20"/>
        </w:rPr>
        <w:t>1,3,</w:t>
      </w:r>
      <w:proofErr w:type="gramStart"/>
      <w:r>
        <w:rPr>
          <w:rFonts w:ascii="Consolas" w:eastAsia="Consolas" w:hAnsi="Consolas" w:cs="Consolas"/>
          <w:sz w:val="17"/>
          <w:szCs w:val="20"/>
        </w:rPr>
        <w:t>4}_</w:t>
      </w:r>
      <w:proofErr w:type="spellStart"/>
      <w:proofErr w:type="gramEnd"/>
      <w:r>
        <w:rPr>
          <w:rFonts w:ascii="Consolas" w:eastAsia="Consolas" w:hAnsi="Consolas" w:cs="Consolas"/>
          <w:sz w:val="17"/>
          <w:szCs w:val="20"/>
        </w:rPr>
        <w:t>agg</w:t>
      </w:r>
      <w:proofErr w:type="spellEnd"/>
      <w:r>
        <w:rPr>
          <w:rFonts w:ascii="Consolas" w:eastAsia="Consolas" w:hAnsi="Consolas" w:cs="Consolas"/>
          <w:sz w:val="17"/>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w:t>
      </w:r>
      <w:proofErr w:type="spellStart"/>
      <w:r>
        <w:rPr>
          <w:rFonts w:ascii="Consolas" w:eastAsia="Consolas" w:hAnsi="Consolas" w:cs="Consolas"/>
          <w:sz w:val="17"/>
          <w:szCs w:val="20"/>
        </w:rPr>
        <w:t>foreign_supply</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canadian_oil_sands</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foreign_export_destination</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spr_total</w:t>
      </w:r>
      <w:proofErr w:type="spellEnd"/>
    </w:p>
    <w:p w14:paraId="05A43D87"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type="auto" w:w="0"/>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1128"/>
        <w:gridCol w:w="1128"/>
        <w:gridCol w:w="1128"/>
        <w:gridCol w:w="1128"/>
        <w:gridCol w:w="1128"/>
        <w:gridCol w:w="1128"/>
        <w:gridCol w:w="1128"/>
        <w:gridCol w:w="1128"/>
      </w:tblGrid>
      <w:tr>
        <w:tc>
          <w:tcPr>
            <w:tcW w:type="dxa" w:w="1128"/>
            <w:vAlign w:val="center"/>
            <w:shd w:val="clear" w:color="auto" w:fill="E6EEF5"/>
          </w:tcPr>
          <w:p>
            <w:pPr>
              <w:jc w:val="center"/>
            </w:pPr>
            <w:r/>
            <w:r>
              <w:rPr>
                <w:b/>
                <w:sz w:val="18"/>
              </w:rPr>
              <w:t>Node</w:t>
            </w:r>
          </w:p>
        </w:tc>
        <w:tc>
          <w:tcPr>
            <w:tcW w:type="dxa" w:w="1128"/>
            <w:vAlign w:val="center"/>
            <w:shd w:val="clear" w:color="auto" w:fill="E6EEF5"/>
          </w:tcPr>
          <w:p>
            <w:pPr>
              <w:jc w:val="center"/>
            </w:pPr>
            <w:r/>
            <w:r>
              <w:rPr>
                <w:b/>
                <w:sz w:val="18"/>
              </w:rPr>
              <w:t>P (kbd)</w:t>
            </w:r>
          </w:p>
        </w:tc>
        <w:tc>
          <w:tcPr>
            <w:tcW w:type="dxa" w:w="1128"/>
            <w:vAlign w:val="center"/>
            <w:shd w:val="clear" w:color="auto" w:fill="E6EEF5"/>
          </w:tcPr>
          <w:p>
            <w:pPr>
              <w:jc w:val="center"/>
            </w:pPr>
            <w:r/>
            <w:r>
              <w:rPr>
                <w:b/>
                <w:sz w:val="18"/>
              </w:rPr>
              <w:t>C (kbd)</w:t>
            </w:r>
          </w:p>
        </w:tc>
        <w:tc>
          <w:tcPr>
            <w:tcW w:type="dxa" w:w="1128"/>
            <w:vAlign w:val="center"/>
            <w:shd w:val="clear" w:color="auto" w:fill="E6EEF5"/>
          </w:tcPr>
          <w:p>
            <w:pPr>
              <w:jc w:val="center"/>
            </w:pPr>
            <w:r/>
            <w:r>
              <w:rPr>
                <w:b/>
                <w:sz w:val="18"/>
              </w:rPr>
              <w:t>F_in (kbd)</w:t>
            </w:r>
          </w:p>
        </w:tc>
        <w:tc>
          <w:tcPr>
            <w:tcW w:type="dxa" w:w="1128"/>
            <w:vAlign w:val="center"/>
            <w:shd w:val="clear" w:color="auto" w:fill="E6EEF5"/>
          </w:tcPr>
          <w:p>
            <w:pPr>
              <w:jc w:val="center"/>
            </w:pPr>
            <w:r/>
            <w:r>
              <w:rPr>
                <w:b/>
                <w:sz w:val="18"/>
              </w:rPr>
              <w:t>F_out (kbd)</w:t>
            </w:r>
          </w:p>
        </w:tc>
        <w:tc>
          <w:tcPr>
            <w:tcW w:type="dxa" w:w="1128"/>
            <w:vAlign w:val="center"/>
            <w:shd w:val="clear" w:color="auto" w:fill="E6EEF5"/>
          </w:tcPr>
          <w:p>
            <w:pPr>
              <w:jc w:val="center"/>
            </w:pPr>
            <w:r/>
            <w:r>
              <w:rPr>
                <w:b/>
                <w:sz w:val="18"/>
              </w:rPr>
              <w:t>S (mbbl)</w:t>
            </w:r>
          </w:p>
        </w:tc>
        <w:tc>
          <w:tcPr>
            <w:tcW w:type="dxa" w:w="1128"/>
            <w:vAlign w:val="center"/>
            <w:shd w:val="clear" w:color="auto" w:fill="E6EEF5"/>
          </w:tcPr>
          <w:p>
            <w:pPr>
              <w:jc w:val="center"/>
            </w:pPr>
            <w:r/>
            <w:r>
              <w:rPr>
                <w:b/>
                <w:sz w:val="18"/>
              </w:rPr>
              <w:t>B (kbd)</w:t>
            </w:r>
          </w:p>
        </w:tc>
        <w:tc>
          <w:tcPr>
            <w:tcW w:type="dxa" w:w="1128"/>
            <w:vAlign w:val="center"/>
            <w:shd w:val="clear" w:color="auto" w:fill="E6EEF5"/>
          </w:tcPr>
          <w:p>
            <w:pPr>
              <w:jc w:val="center"/>
            </w:pPr>
            <w:r/>
            <w:r>
              <w:rPr>
                <w:b/>
                <w:sz w:val="18"/>
              </w:rPr>
              <w:t>Partition status</w:t>
            </w:r>
          </w:p>
        </w:tc>
      </w:tr>
      <w:tr>
        <w:tc>
          <w:tcPr>
            <w:tcW w:type="dxa" w:w="1128"/>
            <w:vAlign w:val="center"/>
          </w:tcPr>
          <w:p>
            <w:pPr>
              <w:jc w:val="left"/>
            </w:pPr>
            <w:r/>
            <w:r>
              <w:rPr>
                <w:rFonts w:ascii="Consolas" w:hAnsi="Consolas"/>
                <w:sz w:val="18"/>
              </w:rPr>
              <w:t>usa_view (USA)</w:t>
            </w:r>
          </w:p>
        </w:tc>
        <w:tc>
          <w:tcPr>
            <w:tcW w:type="dxa" w:w="1128"/>
            <w:vAlign w:val="center"/>
          </w:tcPr>
          <w:p>
            <w:pPr>
              <w:jc w:val="right"/>
            </w:pPr>
            <w:r/>
            <w:r>
              <w:rPr>
                <w:sz w:val="18"/>
              </w:rPr>
              <w:t>13,437</w:t>
            </w:r>
          </w:p>
        </w:tc>
        <w:tc>
          <w:tcPr>
            <w:tcW w:type="dxa" w:w="1128"/>
            <w:vAlign w:val="center"/>
          </w:tcPr>
          <w:p>
            <w:pPr>
              <w:jc w:val="right"/>
            </w:pPr>
            <w:r/>
            <w:r>
              <w:rPr>
                <w:sz w:val="18"/>
              </w:rPr>
              <w:t>16,772</w:t>
            </w:r>
          </w:p>
        </w:tc>
        <w:tc>
          <w:tcPr>
            <w:tcW w:type="dxa" w:w="1128"/>
            <w:vAlign w:val="center"/>
          </w:tcPr>
          <w:p>
            <w:pPr>
              <w:jc w:val="right"/>
            </w:pPr>
            <w:r/>
            <w:r>
              <w:rPr>
                <w:sz w:val="18"/>
              </w:rPr>
              <w:t>6,557</w:t>
            </w:r>
          </w:p>
        </w:tc>
        <w:tc>
          <w:tcPr>
            <w:tcW w:type="dxa" w:w="1128"/>
            <w:vAlign w:val="center"/>
          </w:tcPr>
          <w:p>
            <w:pPr>
              <w:jc w:val="right"/>
            </w:pPr>
            <w:r/>
            <w:r>
              <w:rPr>
                <w:sz w:val="18"/>
              </w:rPr>
              <w:t>3,752</w:t>
            </w:r>
          </w:p>
        </w:tc>
        <w:tc>
          <w:tcPr>
            <w:tcW w:type="dxa" w:w="1128"/>
            <w:vAlign w:val="center"/>
          </w:tcPr>
          <w:p>
            <w:pPr>
              <w:jc w:val="right"/>
            </w:pPr>
            <w:r/>
            <w:r>
              <w:rPr>
                <w:sz w:val="18"/>
              </w:rPr>
              <w:t>806,948</w:t>
            </w:r>
          </w:p>
        </w:tc>
        <w:tc>
          <w:tcPr>
            <w:tcW w:type="dxa" w:w="1128"/>
            <w:vAlign w:val="center"/>
          </w:tcPr>
          <w:p>
            <w:pPr>
              <w:jc w:val="right"/>
            </w:pPr>
            <w:r/>
            <w:r>
              <w:rPr>
                <w:sz w:val="18"/>
              </w:rPr>
              <w:t>−379</w:t>
            </w:r>
          </w:p>
        </w:tc>
        <w:tc>
          <w:tcPr>
            <w:tcW w:type="dxa" w:w="1128"/>
            <w:vAlign w:val="center"/>
          </w:tcPr>
          <w:p>
            <w:pPr>
              <w:jc w:val="left"/>
            </w:pPr>
            <w:r/>
            <w:r>
              <w:rPr>
                <w:sz w:val="18"/>
              </w:rPr>
              <w:t>ok (closure exact)</w:t>
            </w:r>
          </w:p>
        </w:tc>
      </w:tr>
      <w:tr>
        <w:tc>
          <w:tcPr>
            <w:tcW w:type="dxa" w:w="1128"/>
            <w:vAlign w:val="center"/>
          </w:tcPr>
          <w:p>
            <w:pPr>
              <w:jc w:val="left"/>
            </w:pPr>
            <w:r/>
            <w:r>
              <w:rPr>
                <w:rFonts w:ascii="Consolas" w:hAnsi="Consolas"/>
                <w:sz w:val="18"/>
              </w:rPr>
              <w:t>├ padd1_view (East Coast)</w:t>
            </w:r>
          </w:p>
        </w:tc>
        <w:tc>
          <w:tcPr>
            <w:tcW w:type="dxa" w:w="1128"/>
            <w:vAlign w:val="center"/>
          </w:tcPr>
          <w:p>
            <w:pPr>
              <w:jc w:val="right"/>
            </w:pPr>
            <w:r/>
            <w:r>
              <w:rPr>
                <w:sz w:val="18"/>
              </w:rPr>
              <w:t>46</w:t>
            </w:r>
          </w:p>
        </w:tc>
        <w:tc>
          <w:tcPr>
            <w:tcW w:type="dxa" w:w="1128"/>
            <w:vAlign w:val="center"/>
          </w:tcPr>
          <w:p>
            <w:pPr>
              <w:jc w:val="right"/>
            </w:pPr>
            <w:r/>
            <w:r>
              <w:rPr>
                <w:sz w:val="18"/>
              </w:rPr>
              <w:t>745</w:t>
            </w:r>
          </w:p>
        </w:tc>
        <w:tc>
          <w:tcPr>
            <w:tcW w:type="dxa" w:w="1128"/>
            <w:vAlign w:val="center"/>
          </w:tcPr>
          <w:p>
            <w:pPr>
              <w:jc w:val="right"/>
            </w:pPr>
            <w:r/>
            <w:r>
              <w:rPr>
                <w:sz w:val="18"/>
              </w:rPr>
              <w:t>705</w:t>
            </w:r>
          </w:p>
        </w:tc>
        <w:tc>
          <w:tcPr>
            <w:tcW w:type="dxa" w:w="1128"/>
            <w:vAlign w:val="center"/>
          </w:tcPr>
          <w:p>
            <w:pPr>
              <w:jc w:val="right"/>
            </w:pPr>
            <w:r/>
            <w:r>
              <w:rPr>
                <w:sz w:val="18"/>
              </w:rPr>
              <w:t>92</w:t>
            </w:r>
          </w:p>
        </w:tc>
        <w:tc>
          <w:tcPr>
            <w:tcW w:type="dxa" w:w="1128"/>
            <w:vAlign w:val="center"/>
          </w:tcPr>
          <w:p>
            <w:pPr>
              <w:jc w:val="right"/>
            </w:pPr>
            <w:r/>
            <w:r>
              <w:rPr>
                <w:sz w:val="18"/>
              </w:rPr>
              <w:t>7,872</w:t>
            </w:r>
          </w:p>
        </w:tc>
        <w:tc>
          <w:tcPr>
            <w:tcW w:type="dxa" w:w="1128"/>
            <w:vAlign w:val="center"/>
          </w:tcPr>
          <w:p>
            <w:pPr>
              <w:jc w:val="right"/>
            </w:pPr>
            <w:r/>
            <w:r>
              <w:rPr>
                <w:sz w:val="18"/>
              </w:rPr>
              <w:t>−108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padd2_view (Midwest)</w:t>
            </w:r>
          </w:p>
        </w:tc>
        <w:tc>
          <w:tcPr>
            <w:tcW w:type="dxa" w:w="1128"/>
            <w:vAlign w:val="center"/>
          </w:tcPr>
          <w:p>
            <w:pPr>
              <w:jc w:val="right"/>
            </w:pPr>
            <w:r/>
            <w:r>
              <w:rPr>
                <w:sz w:val="18"/>
              </w:rPr>
              <w:t>1,837</w:t>
            </w:r>
          </w:p>
        </w:tc>
        <w:tc>
          <w:tcPr>
            <w:tcW w:type="dxa" w:w="1128"/>
            <w:vAlign w:val="center"/>
          </w:tcPr>
          <w:p>
            <w:pPr>
              <w:jc w:val="right"/>
            </w:pPr>
            <w:r/>
            <w:r>
              <w:rPr>
                <w:sz w:val="18"/>
              </w:rPr>
              <w:t>3,942</w:t>
            </w:r>
          </w:p>
        </w:tc>
        <w:tc>
          <w:tcPr>
            <w:tcW w:type="dxa" w:w="1128"/>
            <w:vAlign w:val="center"/>
          </w:tcPr>
          <w:p>
            <w:pPr>
              <w:jc w:val="right"/>
            </w:pPr>
            <w:r/>
            <w:r>
              <w:rPr>
                <w:sz w:val="18"/>
              </w:rPr>
              <w:t>4,503</w:t>
            </w:r>
          </w:p>
        </w:tc>
        <w:tc>
          <w:tcPr>
            <w:tcW w:type="dxa" w:w="1128"/>
            <w:vAlign w:val="center"/>
          </w:tcPr>
          <w:p>
            <w:pPr>
              <w:jc w:val="right"/>
            </w:pPr>
            <w:r/>
            <w:r>
              <w:rPr>
                <w:sz w:val="18"/>
              </w:rPr>
              <w:t>2,426</w:t>
            </w:r>
          </w:p>
        </w:tc>
        <w:tc>
          <w:tcPr>
            <w:tcW w:type="dxa" w:w="1128"/>
            <w:vAlign w:val="center"/>
          </w:tcPr>
          <w:p>
            <w:pPr>
              <w:jc w:val="right"/>
            </w:pPr>
            <w:r/>
            <w:r>
              <w:rPr>
                <w:sz w:val="18"/>
              </w:rPr>
              <w:t>103,681</w:t>
            </w:r>
          </w:p>
        </w:tc>
        <w:tc>
          <w:tcPr>
            <w:tcW w:type="dxa" w:w="1128"/>
            <w:vAlign w:val="center"/>
          </w:tcPr>
          <w:p>
            <w:pPr>
              <w:jc w:val="right"/>
            </w:pPr>
            <w:r/>
            <w:r>
              <w:rPr>
                <w:sz w:val="18"/>
              </w:rPr>
              <w:t>−128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padd3_view (Gulf Coast)</w:t>
            </w:r>
          </w:p>
        </w:tc>
        <w:tc>
          <w:tcPr>
            <w:tcW w:type="dxa" w:w="1128"/>
            <w:vAlign w:val="center"/>
          </w:tcPr>
          <w:p>
            <w:pPr>
              <w:jc w:val="right"/>
            </w:pPr>
            <w:r/>
            <w:r>
              <w:rPr>
                <w:sz w:val="18"/>
              </w:rPr>
              <w:t>9,791</w:t>
            </w:r>
          </w:p>
        </w:tc>
        <w:tc>
          <w:tcPr>
            <w:tcW w:type="dxa" w:w="1128"/>
            <w:vAlign w:val="center"/>
          </w:tcPr>
          <w:p>
            <w:pPr>
              <w:jc w:val="right"/>
            </w:pPr>
            <w:r/>
            <w:r>
              <w:rPr>
                <w:sz w:val="18"/>
              </w:rPr>
              <w:t>9,390</w:t>
            </w:r>
          </w:p>
        </w:tc>
        <w:tc>
          <w:tcPr>
            <w:tcW w:type="dxa" w:w="1128"/>
            <w:vAlign w:val="center"/>
          </w:tcPr>
          <w:p>
            <w:pPr>
              <w:jc w:val="right"/>
            </w:pPr>
            <w:r/>
            <w:r>
              <w:rPr>
                <w:sz w:val="18"/>
              </w:rPr>
              <w:t>3,631</w:t>
            </w:r>
          </w:p>
        </w:tc>
        <w:tc>
          <w:tcPr>
            <w:tcW w:type="dxa" w:w="1128"/>
            <w:vAlign w:val="center"/>
          </w:tcPr>
          <w:p>
            <w:pPr>
              <w:jc w:val="right"/>
            </w:pPr>
            <w:r/>
            <w:r>
              <w:rPr>
                <w:sz w:val="18"/>
              </w:rPr>
              <w:t>4,266</w:t>
            </w:r>
          </w:p>
        </w:tc>
        <w:tc>
          <w:tcPr>
            <w:tcW w:type="dxa" w:w="1128"/>
            <w:vAlign w:val="center"/>
          </w:tcPr>
          <w:p>
            <w:pPr>
              <w:jc w:val="right"/>
            </w:pPr>
            <w:r/>
            <w:r>
              <w:rPr>
                <w:sz w:val="18"/>
              </w:rPr>
              <w:t>621,631</w:t>
            </w:r>
          </w:p>
        </w:tc>
        <w:tc>
          <w:tcPr>
            <w:tcW w:type="dxa" w:w="1128"/>
            <w:vAlign w:val="center"/>
          </w:tcPr>
          <w:p>
            <w:pPr>
              <w:jc w:val="right"/>
            </w:pPr>
            <w:r/>
            <w:r>
              <w:rPr>
                <w:sz w:val="18"/>
              </w:rPr>
              <w:t>−105</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padd4_view (Rocky Mountain)</w:t>
            </w:r>
          </w:p>
        </w:tc>
        <w:tc>
          <w:tcPr>
            <w:tcW w:type="dxa" w:w="1128"/>
            <w:vAlign w:val="center"/>
          </w:tcPr>
          <w:p>
            <w:pPr>
              <w:jc w:val="right"/>
            </w:pPr>
            <w:r/>
            <w:r>
              <w:rPr>
                <w:sz w:val="18"/>
              </w:rPr>
              <w:t>1,051</w:t>
            </w:r>
          </w:p>
        </w:tc>
        <w:tc>
          <w:tcPr>
            <w:tcW w:type="dxa" w:w="1128"/>
            <w:vAlign w:val="center"/>
          </w:tcPr>
          <w:p>
            <w:pPr>
              <w:jc w:val="right"/>
            </w:pPr>
            <w:r/>
            <w:r>
              <w:rPr>
                <w:sz w:val="18"/>
              </w:rPr>
              <w:t>569</w:t>
            </w:r>
          </w:p>
        </w:tc>
        <w:tc>
          <w:tcPr>
            <w:tcW w:type="dxa" w:w="1128"/>
            <w:vAlign w:val="center"/>
          </w:tcPr>
          <w:p>
            <w:pPr>
              <w:jc w:val="right"/>
            </w:pPr>
            <w:r/>
            <w:r>
              <w:rPr>
                <w:sz w:val="18"/>
              </w:rPr>
              <w:t>553</w:t>
            </w:r>
          </w:p>
        </w:tc>
        <w:tc>
          <w:tcPr>
            <w:tcW w:type="dxa" w:w="1128"/>
            <w:vAlign w:val="center"/>
          </w:tcPr>
          <w:p>
            <w:pPr>
              <w:jc w:val="right"/>
            </w:pPr>
            <w:r/>
            <w:r>
              <w:rPr>
                <w:sz w:val="18"/>
              </w:rPr>
              <w:t>988</w:t>
            </w:r>
          </w:p>
        </w:tc>
        <w:tc>
          <w:tcPr>
            <w:tcW w:type="dxa" w:w="1128"/>
            <w:vAlign w:val="center"/>
          </w:tcPr>
          <w:p>
            <w:pPr>
              <w:jc w:val="right"/>
            </w:pPr>
            <w:r/>
            <w:r>
              <w:rPr>
                <w:sz w:val="18"/>
              </w:rPr>
              <w:t>24,434</w:t>
            </w:r>
          </w:p>
        </w:tc>
        <w:tc>
          <w:tcPr>
            <w:tcW w:type="dxa" w:w="1128"/>
            <w:vAlign w:val="center"/>
          </w:tcPr>
          <w:p>
            <w:pPr>
              <w:jc w:val="right"/>
            </w:pPr>
            <w:r/>
            <w:r>
              <w:rPr>
                <w:sz w:val="18"/>
              </w:rPr>
              <w:t>−32</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padd5_view (West Coast)</w:t>
            </w:r>
          </w:p>
        </w:tc>
        <w:tc>
          <w:tcPr>
            <w:tcW w:type="dxa" w:w="1128"/>
            <w:vAlign w:val="center"/>
          </w:tcPr>
          <w:p>
            <w:pPr>
              <w:jc w:val="right"/>
            </w:pPr>
            <w:r/>
            <w:r>
              <w:rPr>
                <w:sz w:val="18"/>
              </w:rPr>
              <w:t>714</w:t>
            </w:r>
          </w:p>
        </w:tc>
        <w:tc>
          <w:tcPr>
            <w:tcW w:type="dxa" w:w="1128"/>
            <w:vAlign w:val="center"/>
          </w:tcPr>
          <w:p>
            <w:pPr>
              <w:jc w:val="right"/>
            </w:pPr>
            <w:r/>
            <w:r>
              <w:rPr>
                <w:sz w:val="18"/>
              </w:rPr>
              <w:t>2,126</w:t>
            </w:r>
          </w:p>
        </w:tc>
        <w:tc>
          <w:tcPr>
            <w:tcW w:type="dxa" w:w="1128"/>
            <w:vAlign w:val="center"/>
          </w:tcPr>
          <w:p>
            <w:pPr>
              <w:jc w:val="right"/>
            </w:pPr>
            <w:r/>
            <w:r>
              <w:rPr>
                <w:sz w:val="18"/>
              </w:rPr>
              <w:t>1,185</w:t>
            </w:r>
          </w:p>
        </w:tc>
        <w:tc>
          <w:tcPr>
            <w:tcW w:type="dxa" w:w="1128"/>
            <w:vAlign w:val="center"/>
          </w:tcPr>
          <w:p>
            <w:pPr>
              <w:jc w:val="right"/>
            </w:pPr>
            <w:r/>
            <w:r>
              <w:rPr>
                <w:sz w:val="18"/>
              </w:rPr>
              <w:t>0</w:t>
            </w:r>
          </w:p>
        </w:tc>
        <w:tc>
          <w:tcPr>
            <w:tcW w:type="dxa" w:w="1128"/>
            <w:vAlign w:val="center"/>
          </w:tcPr>
          <w:p>
            <w:pPr>
              <w:jc w:val="right"/>
            </w:pPr>
            <w:r/>
            <w:r>
              <w:rPr>
                <w:sz w:val="18"/>
              </w:rPr>
              <w:t>49,330</w:t>
            </w:r>
          </w:p>
        </w:tc>
        <w:tc>
          <w:tcPr>
            <w:tcW w:type="dxa" w:w="1128"/>
            <w:vAlign w:val="center"/>
          </w:tcPr>
          <w:p>
            <w:pPr>
              <w:jc w:val="right"/>
            </w:pPr>
            <w:r/>
            <w:r>
              <w:rPr>
                <w:sz w:val="18"/>
              </w:rPr>
              <w:t>−7</w:t>
            </w:r>
          </w:p>
        </w:tc>
        <w:tc>
          <w:tcPr>
            <w:tcW w:type="dxa" w:w="1128"/>
            <w:vAlign w:val="center"/>
          </w:tcPr>
          <w:p>
            <w:pPr>
              <w:jc w:val="left"/>
            </w:pPr>
            <w:r/>
            <w:r>
              <w:rPr>
                <w:sz w:val="18"/>
              </w:rPr>
              <w:t>ok</w:t>
            </w:r>
          </w:p>
        </w:tc>
      </w:tr>
    </w:tbl>
    <w:p w14:paraId="05A43D87"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05A43D87"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05A43D87" w14:textId="77777777" w:rsidR="006E3777" w:rsidRDefault="006E3777">
      <w:pPr>
        <w:spacing w:after="160" w:line="319" w:lineRule="auto"/>
        <w:jc w:val="both"/>
        <w:rPr>
          <w:kern w:val="2"/>
          <w14:ligatures w14:val="standardContextual"/>
        </w:rPr>
      </w:pPr>
      <w:r>
        <w:rPr>
          <w:rFonts w:ascii="Consolas" w:hAnsi="Consolas"/>
          <w:sz w:val="18"/>
        </w:rPr>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load: pull every variable_assignment row for the active scenario plus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05A43D87"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05A43D87" w14:textId="77777777" w:rsidR="006E3777" w:rsidRDefault="006E3777">
      <w:pPr>
        <w:spacing w:after="160" w:line="319" w:lineRule="auto"/>
        <w:jc w:val="both"/>
        <w:rPr>
          <w:kern w:val="2"/>
          <w14:ligatures w14:val="standardContextual"/>
        </w:rPr>
      </w:pPr>
      <w:r>
        <w:t>The loop reads as one statement of the algorithm. The pseudo-code below is faithful to the implementation in code/recursive_resolver.py:</w:t>
      </w:r>
    </w:p>
    <w:p w14:paraId="05A43D87"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5A43D87"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05A43D87" w14:textId="77777777" w:rsidR="006E3777" w:rsidRDefault="006E3777">
      <w:pPr>
        <w:spacing w:after="160" w:line="319" w:lineRule="auto"/>
        <w:jc w:val="both"/>
        <w:rPr>
          <w:kern w:val="2"/>
          <w14:ligatures w14:val="standardContextual"/>
        </w:rPr>
      </w:pPr>
      <w:r>
        <w:rPr>
          <w:rFonts w:ascii="Consolas" w:hAnsi="Consolas"/>
          <w:sz w:val="18"/>
        </w:rPr>
      </w:r>
    </w:p>
    <w:p w14:paraId="05A43D87"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05A43D87"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05A43D87"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05A43D87" w14:textId="77777777" w:rsidR="006E3777" w:rsidRDefault="006E3777">
      <w:pPr>
        <w:spacing w:after="160" w:line="319" w:lineRule="auto"/>
        <w:jc w:val="both"/>
        <w:rPr>
          <w:kern w:val="2"/>
          <w14:ligatures w14:val="standardContextual"/>
        </w:rPr>
      </w:pPr>
      <w:r>
        <w:t>The fixed-point pattern has practical advantages over the topological-sort approach the resolver used in earlier versions. There is no separate dependency-graph data structure to 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05A43D87"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05A43D87"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