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i w:val="false"/>
          <w:iCs w:val="false"/>
          <w:sz w:val="28"/>
          <w:szCs w:val="28"/>
        </w:rPr>
        <w:t xml:space="preserve">NOVA Information Management School</w:t>
      </w:r>
    </w:p>
    <w:p>
      <w:pPr>
        <w:spacing w:after="800"/>
        <w:jc w:val="center"/>
      </w:pPr>
      <w:r>
        <w:rPr>
          <w:b w:val="false"/>
          <w:bCs w:val="false"/>
          <w:i w:val="false"/>
          <w:iCs w:val="false"/>
          <w:sz w:val="24"/>
          <w:szCs w:val="24"/>
        </w:rPr>
        <w:t xml:space="preserve">Universidade Nova de Lisboa</w:t>
      </w:r>
    </w:p>
    <w:p>
      <w:pPr>
        <w:spacing w:after="120"/>
      </w:pPr>
    </w:p>
    <w:p>
      <w:pPr>
        <w:spacing w:after="80"/>
        <w:jc w:val="center"/>
      </w:pPr>
      <w:r>
        <w:rPr>
          <w:b/>
          <w:bCs/>
          <w:i w:val="false"/>
          <w:iCs w:val="false"/>
          <w:sz w:val="40"/>
          <w:szCs w:val="40"/>
        </w:rPr>
        <w:t xml:space="preserve">Asset-Centric Temporal Graphs for</w:t>
      </w:r>
    </w:p>
    <w:p>
      <w:pPr>
        <w:spacing w:after="80"/>
        <w:jc w:val="center"/>
      </w:pPr>
      <w:r>
        <w:rPr>
          <w:b/>
          <w:bCs/>
          <w:i w:val="false"/>
          <w:iCs w:val="false"/>
          <w:sz w:val="40"/>
          <w:szCs w:val="40"/>
        </w:rPr>
        <w:t xml:space="preserve">Crude-Oil Logistics:</w:t>
      </w:r>
    </w:p>
    <w:p>
      <w:pPr>
        <w:spacing w:after="600"/>
        <w:jc w:val="center"/>
      </w:pPr>
      <w:r>
        <w:rPr>
          <w:b/>
          <w:bCs/>
          <w:i w:val="false"/>
          <w:iCs w:val="false"/>
          <w:sz w:val="36"/>
          <w:szCs w:val="36"/>
        </w:rPr>
        <w:t xml:space="preserve">Schema Design and Consistency Guarantees</w:t>
      </w:r>
    </w:p>
    <w:p>
      <w:pPr>
        <w:spacing w:after="120"/>
      </w:pPr>
    </w:p>
    <w:p>
      <w:pPr>
        <w:spacing w:after="800"/>
        <w:jc w:val="center"/>
      </w:pPr>
      <w:r>
        <w:rPr>
          <w:b w:val="false"/>
          <w:bCs w:val="false"/>
          <w:i/>
          <w:iCs/>
          <w:sz w:val="26"/>
          <w:szCs w:val="26"/>
        </w:rPr>
        <w:t xml:space="preserve">Master Thesis in Information Management Systems</w:t>
      </w:r>
    </w:p>
    <w:p>
      <w:pPr>
        <w:spacing w:after="120"/>
      </w:pPr>
    </w:p>
    <w:p>
      <w:pPr>
        <w:spacing w:after="120"/>
      </w:pPr>
    </w:p>
    <w:p>
      <w:pPr>
        <w:spacing w:after="120"/>
        <w:jc w:val="center"/>
      </w:pPr>
      <w:r>
        <w:rPr>
          <w:b/>
          <w:bCs/>
          <w:i w:val="false"/>
          <w:iCs w:val="false"/>
          <w:sz w:val="28"/>
          <w:szCs w:val="28"/>
        </w:rPr>
        <w:t xml:space="preserve">Pedro Porfirio</w:t>
      </w:r>
    </w:p>
    <w:p>
      <w:pPr>
        <w:spacing w:after="360"/>
        <w:jc w:val="center"/>
      </w:pPr>
      <w:r>
        <w:rPr>
          <w:b w:val="false"/>
          <w:bCs w:val="false"/>
          <w:i w:val="false"/>
          <w:iCs w:val="false"/>
          <w:sz w:val="22"/>
          <w:szCs w:val="22"/>
        </w:rPr>
        <w:t xml:space="preserve">Student Number: 20241283</w:t>
      </w:r>
    </w:p>
    <w:p>
      <w:pPr>
        <w:spacing w:after="600"/>
        <w:jc w:val="center"/>
      </w:pPr>
      <w:r>
        <w:rPr>
          <w:b w:val="false"/>
          <w:bCs w:val="false"/>
          <w:i w:val="false"/>
          <w:iCs w:val="false"/>
          <w:sz w:val="22"/>
          <w:szCs w:val="22"/>
        </w:rPr>
        <w:t xml:space="preserve">Supervisor: Professor Flavio Pinheiro</w:t>
      </w:r>
    </w:p>
    <w:p>
      <w:pPr>
        <w:spacing w:after="240"/>
        <w:jc w:val="center"/>
      </w:pPr>
      <w:r>
        <w:rPr>
          <w:b w:val="false"/>
          <w:bCs w:val="false"/>
          <w:i w:val="false"/>
          <w:iCs w:val="false"/>
          <w:sz w:val="22"/>
          <w:szCs w:val="22"/>
        </w:rPr>
        <w:t xml:space="preserve">April 2026</w:t>
      </w:r>
    </w:p>
    <w:p>
      <w:r>
        <w:br w:type="page"/>
      </w:r>
    </w:p>
    <w:p>
      <w:pPr>
        <w:pStyle w:val="Heading1"/>
      </w:pPr>
      <w:r>
        <w:t xml:space="preserve">Abstract</w:t>
      </w:r>
    </w:p>
    <w:p>
      <w:pPr>
        <w:spacing w:after="160" w:line="300"/>
        <w:jc w:val="both"/>
      </w:pPr>
      <w:r>
        <w:t xml:space="preserve">Crude oil is one of the most volatile commodities in global markets, and its price discovery is anchored in the physical balance between supply and demand. Because production and refining adjust slowly — well output is constrained by geology, refineries are designed for specific throughput ranges, and transport imposes transit times measured in days to months — inventories absorb most short-term imbalances across the network of production sites, storage terminals, strategic reserves, and refineries. Capturing how stocks build and draw at each point in this network, and how disruptions propagate through it, requires a representation that respects both the physical connectivity of the assets and the time-varying flows between them.</w:t>
      </w:r>
    </w:p>
    <w:p>
      <w:pPr>
        <w:spacing w:after="160" w:line="300"/>
        <w:jc w:val="both"/>
      </w:pPr>
      <w:r>
        <w:t xml:space="preserve">This thesis develops such a representation: a formal framework for modelling crude-oil logistics systems as asset-centric temporal graphs, and a set of formal invariants that guarantee the representation remains internally consistent under the heterogeneous, multi-resolution data sources that characterise real commodity markets. In the asset-centric convention adopted throughout, every physical asset — including pipelines and vessels, not only fixed sites — is a node with its own inventory and its own mass balance. The framework is built on three design principles: a stable-topology adjacency matrix with zero-flow inactive edges, a universal mass balance equation with a balancing item that absorbs the systematic discrepancies endemic to commodity reporting, and a formula-implies-edge mechanism in which the graph's topology is determined by variable relationships rather than declared separately.</w:t>
      </w:r>
    </w:p>
    <w:p>
      <w:pPr>
        <w:spacing w:after="160" w:line="300"/>
        <w:jc w:val="both"/>
      </w:pPr>
      <w:r>
        <w:t xml:space="preserve">The central methodological contribution extends these foundations with the machinery needed to operate the framework at production scale. A persistent asset graph defining the full physical topology is separated from the scenario graphs derived from it at load time; geography metadata attached to nodes is distinguished from the resolution hierarchy relating nodes that represent the same physical system at different granularities; and an observed/derived invariant on every node-variable makes aggregation double-counting structurally impossible rather than merely detectable. Coverage contracts declare which level of each hierarchy is authoritative for a given scenario, allowing administrative aggregates such as EIA PADD regions to be promoted to authoritative status when no finer data is available, and reverted to derived views when it is. Junction nodes whose variables cannot be distinguished at the current resolution are collapsed by the scenario loader, remaining structurally present in the asset graph while sitting inactive until finer data arrives. The framework is designed so that data-granularity upgrades never force structural changes: the asset graph is defined once and for all, and scenario graphs are regenerated as data sources evolve.</w:t>
      </w:r>
    </w:p>
    <w:p>
      <w:pPr>
        <w:spacing w:after="160" w:line="300"/>
        <w:jc w:val="both"/>
      </w:pPr>
      <w:r>
        <w:t xml:space="preserve">The framework is validated on a worked prototype of the United States crude-oil supply chain, populated with public data from the U.S. Energy Information Administration at monthly frequency. The validation chapter demonstrates four claims: that the framework remains consistent under data upgrades across different coverage contracts, that the observed/derived invariant rejects deliberately constructed double-counting scenarios that a naive schema would silently accept, that the collapsed-state mechanism for junction nodes and administrative aggregates handles mixed-resolution data without loss of mass balance fidelity, and that the balancing item captures operationally meaningful signal beyond noise. The prototype provides the reference implementation that demonstrates the framework is not only formally defined but practically realisable.</w:t>
      </w:r>
    </w:p>
    <w:p>
      <w:pPr>
        <w:spacing w:after="160" w:line="300"/>
        <w:jc w:val="both"/>
      </w:pPr>
      <w:r>
        <w:t xml:space="preserve">The forecasting application of the resulting scenario graphs, using the temporal graph neural network methods reviewed in the literature chapter, is positioned as the natural extension of this work and developed at a conceptual level. The contribution of this thesis is the representation itself — the formal schema, the invariants, and the validated implementation — as the foundation on which subsequent forecasting and decision-support systems can be built.</w:t>
      </w:r>
    </w:p>
    <w:p>
      <w:pPr>
        <w:spacing w:after="160" w:line="300"/>
        <w:jc w:val="both"/>
      </w:pPr>
      <w:r>
        <w:rPr>
          <w:b/>
          <w:bCs/>
          <w:i/>
          <w:iCs/>
        </w:rPr>
        <w:t xml:space="preserve">Keywords: </w:t>
      </w:r>
      <w:r>
        <w:rPr>
          <w:i/>
          <w:iCs/>
        </w:rPr>
        <w:t xml:space="preserve">asset-centric graph, temporal graph, crude-oil logistics, graph schema, mass balance, balancing item, scenario graph, coverage contract, resolution hierarchy, graph neural networks, commodity supply chain, configuration-grounded representation</w:t>
      </w:r>
    </w:p>
    <w:p>
      <w:r>
        <w:br w:type="page"/>
      </w:r>
    </w:p>
    <w:p>
      <w:pPr>
        <w:pStyle w:val="Heading1"/>
      </w:pPr>
      <w:r>
        <w:t xml:space="preserve">Contents</w:t>
      </w:r>
    </w:p>
    <w:p>
      <w:pPr>
        <w:spacing w:after="160" w:line="300"/>
        <w:jc w:val="both"/>
      </w:pPr>
      <w:r>
        <w:t xml:space="preserve">This thesis is organised into seven chapters, supported by two annexes (distributed as separate documents).</w:t>
      </w:r>
    </w:p>
    <w:p>
      <w:pPr>
        <w:spacing w:after="160" w:line="300"/>
        <w:jc w:val="both"/>
      </w:pPr>
      <w:r>
        <w:rPr>
          <w:b/>
          <w:bCs/>
        </w:rPr>
        <w:t xml:space="preserve">Abstract</w:t>
      </w:r>
    </w:p>
    <w:p>
      <w:pPr>
        <w:spacing w:after="160" w:line="300"/>
        <w:jc w:val="both"/>
      </w:pPr>
      <w:r>
        <w:t xml:space="preserve">1. Introduction</w:t>
      </w:r>
    </w:p>
    <w:p>
      <w:pPr>
        <w:spacing w:after="160" w:line="300"/>
        <w:jc w:val="both"/>
      </w:pPr>
      <w:r>
        <w:t xml:space="preserve">2. Literature Review</w:t>
      </w:r>
    </w:p>
    <w:p>
      <w:pPr>
        <w:spacing w:after="160" w:line="300"/>
        <w:jc w:val="both"/>
      </w:pPr>
      <w:r>
        <w:t xml:space="preserve">3. The Asset-Centric Graph Schema</w:t>
      </w:r>
    </w:p>
    <w:p>
      <w:pPr>
        <w:spacing w:after="160" w:line="300"/>
        <w:jc w:val="both"/>
      </w:pPr>
      <w:r>
        <w:t xml:space="preserve">4. Scenario Assembly and Consistency Invariants</w:t>
      </w:r>
    </w:p>
    <w:p>
      <w:pPr>
        <w:spacing w:after="160" w:line="300"/>
        <w:jc w:val="both"/>
      </w:pPr>
      <w:r>
        <w:t xml:space="preserve">5. Validation Strategy and Results</w:t>
      </w:r>
    </w:p>
    <w:p>
      <w:pPr>
        <w:spacing w:after="160" w:line="300"/>
        <w:jc w:val="both"/>
      </w:pPr>
      <w:r>
        <w:t xml:space="preserve">6. Implementation Case Study: the U.S. Crude-Oil Supply Chain</w:t>
      </w:r>
    </w:p>
    <w:p>
      <w:pPr>
        <w:spacing w:after="160" w:line="300"/>
        <w:jc w:val="both"/>
      </w:pPr>
      <w:r>
        <w:t xml:space="preserve">7. Discussion, Limitations, and Future Work</w:t>
      </w:r>
    </w:p>
    <w:p>
      <w:pPr>
        <w:spacing w:after="160" w:line="300"/>
        <w:jc w:val="both"/>
      </w:pPr>
      <w:r>
        <w:t xml:space="preserve">References</w:t>
      </w:r>
    </w:p>
    <w:p>
      <w:pPr>
        <w:spacing w:after="160" w:line="300"/>
        <w:jc w:val="both"/>
      </w:pPr>
      <w:r>
        <w:rPr>
          <w:i/>
          <w:iCs/>
        </w:rPr>
        <w:t xml:space="preserve">Annex A — Graph Neural Networks: Concepts, Mathematics, and a Crude-Oil Example</w:t>
      </w:r>
    </w:p>
    <w:p>
      <w:pPr>
        <w:spacing w:after="160" w:line="300"/>
        <w:jc w:val="both"/>
      </w:pPr>
      <w:r>
        <w:rPr>
          <w:i/>
          <w:iCs/>
        </w:rPr>
        <w:t xml:space="preserve">Annex B — Asset-Centric Graph Representations and Scenario Assembly (v2)</w:t>
      </w:r>
    </w:p>
    <w:p>
      <w:pPr>
        <w:pStyle w:val="Heading1"/>
        <w:pageBreakBefore/>
      </w:pPr>
      <w:r>
        <w:t xml:space="preserve">1. Introduction</w:t>
      </w:r>
    </w:p>
    <w:p>
      <w:pPr>
        <w:pStyle w:val="Heading2"/>
      </w:pPr>
      <w:r>
        <w:t xml:space="preserve">1.1 Background and Motivation</w:t>
      </w:r>
    </w:p>
    <w:p>
      <w:pPr>
        <w:spacing w:after="160" w:line="300"/>
        <w:jc w:val="both"/>
      </w:pPr>
      <w:r>
        <w:t xml:space="preserve">The global crude-oil supply chain is a logistics network with unusually high economic stakes. It spans extraction wells, pipeline systems covering thousands of kilometres, tanker routes, refineries, tank farms, and distribution terminals. Decisions made inside this network — how quickly producers ramp output, how refineries schedule runs, how traders reposition barrels — show up quickly in inventories and, shortly after, in prices. Many of the operational questions practitioners care about are inherently network questions: where stocks tighten first after a disruption, how rerouting propagates through connected regions, and which assets have the physical flexibility to respond.</w:t>
      </w:r>
    </w:p>
    <w:p>
      <w:pPr>
        <w:spacing w:after="160" w:line="300"/>
        <w:jc w:val="both"/>
      </w:pPr>
      <w:r>
        <w:t xml:space="preserve">At the level of individual assets — an offshore platform, a regional storage hub, a port terminal — operators observe multivariate time series that reflect the system's state: production rates, refinery runs, inflows and outflows, capacities, and inventories. These signals are shaped by internal constraints (equipment limits, maintenance schedules, contractual commitments) and external shocks (geopolitics, demand swings, weather, price volatility). Crucially, the variables are not independent. A disruption at an upstream node affects downstream inventories with time lags that depend on transit times, routing choices, and capacity bottlenecks. What happens at one node is often best understood in the context of its neighbours and the pathways connecting them.</w:t>
      </w:r>
    </w:p>
    <w:p>
      <w:pPr>
        <w:spacing w:after="200" w:before="160" w:line="300"/>
        <w:jc w:val="center"/>
      </w:pPr>
      <w:r>
        <w:rPr>
          <w:i/>
          <w:iCs/>
          <w:sz w:val="20"/>
          <w:szCs w:val="20"/>
        </w:rPr>
        <w:t xml:space="preserve">Figure 1.1 — Stylised crude-oil supply chain. Production assets feed gathering and storage through a combination of pipeline, rail, and maritime transport; crude is released from storage to refineries, which transform it into a slate of refined products delivered to end-use markets. The present thesis focuses on the upstream-to-refinery portion of this network.</w:t>
      </w:r>
    </w:p>
    <w:p>
      <w:pPr>
        <w:spacing w:after="160" w:line="300"/>
        <w:jc w:val="both"/>
      </w:pPr>
      <w:r>
        <w:t xml:space="preserve">Historically, two methodological families have been used to support decisions in this setting. Operations research models — linear programming, mixed-integer programming, stochastic optimisation — are strong at enforcing constraints and producing optimal plans under stated assumptions (Fernandes, Relvas, and Barbosa-Póvoa, 2013; Kazemi and Szmerekovsky, 2015; Ribas, Hamacher, and Street, 2010). Their weakness is that the simplifications required to keep models tractable — linearity, simplified uncertainty structures, coarse aggregation — can limit realism (Lima, Relvas, and Barbosa-Póvoa, 2016). Time-series methods such as ARIMA and VAR sit at the other end: they learn patterns from data, but they are typically applied per node and do not explicitly encode the physical connectivity of the network (Hamilton, 1994; Box, Jenkins, Reinsel, and Ljung, 2015).</w:t>
      </w:r>
    </w:p>
    <w:p>
      <w:pPr>
        <w:spacing w:after="160" w:line="300"/>
        <w:jc w:val="both"/>
      </w:pPr>
      <w:r>
        <w:t xml:space="preserve">The joint representation of space and time — a model that learns from multivariate time series while respecting the graph structure through which shocks propagate — is where graph representation learning and graph neural networks become attractive, especially when paired with temporal modelling components. The crude-oil domain presents a compelling case for these methods: the network topology is well defined by physical infrastructure, the temporal dynamics are rich and operationally consequential, and the economic stakes of better network-level modelling are substantial.</w:t>
      </w:r>
    </w:p>
    <w:p>
      <w:pPr>
        <w:spacing w:after="160" w:line="300"/>
        <w:jc w:val="both"/>
      </w:pPr>
      <w:r>
        <w:t xml:space="preserve">This motivation, however, conceals a design problem that is more demanding than the machine-learning literature typically acknowledges. Representing a crude-oil network as a graph is not a single decision; it is a series of decisions about what counts as a node, what counts as an edge, how aggregate administrative categories relate to physical assets, how data reported at different resolutions is reconciled, and how the representation evolves as data sources improve. The answers to these questions shape what a downstream model can and cannot learn, and they determine whether the representation can be trusted as a basis for operational decisions. In practice, most published schemas for supply-chain graphs either assume a fixed resolution that breaks when data quality improves, or conflate physical and administrative entities in ways that introduce subtle inconsistencies. These are not implementation details. They are methodological questions that deserve their own framework, their own invariants, and their own validation — which is the subject of this thesis.</w:t>
      </w:r>
    </w:p>
    <w:p>
      <w:pPr>
        <w:pStyle w:val="Heading2"/>
      </w:pPr>
      <w:r>
        <w:t xml:space="preserve">1.2 Problem Statement</w:t>
      </w:r>
    </w:p>
    <w:p>
      <w:pPr>
        <w:spacing w:after="160" w:line="300"/>
        <w:jc w:val="both"/>
      </w:pPr>
      <w:r>
        <w:t xml:space="preserve">Despite growing interest in graph-based methods for commodity logistics, there is a practical gap between modelling a supply chain as a graph and building a representation that is robust enough to support forecasting and decision-making in production. Three sources of fragility recur across the published schemas.</w:t>
      </w:r>
    </w:p>
    <w:p>
      <w:pPr>
        <w:spacing w:after="160" w:line="300"/>
        <w:jc w:val="both"/>
      </w:pPr>
      <w:r>
        <w:t xml:space="preserve">The first is representational. Many schemas inherited from traffic forecasting treat fixed geographic sites as nodes and transport infrastructure as edge attributes. For commodity logistics this is problematic because crude oil physically inside a pipeline or a tanker is a real, substantial inventory position — a 500-mile pipeline holds millions of barrels at any moment; a VLCC carries two million — and these in-transit volumes do not have a natural place in a location-centric schema. They become invisible state, reconstructible only implicitly from edge attributes, and difficult to reason about as operational variables.</w:t>
      </w:r>
    </w:p>
    <w:p>
      <w:pPr>
        <w:spacing w:after="160" w:line="300"/>
        <w:jc w:val="both"/>
      </w:pPr>
      <w:r>
        <w:t xml:space="preserve">The second is structural. Commodity networks carry a mix of physical assets and administrative aggregates — PADDs, states, statistical regions. The physical assets have edges, capacities, and operational histories; the administrative aggregates are reporting conventions with none of these properties. When both are placed in the same graph without a principled separation, the distinction between what crude actually does and how it is reported gets blurred, and the asset-centric interpretation of the graph breaks down.</w:t>
      </w:r>
    </w:p>
    <w:p>
      <w:pPr>
        <w:spacing w:after="160" w:line="300"/>
        <w:jc w:val="both"/>
      </w:pPr>
      <w:r>
        <w:t xml:space="preserve">The third is temporal. Data sources for commodity networks are heterogeneous and time-varying. Some variables are reported at basin level; others at state level; others only at PADD level. The available resolution for the same variable may differ across time periods, across data sources, and across segments of the network. A schema that is tightly bound to a single resolution requires structural changes whenever the data landscape shifts — and these changes propagate through any model trained on the schema. A schema that silently accepts heterogeneous data risks double-counting, where the same crude is assigned to both a parent aggregate and its children, producing inflated production totals that pass mass balance checks only because the checks are too coarse to detect the duplication.</w:t>
      </w:r>
    </w:p>
    <w:p>
      <w:pPr>
        <w:spacing w:after="160" w:line="300"/>
        <w:jc w:val="both"/>
      </w:pPr>
      <w:r>
        <w:t xml:space="preserve">The central research question is therefore the following: how can a crude-oil logistics system be represented as a temporal graph that is internally consistent under heterogeneous, multi-resolution data sources, and what formal invariants ensure that the representation remains valid as data sources and their granularity evolve? The question is deliberately representational rather than predictive. It concerns what the graph should be, not yet what models should be trained on top of it. The predictive application follows naturally from a well-specified representation, and is discussed as the primary direction for future work; the present thesis addresses the representational foundation.</w:t>
      </w:r>
    </w:p>
    <w:p>
      <w:pPr>
        <w:pStyle w:val="Heading2"/>
      </w:pPr>
      <w:r>
        <w:t xml:space="preserve">1.3 Research Objectives</w:t>
      </w:r>
    </w:p>
    <w:p>
      <w:pPr>
        <w:spacing w:after="160" w:line="300"/>
        <w:jc w:val="both"/>
      </w:pPr>
      <w:r>
        <w:t xml:space="preserve">This thesis pursues three connected objectives.</w:t>
      </w:r>
    </w:p>
    <w:p>
      <w:pPr>
        <w:spacing w:after="160" w:line="300"/>
        <w:jc w:val="both"/>
      </w:pPr>
      <w:r>
        <w:t xml:space="preserve">First, to develop an asset-centric graph schema for crude-oil logistics networks that treats every physical asset — including pipelines and vessels, not only fixed sites — as a node with its own inventory, with a stable adjacency matrix maintained across time through the zero-flow edge convention, and with a universal mass balance equation that applies to every node regardless of type. The schema incorporates static configuration attributes on assets with significant operational heterogeneity, most importantly refineries, so that node representations encode physical capability (what an asset can do) alongside observed behaviour (what it has done).</w:t>
      </w:r>
    </w:p>
    <w:p>
      <w:pPr>
        <w:spacing w:after="160" w:line="300"/>
        <w:jc w:val="both"/>
      </w:pPr>
      <w:r>
        <w:t xml:space="preserve">Second, to extend this schema with the machinery needed to operate it under real-world data conditions. This includes the separation of a persistent asset graph from the scenario graphs derived from it at load time; the explicit distinction between geography metadata and the resolution hierarchy; the observed/derived invariant that structurally prevents aggregation double-counting; the coverage contract mechanism for declaring authoritative levels; and the collapsed-state mechanism for handling junction nodes and administrative aggregates under coarse-resolution data. Together these constitute the consistency guarantees referred to in the title.</w:t>
      </w:r>
    </w:p>
    <w:p>
      <w:pPr>
        <w:spacing w:after="160" w:line="300"/>
        <w:jc w:val="both"/>
      </w:pPr>
      <w:r>
        <w:t xml:space="preserve">Third, to validate the framework on a worked prototype of the United States crude-oil supply chain using public data, demonstrating that the invariants hold, that granularity upgrades work as designed, that the framework detects classes of errors that naive schemas accept, and that the balancing item captures operationally meaningful signal. The validation does not require a full trained forecasting model — the claims are representational rather than predictive — but it does require real data, real scenario assembly, and explicit empirical tests of each claimed property.</w:t>
      </w:r>
    </w:p>
    <w:p>
      <w:pPr>
        <w:pStyle w:val="Heading2"/>
      </w:pPr>
      <w:r>
        <w:t xml:space="preserve">1.4 Scope and Delimitations</w:t>
      </w:r>
    </w:p>
    <w:p>
      <w:pPr>
        <w:spacing w:after="160" w:line="300"/>
        <w:jc w:val="both"/>
      </w:pPr>
      <w:r>
        <w:t xml:space="preserve">The scope of this thesis is the representation itself: the schema, the formal invariants, and the validated prototype implementation. The focus is on getting the representation right, not on producing forecasts. This is a deliberate scoping decision. The existing literature on graph neural networks for supply chains is well developed on the modelling side, with methods such as GCN, GAT, GraphSAGE, TGAT, TGN, DCRNN and STGCN providing a rich toolkit for temporal graph forecasting once a representation is available. What is less well developed — and what this thesis contributes — is a principled treatment of the representation that those methods are applied to. The forecasting application is treated at a conceptual level in Chapter 2 and revisited as future work in Chapter 7; it is not the empirical object of this thesis.</w:t>
      </w:r>
    </w:p>
    <w:p>
      <w:pPr>
        <w:spacing w:after="160" w:line="300"/>
        <w:jc w:val="both"/>
      </w:pPr>
      <w:r>
        <w:t xml:space="preserve">The empirical scope is the United States crude-oil supply chain, modelled at the level of assets that are consistently observable in public data from the U.S. Energy Information Administration. The asset graph includes production nodes for the major basins and conventional producing regions, pipeline nodes for the named long-haul crude pipelines, storage and hub nodes for the principal delivery points, refinery nodes aggregated at the refining-centre level with configuration attributes drawn from the EIA refinery capacity report and the Oil and Gas Journal refinery survey, and export terminal nodes for the Gulf Coast export hubs. Maritime vessel nodes are specified in the schema but not populated in the validation prototype; they are discussed as a natural extension when AIS-derived data is available. The study period is January 2015 through December 2025, at monthly frequency. Grade differentiation (light sweet, medium sour, heavy sour) is accommodated in the schema through grade-indexed variable instances, but the validation prototype uses crude as a single commodity; grade-level scenarios are discussed as future work.</w:t>
      </w:r>
    </w:p>
    <w:p>
      <w:pPr>
        <w:spacing w:after="160" w:line="300"/>
        <w:jc w:val="both"/>
      </w:pPr>
      <w:r>
        <w:t xml:space="preserve">Three classes of modelling problem are explicitly out of scope. First, price forecasting and trading strategy: the framework is designed to support such applications but does not produce them. Second, grade-differentiated refinery slate optimisation: this requires grade-level crude flow data that is not publicly available at the geographic granularity used here. Third, real-time or high-frequency modelling: the validation uses monthly data, consistent with the EIA release cadence, and does not address the latency and data-quality issues specific to weekly or daily operational use. Each of these is a legitimate extension of the framework, and each is discussed in the closing chapter.</w:t>
      </w:r>
    </w:p>
    <w:p>
      <w:pPr>
        <w:pStyle w:val="Heading2"/>
      </w:pPr>
      <w:r>
        <w:t xml:space="preserve">1.5 Thesis Structure</w:t>
      </w:r>
    </w:p>
    <w:p>
      <w:pPr>
        <w:spacing w:after="160" w:line="300"/>
        <w:jc w:val="both"/>
      </w:pPr>
      <w:r>
        <w:t xml:space="preserve">The remainder of the thesis is organised as follows. Chapter 2 reviews the literature through four lenses: how physical logistics systems are abstracted into graphs, the graph representation learning methods that motivate the schema choices (briefly, as they are applied rather than developed here), supply-chain modelling with graph neural networks, and the representational gaps in existing work that this thesis addresses. Chapter 3 develops the asset-centric graph schema, including node and edge types, the uniform feature vector design, the stable-topology zero-flow edge convention, and the formal mathematical framework in which the graph's topology is determined by variable relationships rather than declared separately. Chapter 4, which contains the core methodological contribution, develops the scenario assembly machinery: the separation of persistent asset graph from scenario graph, the observational aggregation layer, the distinction between geography metadata and resolution hierarchy, the observed/derived invariant, coverage contracts, and the collapsed-state mechanism. Chapter 5 defines the validation strategy — what each claim of the framework asserts, and what would constitute evidence for or against it — and presents the experimental results. Chapter 6 presents the worked implementation case study for the United States crude-oil supply chain. Chapter 7 closes with a discussion of limitations, the forecasting application as future work, and the broader directions the framework enables.</w:t>
      </w:r>
    </w:p>
    <w:p>
      <w:pPr>
        <w:pStyle w:val="Heading1"/>
        <w:pageBreakBefore/>
      </w:pPr>
      <w:r>
        <w:t xml:space="preserve">2. Literature Review</w:t>
      </w:r>
    </w:p>
    <w:p>
      <w:pPr>
        <w:spacing w:after="160" w:line="300"/>
        <w:jc w:val="both"/>
      </w:pPr>
      <w:r>
        <w:t xml:space="preserve">This chapter locates the present work within four bodies of literature. Section 2.1 reviews how physical logistics networks are abstracted into graphs, establishing the distinction between location-centric and asset-centric conventions that shapes every subsequent design decision. Section 2.2 covers graph representation learning — from spectral methods through neural message passing, graph neural networks, and their temporal extensions — at the level of depth required to justify the schema choices in Chapter 3; the methods themselves are applied rather than developed here, and the full technical treatment is in Annex A. Section 2.3 reviews supply-chain modelling as a graph problem, including both the classical optimisation tradition and the recent literature applying graph neural networks to inventory and flow prediction. Section 2.4 synthesises the preceding material into an explicit statement of the representational gap this thesis addresses, and positions the contribution against what is currently available.</w:t>
      </w:r>
    </w:p>
    <w:p>
      <w:pPr>
        <w:pStyle w:val="Heading2"/>
      </w:pPr>
      <w:r>
        <w:t xml:space="preserve">2.1 Graph Representations of Physical Networks</w:t>
      </w:r>
    </w:p>
    <w:p>
      <w:pPr>
        <w:pStyle w:val="Heading3"/>
      </w:pPr>
      <w:r>
        <w:t xml:space="preserve">2.1.1 Location-Centric versus Asset-Centric Representations</w:t>
      </w:r>
    </w:p>
    <w:p>
      <w:pPr>
        <w:spacing w:after="160" w:line="300"/>
        <w:jc w:val="both"/>
      </w:pPr>
      <w:r>
        <w:t xml:space="preserve">The first design decision in any graph-based logistics model is representational: what, exactly, a node represents and what an edge represents. The literature adopts one of two broad conventions, and the choice matters more than it appears to at first glance.</w:t>
      </w:r>
    </w:p>
    <w:p>
      <w:pPr>
        <w:spacing w:after="160" w:line="300"/>
        <w:jc w:val="both"/>
      </w:pPr>
      <w:r>
        <w:t xml:space="preserve">In a location-centric representation, nodes correspond to places — a refinery site, a pipeline junction, a storage hub — and edges represent the connections between places — pipeline segments, shipping lanes. This convention is widely used in traffic forecasting, where sensor readings such as speed, flow, and occupancy map cleanly to node features and the resulting graphs are compact (Li, Yu, Shahabi, and Liu, 2018; Yu, Yin, and Zhu, 2018). It is also the convention adopted by most published supply-chain graph schemas, including the SupplyGraph benchmark (Wasi, Islam, Karim, and Brintrup, 2024). The main limitation for commodity logistics is that material in transit is not naturally a first-class state: vessel cargo and pipeline line-fill are typically absorbed into edge attributes, which makes it harder to reason about in-transit inventory as an operational variable.</w:t>
      </w:r>
    </w:p>
    <w:p>
      <w:pPr>
        <w:spacing w:after="160" w:line="300"/>
        <w:jc w:val="both"/>
      </w:pPr>
      <w:r>
        <w:t xml:space="preserve">In an asset-centric representation, each operational asset is a node — production fields, terminals, storage sites, pipeline segments, refineries, and vessels — while edges encode feasible transfers between assets. This alignment mirrors how constraints arise in practice: capacities, operating envelopes, and inventories belong to identifiable assets, not to abstract coordinates. A practical advantage is that the topology can remain fixed even when activity is intermittent: feasible edges are defined once, and their flow features are set to zero when a route is inactive. This stable-topology design, which is formalised as the zero-flow edge convention in Chapter 3 and Annex B, is convenient for many graph neural network architectures and, crucially for this thesis, supports explicit modelling of inventories at both fixed storage nodes and mobile in-transit nodes.</w:t>
      </w:r>
    </w:p>
    <w:p>
      <w:pPr>
        <w:spacing w:after="160" w:line="300"/>
        <w:jc w:val="both"/>
      </w:pPr>
      <w:r>
        <w:t xml:space="preserve">The trade-off between conventions is summarised in Annex B and is resolved in this thesis in favour of the asset-centric convention. The reasons are partly principled — commodity networks are defined by named physical assets with distinct capacities and operational histories, and collapsing those into edge attributes loses operationally meaningful information — and partly pragmatic, because the representational framework developed in Chapter 4 depends on the asset-centric foundation.</w:t>
      </w:r>
    </w:p>
    <w:p>
      <w:pPr>
        <w:pStyle w:val="Heading3"/>
      </w:pPr>
      <w:r>
        <w:t xml:space="preserve">2.1.2 Application to Crude-Oil Logistics Networks</w:t>
      </w:r>
    </w:p>
    <w:p>
      <w:pPr>
        <w:spacing w:after="160" w:line="300"/>
        <w:jc w:val="both"/>
      </w:pPr>
      <w:r>
        <w:t xml:space="preserve">Crude-oil logistics is ultimately governed by asset capabilities — storage capacity, pipeline throughput, refinery complexity — and by how those assets are connected. The schema developed in this thesis is therefore asset-centric by design. In the empirical implementation, however, the granularity that can be instantiated is bounded by data availability: much of the public EIA reporting is regional, reported at state and PADD-district levels. The framework accommodates this by populating the schema at the level of assets that are consistently observable, while remaining extensible so that finer-grained assets can be added when richer datasets become available. The mechanism that makes this extensibility possible — the separation of a persistent asset graph from scenario graphs, with coverage contracts declaring the authoritative resolution level — is developed in Chapter 4.</w:t>
      </w:r>
    </w:p>
    <w:p>
      <w:pPr>
        <w:spacing w:after="160" w:line="300"/>
        <w:jc w:val="both"/>
      </w:pPr>
      <w:r>
        <w:t xml:space="preserve">A representational issue that recurs in commodity networks, and which the framework addresses explicitly, is the relationship between observed behaviour and physical capability. Historical flows record what happened; they may under-represent what is feasible. A refinery's ability to switch crude slate, for example, is determined by its configuration — which conversion units it operates, its Nelson Complexity Index, its crude-quality tolerance — and not only by what it happened to process in the training window. Encoding such capabilities as static node attributes is one way to improve generalisation when the training window contains limited regime variation, and the schema in Chapter 3 specifies how these configuration features are incorporated into refinery nodes.</w:t>
      </w:r>
    </w:p>
    <w:p>
      <w:pPr>
        <w:pStyle w:val="Heading2"/>
      </w:pPr>
      <w:r>
        <w:t xml:space="preserve">2.2 Graph Representation Learning</w:t>
      </w:r>
    </w:p>
    <w:p>
      <w:pPr>
        <w:spacing w:after="160" w:line="300"/>
        <w:jc w:val="both"/>
      </w:pPr>
      <w:r>
        <w:t xml:space="preserve">This section reviews graph representation learning at a level sufficient to justify the schema choices in this thesis. The goal is to establish what a graph-based model can and cannot represent, so that the representational framework of Chapters 3 and 4 is grounded in what downstream methods will actually use. The full technical primer — spectral methods, neural message passing, GCN derivation, attention mechanisms, and temporal extensions — is provided in Annex A.</w:t>
      </w:r>
    </w:p>
    <w:p>
      <w:pPr>
        <w:pStyle w:val="Heading3"/>
      </w:pPr>
      <w:r>
        <w:t xml:space="preserve">2.2.1 From Structural Embeddings to Graph Neural Networks</w:t>
      </w:r>
    </w:p>
    <w:p>
      <w:pPr>
        <w:spacing w:after="160" w:line="300"/>
        <w:jc w:val="both"/>
      </w:pPr>
      <w:r>
        <w:t xml:space="preserve">Early approaches to representation learning on graphs were spectral, using eigenvectors of Laplacian operators to embed nodes into low-dimensional vector spaces. While theoretically grounded, spectral methods scale poorly and are inconvenient when graphs evolve. DeepWalk (Perozzi, Al-Rfou, and Skiena, 2014) introduced a simple and scalable alternative by drawing an analogy with natural language processing: short random walks on the graph are treated as sentences, and node embeddings are learned using the same Skip-gram objective that underlies word embeddings. Nodes that frequently co-occur in walks — because they are close in topology — are placed near one another in the embedding space. Node2vec (Grover and Leskovec, 2016) generalised this by biasing the walks to emphasise either local neighbourhoods or broader community structure, and LINE (Tang, Qu, Wang, Zhang, Yan, and Mei, 2015) provided an alternative formulation that preserves first- and second-order proximity directly.</w:t>
      </w:r>
    </w:p>
    <w:p>
      <w:pPr>
        <w:spacing w:after="160" w:line="300"/>
        <w:jc w:val="both"/>
      </w:pPr>
      <w:r>
        <w:t xml:space="preserve">These structural embedding methods share a fundamental limitation: by construction, they encode only topology and do not incorporate node or edge features. A node's embedding does not change when its inventory changes, because the embedding is a function of position in the graph rather than of operational state. For the present thesis this matters because the forecasting applications the framework is designed to support depend on time-varying quantities — production rates, flows, inventories — that topology-only embeddings cannot represent.</w:t>
      </w:r>
    </w:p>
    <w:p>
      <w:pPr>
        <w:spacing w:after="160" w:line="300"/>
        <w:jc w:val="both"/>
      </w:pPr>
      <w:r>
        <w:t xml:space="preserve">Graph neural networks (GNNs) address this limitation by learning node representations through iterative neighbourhood aggregation, a process formalised as neural message passing (Gilmer, Schoenholz, Riley, Vinyals, and Dahl, 2017). At each layer, a node aggregates transformed messages from its neighbours — and, in many variants, from itself — and uses these messages to update its own representation. Stacking layers allows information to propagate across multiple hops, producing embeddings that reflect both local state and network context. The Graph Convolutional Network of Kipf and Welling (2017) is a widely used baseline, aggregating neighbour information through a normalised adjacency operator. The Graph Attention Network of Veličković, Cucurull, Casanova, Romero, Liò, and Bengio (2018) replaces uniform aggregation with learned attention weights, which is particularly relevant for logistics graphs where connections differ materially — a high-capacity pipeline carries more information about a downstream terminal than a minor road route. GraphSAGE (Hamilton, Ying, and Leskovec, 2017) learns aggregation functions that can be applied inductively, enabling embeddings for nodes not seen during training — an important property for networks that are expected to grow as new assets are commissioned.</w:t>
      </w:r>
    </w:p>
    <w:p>
      <w:pPr>
        <w:spacing w:after="160" w:line="300"/>
        <w:jc w:val="both"/>
      </w:pPr>
      <w:r>
        <w:t xml:space="preserve">The survey by Wu, Pan, Chen, Long, Zhang, and Yu (2020) provides a broad overview of spectral and spatial GNN families, while Jin, Koh, Wen, Zambon, Alippi, Webb, King, and Pan (2024) focus specifically on adaptations of GNNs for time-series problems including forecasting, classification, anomaly detection, and imputation. These references establish the methodological toolkit available for downstream applications built on the representational framework developed in this thesis.</w:t>
      </w:r>
    </w:p>
    <w:p>
      <w:pPr>
        <w:pStyle w:val="Heading3"/>
      </w:pPr>
      <w:r>
        <w:t xml:space="preserve">2.2.2 Temporal Graph Methods</w:t>
      </w:r>
    </w:p>
    <w:p>
      <w:pPr>
        <w:spacing w:after="160" w:line="300"/>
        <w:jc w:val="both"/>
      </w:pPr>
      <w:r>
        <w:t xml:space="preserve">For inventory forecasting and flow prediction, the temporal dimension is essential — the state of a storage node at time t+1 depends on the trajectory of inflows and outflows over preceding periods, not only on the instantaneous snapshot. Two broad approaches to temporal modelling on graphs appear in the literature.</w:t>
      </w:r>
    </w:p>
    <w:p>
      <w:pPr>
        <w:spacing w:after="160" w:line="300"/>
        <w:jc w:val="both"/>
      </w:pPr>
      <w:r>
        <w:t xml:space="preserve">Discrete-time methods treat the graph as a sequence of snapshots and apply a static GNN at each time step. This is conceptually simple and well-matched to the release cadence of most operational datasets, which report weekly or monthly. EvolveGCN (Pareja and colleagues, 2020) extends this idea by allowing the GCN parameters to evolve across snapshots. For the crude-oil network considered here, where feasible connectivity is largely stable over the study period and temporal variation appears primarily in node and edge features, snapshot-based spatio-temporal models are a natural fit.</w:t>
      </w:r>
    </w:p>
    <w:p>
      <w:pPr>
        <w:spacing w:after="160" w:line="300"/>
        <w:jc w:val="both"/>
      </w:pPr>
      <w:r>
        <w:t xml:space="preserve">Continuous-time methods operate on event streams rather than snapshots. The Temporal Graph Attention Network (Xu, Rong, Huang, Zhu, and Leskovec, 2020) adapts self-attention to temporal graphs by incorporating time encodings, allowing the model to weight interactions based on recency. Temporal Graph Networks (Rossi, Chamberlain, Frasca, Eynard, Bronstein, and Monti, 2020) extend this further by maintaining a memory state for each node, updated asynchronously whenever an interaction occurs — a property that maps naturally onto the accumulated inflow and outflow history that determines a storage node's current inventory. Causal Anonymous Walks (Wang, Chang, Li, and Tan, 2021) capture temporal motifs such as recurring build-then-draw patterns in a way that can transfer across different parts of a network.</w:t>
      </w:r>
    </w:p>
    <w:p>
      <w:pPr>
        <w:spacing w:after="160" w:line="300"/>
        <w:jc w:val="both"/>
      </w:pPr>
      <w:r>
        <w:t xml:space="preserve">Hybrid spatio-temporal architectures combine a graph component with a sequence component. The Diffusion Convolutional Recurrent Neural Network (Li et al., 2018) models spatial propagation as diffusion on a directed graph and uses a recurrent encoder-decoder for multi-step forecasting. The Spatio-Temporal Graph Convolutional Network (Yu et al., 2018) alternates graph convolutions with temporal convolutions, offering computational efficiency over recurrent approaches. These hybrid architectures have been extensively validated in traffic forecasting and energy demand prediction; their application to commodity logistics remains less common, a gap noted in Section 2.4. For the present thesis, the relevance of these methods is that they are precisely the downstream consumers the representational framework is designed to support, and the schema choices are made with their requirements in mind — a stable adjacency matrix, fixed-dimensional node features, and a well-defined formula layer for derived variables.</w:t>
      </w:r>
    </w:p>
    <w:p>
      <w:pPr>
        <w:pStyle w:val="Heading2"/>
      </w:pPr>
      <w:r>
        <w:t xml:space="preserve">2.3 Supply-Chain Modelling as a Graph Problem</w:t>
      </w:r>
    </w:p>
    <w:p>
      <w:pPr>
        <w:pStyle w:val="Heading3"/>
      </w:pPr>
      <w:r>
        <w:t xml:space="preserve">2.3.1 The Operations Research Tradition</w:t>
      </w:r>
    </w:p>
    <w:p>
      <w:pPr>
        <w:spacing w:after="160" w:line="300"/>
        <w:jc w:val="both"/>
      </w:pPr>
      <w:r>
        <w:t xml:space="preserve">The modelling of supply chains as networks has a long history in operations research. Classical formulations represent supply chains as directed graphs where nodes correspond to facilities — suppliers, manufacturers, warehouses, retailers — and edges correspond to transportation links with costs, capacities, and lead times. Mixed-integer linear programming and its variants have been the dominant optimisation tools, supporting decisions on facility location, transportation planning, and inventory positioning across multi-echelon systems.</w:t>
      </w:r>
    </w:p>
    <w:p>
      <w:pPr>
        <w:spacing w:after="160" w:line="300"/>
        <w:jc w:val="both"/>
      </w:pPr>
      <w:r>
        <w:t xml:space="preserve">Within petroleum supply chains specifically, the optimisation literature is substantial. Fernandes, Relvas, and Barbosa-Póvoa (2013) develop a deterministic MILP for strategic design of downstream petroleum supply chains, applied to the Portuguese network. Kazemi and Szmerekovsky (2015) extend this to a multi-echelon, multi-product, multimodal model for the United States downstream system, demonstrating the importance of incorporating multiple transportation modes into strategic planning. Ghaithan, Attia, and Duffuaa (2017) propose a multi-objective tactical planning model for integrated oil and gas supply chains, balancing cost minimisation, revenue maximisation, and service-level targets. Ribas, Hamacher, and Street (2010) address uncertainty through stochastic and robust programming for integrated oil chain planning. Lima, Relvas, and Barbosa-Póvoa (2016) provide a comprehensive review of downstream oil supply-chain management that highlights the prevalence of robust and stochastic optimisation approaches. The strength of these methods lies in their rigorous constraint handling and interpretability; the weakness is that their predictive performance depends on the quality of exogenous inputs — demand, availability, and disruption forecasts — that optimisation alone cannot produce.</w:t>
      </w:r>
    </w:p>
    <w:p>
      <w:pPr>
        <w:pStyle w:val="Heading3"/>
      </w:pPr>
      <w:r>
        <w:t xml:space="preserve">2.3.2 Graph Neural Networks for Supply Chains</w:t>
      </w:r>
    </w:p>
    <w:p>
      <w:pPr>
        <w:spacing w:after="160" w:line="300"/>
        <w:jc w:val="both"/>
      </w:pPr>
      <w:r>
        <w:t xml:space="preserve">The application of graph neural networks to supply-chain problems is recent but rapidly growing. Kosasih and Brintrup (2022) demonstrated that GNNs could predict hidden links in supply-chain networks, uncovering latent dependencies that traditional methods miss. The SupplyGraph dataset introduced by Wasi and colleagues (2024) provided the first benchmark specifically designed for evaluating GNN-based supply-chain analytics, covering tasks including demand forecasting, production planning, and product classification. Evaluations on this benchmark have consistently shown that GNN-based models, particularly those incorporating temporal features, outperform traditional machine-learning baselines including multilayer perceptrons and isolated LSTM models.</w:t>
      </w:r>
    </w:p>
    <w:p>
      <w:pPr>
        <w:spacing w:after="160" w:line="300"/>
        <w:jc w:val="both"/>
      </w:pPr>
      <w:r>
        <w:t xml:space="preserve">Several recent studies illustrate the potential of GNNs for supply-chain inventory optimisation. Alves and Mateus (2020) modelled a multi-echelon supply chain as a graph and trained a GNN on historical demand and lead-time data to predict optimal inventory levels for each node and identify bottleneck locations where stockouts are likely. Ahn, Song, Olivar, Luo, and Ceballos (2024) developed a GNN-based probabilistic model for supply and inventory prediction using historical data from a global consumer goods company, showing that attention-based graph architectures significantly improved prediction accuracy by capturing cascading effects across network nodes. Dong and Samonte (2024) confirmed the benefits of GNN-based optimisation for production supply-chain networks. This network-wide perspective represents a fundamental advantage over traditional inventory models — economic order quantity, just-in-time — that optimise individual nodes without considering their interdependencies.</w:t>
      </w:r>
    </w:p>
    <w:p>
      <w:pPr>
        <w:spacing w:after="160" w:line="300"/>
        <w:jc w:val="both"/>
      </w:pPr>
      <w:r>
        <w:t xml:space="preserve">What is notable across this supply-chain GNN literature is that almost all published work adopts the location-centric convention, treats resolution as fixed at a single level, and does not address the question of how the graph schema accommodates heterogeneous data sources or evolves as data quality changes. These are precisely the gaps the representational framework of this thesis addresses. The supply-chain GNN literature provides the modelling methods; what has been missing is the representational foundation they are applied to.</w:t>
      </w:r>
    </w:p>
    <w:p>
      <w:pPr>
        <w:pStyle w:val="Heading2"/>
      </w:pPr>
      <w:r>
        <w:t xml:space="preserve">2.4 Synthesis and Research Gap</w:t>
      </w:r>
    </w:p>
    <w:p>
      <w:pPr>
        <w:spacing w:after="160" w:line="300"/>
        <w:jc w:val="both"/>
      </w:pPr>
      <w:r>
        <w:t xml:space="preserve">The literature reviewed above points toward a representational gap rather than a methodological one. The graph representation learning and temporal graph methods summarised in Section 2.2 are mature enough to support any reasonable downstream application. The supply-chain optimisation and graph-learning literature of Section 2.3 is substantial. What is less developed is the foundational representation that downstream methods are applied to. Three specific gaps stand out.</w:t>
      </w:r>
    </w:p>
    <w:p>
      <w:pPr>
        <w:spacing w:after="160" w:line="300"/>
        <w:jc w:val="both"/>
      </w:pPr>
      <w:r>
        <w:t xml:space="preserve">The first is the persistent absence of an asset-centric convention in supply-chain graph schemas. The traffic-forecasting tradition, which has influenced most supply-chain GNN work, treats physical infrastructure as edge attributes, and this convention is ill-suited to commodity logistics where in-transit inventory is a substantial, operationally meaningful state. The asset-centric convention is more natural and more extensible, but it has not been consistently adopted in the commodity logistics literature.</w:t>
      </w:r>
    </w:p>
    <w:p>
      <w:pPr>
        <w:spacing w:after="160" w:line="300"/>
        <w:jc w:val="both"/>
      </w:pPr>
      <w:r>
        <w:t xml:space="preserve">The second is the treatment of multi-resolution data. Commodity data is published at many levels — well, lease, county, basin, state, PADD, country — and the available resolution for any given variable varies across sources and across time periods. Existing schemas assume a single fixed resolution, which forces structural modifications whenever the data landscape shifts. No published schema provides a principled mechanism for accepting data at multiple resolutions within the same scenario, or for upgrading granularity without schema changes.</w:t>
      </w:r>
    </w:p>
    <w:p>
      <w:pPr>
        <w:spacing w:after="160" w:line="300"/>
        <w:jc w:val="both"/>
      </w:pPr>
      <w:r>
        <w:t xml:space="preserve">The third is the absence of formal invariants that guarantee internal consistency. When data sources overlap or aggregate differently, the classic failure mode is aggregation double-counting: the same crude is assigned both to a parent aggregate and to its children, producing inflated totals. Most published schemas handle this through post-hoc validation checks, if at all. A more robust approach — treating consistency as a property the data model cannot violate, rather than a check to be run — has not been developed in the commodity logistics literature.</w:t>
      </w:r>
    </w:p>
    <w:p>
      <w:pPr>
        <w:spacing w:after="160" w:line="300"/>
        <w:jc w:val="both"/>
      </w:pPr>
      <w:r>
        <w:t xml:space="preserve">The present thesis addresses these three gaps jointly. The asset-centric schema of Chapter 3 establishes the representational foundation. The scenario assembly machinery of Chapter 4 — persistent asset graph versus scenario graph, geography metadata versus resolution hierarchy, observed/derived invariant, coverage contracts, collapsed states — provides the consistency guarantees and the multi-resolution handling. The validation of Chapter 5 demonstrates that the framework does what it claims, on real data, with the prototype of Chapter 6 as the reference implementation. The downstream forecasting application, which would build on this representational foundation using the temporal graph methods surveyed above, is developed conceptually and left to future work.</w:t>
      </w:r>
    </w:p>
    <w:p>
      <w:pPr>
        <w:pStyle w:val="Heading1"/>
        <w:pageBreakBefore/>
      </w:pPr>
      <w:r>
        <w:t xml:space="preserve">3. The Asset-Centric Graph Schema</w:t>
      </w:r>
    </w:p>
    <w:p>
      <w:pPr>
        <w:spacing w:after="160" w:line="300"/>
        <w:jc w:val="both"/>
      </w:pPr>
      <w:r>
        <w:t xml:space="preserve">This chapter develops the graph schema for crude-oil logistics networks. The schema is asset-centric: every physical asset — production field, pipeline, storage tank, refinery, export terminal, maritime vessel — is a node with its own inventory and its own mass balance. Edges represent feasible transfers between assets. The topology is stable across time; inactive routes carry zero-valued flow time series rather than being added to or removed from the graph. These three choices — asset-centric nodes, stable topology through zero-flow edges, and a universal mass balance equation — form the foundation on which the scenario assembly machinery of Chapter 4 is built.</w:t>
      </w:r>
    </w:p>
    <w:p>
      <w:pPr>
        <w:spacing w:after="160" w:line="300"/>
        <w:jc w:val="both"/>
      </w:pPr>
      <w:r>
        <w:t xml:space="preserve">The chapter is organised as follows. Section 3.1 walks through the physical flow structure of crude-oil networks, establishing the domain grounding for the schema. Section 3.2 defines node types and the uniform feature vector design. Section 3.3 defines edge types and attributes. Section 3.4 formalises the temporal graph as a sequence of snapshots over a stable adjacency matrix. Section 3.5 formalises the universal mass balance constraint with the balancing item. Section 3.6 presents the formal mathematical framework in which the graph's topology is determined by variable relationships through formulas, rather than declared separately, and states the consistency checks that are applied after the graph is built.</w:t>
      </w:r>
    </w:p>
    <w:p>
      <w:pPr>
        <w:pStyle w:val="Heading2"/>
      </w:pPr>
      <w:r>
        <w:t xml:space="preserve">3.1 Physical Flow Structure of Crude-Oil Networks</w:t>
      </w:r>
    </w:p>
    <w:p>
      <w:pPr>
        <w:spacing w:after="160" w:line="300"/>
        <w:jc w:val="both"/>
      </w:pPr>
      <w:r>
        <w:t xml:space="preserve">Before formalising the schema, it is worth tracing the physical journey of crude oil through the supply chain, since the graph structure is ultimately a faithful abstraction of these material flows.</w:t>
      </w:r>
    </w:p>
    <w:p>
      <w:pPr>
        <w:pStyle w:val="Heading3"/>
      </w:pPr>
      <w:r>
        <w:t xml:space="preserve">3.1.1 Production, Gathering, and Transport</w:t>
      </w:r>
    </w:p>
    <w:p>
      <w:pPr>
        <w:spacing w:after="160" w:line="300"/>
        <w:jc w:val="both"/>
      </w:pPr>
      <w:r>
        <w:t xml:space="preserve">Crude oil originates at three principal categories of production asset: onshore conventional wells, offshore platforms (fixed rigs and floating production, storage, and offloading units), and unconventional shale or tight-oil formations exploited through horizontal drilling and hydraulic fracturing. These assets differ in production profile and logistical constraints but share the same role in the graph — source nodes that generate flow with no upstream crude inflow. In the United States, public data aggregates production to the basin level (Permian, Bakken, Eagle Ford, Anadarko, Niobrara, Appalachia, Haynesville) for the named tight-oil plays, and to the state level for conventional and offshore production.</w:t>
      </w:r>
    </w:p>
    <w:p>
      <w:pPr>
        <w:spacing w:after="160" w:line="300"/>
        <w:jc w:val="both"/>
      </w:pPr>
      <w:r>
        <w:t xml:space="preserve">From the wellhead, crude moves via one of three transport modes. Pipelines dominate in most mature producing regions, carrying crude continuously through trunk and feeder lines at low marginal cost over long distances. Where pipeline infrastructure is absent, or where cross-ocean movements are required, maritime tankers take over — ranging from Very Large Crude Carriers on long-haul intercontinental routes to Aframax and Suezmax vessels on regional trades. Rail and truck transport play a supplementary role, primarily for short-haul movements and for regions where pipeline access is limited, such as the Permian Basin during periods of rapid production growth that outpaced pipeline capacity.</w:t>
      </w:r>
    </w:p>
    <w:p>
      <w:pPr>
        <w:spacing w:after="160" w:line="300"/>
        <w:jc w:val="both"/>
      </w:pPr>
      <w:r>
        <w:t xml:space="preserve">A central routing decision occurs at the midstream stage. Crude can flow directly to a refinery, bypassing intermediate storage, or it can be injected into a storage terminal or the Strategic Petroleum Reserve first. The direct route is preferred when refinery demand is strong and transportation is tightly coordinated, minimising holding costs. The storage route is preferred when supply exceeds immediate refinery demand, when forward-price curves favour contango strategies, or when operators are building buffer stocks against anticipated disruption. This switching behaviour — and its effect on inventory levels at storage nodes — is precisely what drives the inventory dynamics that the representational framework must capture.</w:t>
      </w:r>
    </w:p>
    <w:p>
      <w:pPr>
        <w:pStyle w:val="Heading3"/>
      </w:pPr>
      <w:r>
        <w:t xml:space="preserve">3.1.2 Refineries as Transformation Nodes</w:t>
      </w:r>
    </w:p>
    <w:p>
      <w:pPr>
        <w:spacing w:after="160" w:line="300"/>
        <w:jc w:val="both"/>
      </w:pPr>
      <w:r>
        <w:t xml:space="preserve">The refinery occupies a unique role in the logistics network as the sole transformation node — consuming crude oil as input and producing an entirely different set of commodity streams as output. Understanding refinery economics and process architecture is essential for interpreting the inventory dynamics the graph represents, because the composition and intensity of refinery demand is a primary driver of crude drawdowns from storage.</w:t>
      </w:r>
    </w:p>
    <w:p>
      <w:pPr>
        <w:spacing w:after="160" w:line="300"/>
        <w:jc w:val="both"/>
      </w:pPr>
      <w:r>
        <w:t xml:space="preserve">Refinery processing proceeds in three successive layers. Atmospheric distillation comes first: crude feedstock is heated to approximately 350°C and fed into a fractionation column that separates it into discrete fractions by boiling point — refinery gas and liquefied petroleum gas at the top, through naphtha, kerosene and jet fuel, diesel and atmospheric gas oil, down to heavy gas oil and atmospheric residue at the bottom. Distillation alone yields commercially usable products from roughly 40 to 50 per cent of a typical crude barrel, leaving a substantial fraction of heavy material that requires further processing.</w:t>
      </w:r>
    </w:p>
    <w:p>
      <w:pPr>
        <w:spacing w:after="160" w:line="300"/>
        <w:jc w:val="both"/>
      </w:pPr>
      <w:r>
        <w:t xml:space="preserve">The second layer consists of conversion units that crack large hydrocarbon molecules from the heavy fractions into smaller, higher-value products. Three principal conversion processes are used in modern complex refineries. Fluid catalytic cracking vaporises heavy gas oil and contacts it with a hot powdered zeolite catalyst at approximately 500°C, breaking long carbon chains into gasoline-range molecules within seconds. Hydrocracking operates under high hydrogen pressure to convert vacuum gas oil into ultra-low-sulphur diesel and jet fuel, at higher capital and hydrogen cost but with superior product quality and flexibility. Delayed coking thermally cracks the vacuum residue into distillates and solid petroleum coke, recovering value from material that would otherwise have no product outlet. The choice of conversion configuration determines a refinery's yield slate and, consequently, its appetite for specific crude grades: refineries dominated by fluid catalytic cracking favour lighter, lower-sulphur feedstocks, while those equipped with hydrocrackers can efficiently process heavier sour crudes.</w:t>
      </w:r>
    </w:p>
    <w:p>
      <w:pPr>
        <w:spacing w:after="160" w:line="300"/>
        <w:jc w:val="both"/>
      </w:pPr>
      <w:r>
        <w:t xml:space="preserve">The third layer is treating and blending. Hydrotreating units use hydrogen to remove sulphur from distillate streams; catalytic reforming restructures straight-run naphtha to increase its octane number; final blending combines intermediate streams to meet the precise specifications required by product markets and regulatory standards.</w:t>
      </w:r>
    </w:p>
    <w:p>
      <w:pPr>
        <w:spacing w:after="160" w:line="300"/>
        <w:jc w:val="both"/>
      </w:pPr>
      <w:r>
        <w:t xml:space="preserve">For the graph model, the practical implication is that a refinery node is characterised not only by its throughput rate but also by its configuration. Each refinery node carries a set of static configuration attributes alongside the time-varying operational variables: crude distillation capacity, which conversion units are present, the Nelson Complexity Index, and the crude-quality envelope the refinery can handle (expressed as an API gravity range and a maximum sulphur tolerance). A refinery without a hydrocracker cannot economically process very heavy crude regardless of price signals; one with a large fluid catalytic cracker but limited desulphurisation is constrained to low-sulphur feedstocks. Encoding these constraints as fixed node features grounds each refinery's representation in what it is physically capable of doing, not only in what it happened to do during the observation window — a distinction that matters when models are later used to reason about regime changes such as feedstock switches.</w:t>
      </w:r>
    </w:p>
    <w:p>
      <w:pPr>
        <w:pStyle w:val="Heading3"/>
      </w:pPr>
      <w:r>
        <w:t xml:space="preserve">3.1.3 Maritime Transport</w:t>
      </w:r>
    </w:p>
    <w:p>
      <w:pPr>
        <w:spacing w:after="160" w:line="300"/>
        <w:jc w:val="both"/>
      </w:pPr>
      <w:r>
        <w:t xml:space="preserve">Maritime tanker shipping is the principal mechanism for intercontinental crude-oil trade. Unlike pipelines, which are fixed infrastructure with defined origin-destination pairs, tankers are mobile capital assets whose routing decisions are made dynamically in response to price signals, freight rates, and port availability. This mobility introduces operational flexibility, and corresponding complexity, that is consequential for the inventory dynamics the graph model captures.</w:t>
      </w:r>
    </w:p>
    <w:p>
      <w:pPr>
        <w:spacing w:after="160" w:line="300"/>
        <w:jc w:val="both"/>
      </w:pPr>
      <w:r>
        <w:t xml:space="preserve">Crude tankers are classified by deadweight tonnage, and size class matters operationally because it determines which ports, canals, and offshore terminals a vessel can physically access. Very Large Crude Carriers (200,000 to 320,000 deadweight tonnes, roughly two million barrels capacity) operate on long intercontinental routes and often discharge via offshore moorings or lightering because their loaded draught can exceed twenty metres. Suezmax vessels (120,000 to 200,000 deadweight tonnes, roughly one million barrels) are sized to transit the Suez Canal at its draught limits and dominate many Atlantic-basin trades. Aframax tankers (80,000 to 120,000 deadweight tonnes) typically serve regional trades including the Caribbean, North Sea, Baltic, and United States Gulf Coast. Smaller Panamax and Long Range vessels serve canal-constrained routes, and Medium Range and Handysize vessels handle coastal movements and refined-product distribution.</w:t>
      </w:r>
    </w:p>
    <w:p>
      <w:pPr>
        <w:spacing w:after="160" w:line="300"/>
        <w:jc w:val="both"/>
      </w:pPr>
      <w:r>
        <w:t xml:space="preserve">A crude tanker voyage can be described in four phases: ballast voyage to the load port, loading, laden transit, and discharge. Loading and discharge typically last twenty-four to forty-eight hours, while intercontinental passages can last several weeks. In graph terms, maritime shipping lanes are directed edges with transit-time attributes reflecting voyage durations, capacity attributes reflecting vessel class constraints, and flow attributes drawn from cargo estimates and import records. When vessels are modelled as first-class nodes — a capability the schema supports but the validation prototype of this thesis does not populate — each vessel carries its own cargo inventory during transit, and the loading and discharge events become edge flows between terminal nodes and vessel nodes.</w:t>
      </w:r>
    </w:p>
    <w:p>
      <w:pPr>
        <w:pStyle w:val="Heading2"/>
      </w:pPr>
      <w:r>
        <w:t xml:space="preserve">3.2 Node Types and Attributes</w:t>
      </w:r>
    </w:p>
    <w:p>
      <w:pPr>
        <w:spacing w:after="160" w:line="300"/>
        <w:jc w:val="both"/>
      </w:pPr>
      <w:r>
        <w:t xml:space="preserve">The logistics network is modelled as a directed, weighted graph G = (V, E), where every physical asset is represented as a node. The node set V is partitioned into the functional types summarised in Table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40"/>
            </w:pPr>
            <w:r>
              <w:rPr>
                <w:b/>
                <w:bCs/>
                <w:sz w:val="20"/>
                <w:szCs w:val="20"/>
              </w:rPr>
              <w:t xml:space="preserve">Node Type</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40"/>
            </w:pPr>
            <w:r>
              <w:rPr>
                <w:b/>
                <w:bCs/>
                <w:sz w:val="20"/>
                <w:szCs w:val="20"/>
              </w:rPr>
              <w:t xml:space="preserve">Examples</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40"/>
            </w:pPr>
            <w:r>
              <w:rPr>
                <w:b/>
                <w:bCs/>
                <w:sz w:val="20"/>
                <w:szCs w:val="20"/>
              </w:rPr>
              <w:t xml:space="preserve">Description</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Production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Oil fields, offshore platforms, tight-oil basins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generate crude oil. Key attributes: production rate, capacity, utilisation.</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Storage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Tank farms, strategic reserves, hub storage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hold inventory. Key attributes: current stock, capacity, target stock level.</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Transit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Pipeline junctions, port terminals, gathering manifolds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facilitate transfer of flows between routes. Key attributes: throughput capacity, transit time.</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Pipeline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Named long-haul crude pipelines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carry crude between producing and consuming regions. Key attributes: flow capacity, length, line-fill inventory.</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Vessel</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VLCC, Aframax, Suezmax tankers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Mobile maritime assets carrying cargo during transit. Key attributes: cargo capacity, voyage status.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Refinery</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Refineries, processing plants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transform crude into refined products. Key attributes: processing capacity, configuration, yield rates.</w:t>
            </w:r>
          </w:p>
        </w:tc>
      </w:tr>
      <w:tr>
        <w:trPr>
          <w:tblHeader w:val="false"/>
        </w:trP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Consumption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Distribution terminals, end markets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b w:val="false"/>
                <w:bCs w:val="false"/>
                <w:sz w:val="20"/>
                <w:szCs w:val="20"/>
              </w:rPr>
              <w:t xml:space="preserve">Assets that consume crude or refined products. Key attributes: demand rate, variability.</w:t>
            </w:r>
          </w:p>
        </w:tc>
      </w:tr>
    </w:tbl>
    <w:p>
      <w:pPr>
        <w:spacing w:after="200" w:before="160" w:line="300"/>
        <w:jc w:val="center"/>
      </w:pPr>
      <w:r>
        <w:rPr>
          <w:i/>
          <w:iCs/>
          <w:sz w:val="20"/>
          <w:szCs w:val="20"/>
        </w:rPr>
        <w:t xml:space="preserve">Table 3.1 — Node types in the asset-centric graph. Each type is defined by its operational role, not by its geographic location. A node's type determines which of the universal feature variables are non-zero for it; the schema does not impose type-specific feature vectors.</w:t>
      </w:r>
    </w:p>
    <w:p>
      <w:pPr>
        <w:spacing w:after="160" w:line="300"/>
        <w:jc w:val="both"/>
      </w:pPr>
      <w:r>
        <w:t xml:space="preserve">An important design decision concerns the feature representation of nodes. One option is type-specific feature vectors, where each node type carries only the variables relevant to its operational role — production rate only for production nodes, consumption rate only for consumption nodes. The schema adopts instead a uniform feature vector design: every node, regardless of type, is characterised by the same set of time-varying variables. Each node i at time step t is described by its production rate P(i, t), consumption rate C(i, t), stock level S(i, t), total inflow F_in(i, t), total outflow F_out(i, t), and capacity utilisation as a fraction of maximum. For variables that do not apply to a given node type, the value is simply zero: a storage node has P(i, t) = 0 and C(i, t) = 0; a vessel node has P(i, t) = 0 and C(i, t) = 0 with S(i, t) representing its current cargo level. Flow edges between asset pairs that are currently inactive carry zero-valued flow time series rather than being absent from the graph, preserving a stable topology across all time steps.</w:t>
      </w:r>
    </w:p>
    <w:p>
      <w:pPr>
        <w:spacing w:after="160" w:line="300"/>
        <w:jc w:val="both"/>
      </w:pPr>
      <w:r>
        <w:t xml:space="preserve">The uniform representation is chosen for four reasons. First, standard graph neural network architectures — GCN, GAT, GraphSAGE — require a fixed-dimensional input for every node; type-specific vectors of different lengths would require padding, masking, or separate processing pipelines that introduce unnecessary complexity. Second, the pattern of zero and non-zero values implicitly encodes each node's functional role, allowing the model to learn node type distinctions from data rather than requiring explicit categorical encoding. Third, the uniform representation naturally accommodates hybrid nodes — assets that combine functions, such as a port terminal with both transit and storage capabilities — which would be awkward to classify under a rigid type-specific schema. Fourth, it ensures that the inventory conservation equation of Section 3.5 applies universally across all nodes with no special-case logic.</w:t>
      </w:r>
    </w:p>
    <w:p>
      <w:pPr>
        <w:spacing w:after="160" w:line="300"/>
        <w:jc w:val="both"/>
      </w:pPr>
      <w:r>
        <w:t xml:space="preserve">The design follows established practice in the spatio-temporal GNN literature. Traffic forecasting benchmarks DCRNN and STGCN represent all sensor nodes with the same variables — speed, flow, occupancy — regardless of whether a sensor sits at a highway junction, an arterial road, or a residential street; functional differences appear in the values, not in the structure of the feature vector. In the supply-chain domain, Wasi and colleagues (2024) benchmarked both homogeneous and heterogeneous graph formulations and found that homogeneous GNN models performed competitively with heterogeneous ones while being substantially simpler to implement and train.</w:t>
      </w:r>
    </w:p>
    <w:p>
      <w:pPr>
        <w:spacing w:after="160" w:line="300"/>
        <w:jc w:val="both"/>
      </w:pPr>
      <w:r>
        <w:t xml:space="preserve">The uniform feature vector is extended for refinery nodes, as noted in Section 3.1.2. Beyond the time-varying operational variables, each refinery node carries a block of static configuration attributes drawn from publicly available sources — principally the EIA annual refinery capacity report and the Oil and Gas Journal refinery survey. These cover crude distillation capacity, which conversion units are present (fluid catalytic cracking, hydrocracking, delayed coking, visbreaking), the Nelson Complexity Index, and the crude-quality envelope the refinery can handle. Encoding these constraints as fixed node features allows the GNN to generalise across refineries with similar configurations even when their flow histories differ, and — critically — supports reasoning about potential feedstock transitions that have not yet occurred in the training window but are physically plausible given the refinery's equipment.</w:t>
      </w:r>
    </w:p>
    <w:p>
      <w:pPr>
        <w:pStyle w:val="Heading2"/>
      </w:pPr>
      <w:r>
        <w:t xml:space="preserve">3.3 Edge Types and Attributes</w:t>
      </w:r>
    </w:p>
    <w:p>
      <w:pPr>
        <w:spacing w:after="160" w:line="300"/>
        <w:jc w:val="both"/>
      </w:pPr>
      <w:r>
        <w:t xml:space="preserve">Edges in the graph represent physical or contractual connections through which crude oil flows. Edges are directed, reflecting the physical direction of flow; where connections are bidirectional, they are modelled as two separate directed edges. The edge set E is organised by transport mode:</w:t>
      </w:r>
    </w:p>
    <w:p>
      <w:pPr>
        <w:pStyle w:val="ListParagraph"/>
        <w:numPr>
          <w:ilvl w:val="0"/>
          <w:numId w:val="2"/>
        </w:numPr>
        <w:spacing w:after="100" w:line="280"/>
      </w:pPr>
      <w:r>
        <w:t xml:space="preserve">Pipeline edges connect production nodes to pipeline nodes, pipeline nodes to storage or refinery nodes, and storage nodes to refinery nodes via named pipelines. They carry attributes for flow rate, nominal capacity, transit time, and operational status.</w:t>
      </w:r>
    </w:p>
    <w:p>
      <w:pPr>
        <w:pStyle w:val="ListParagraph"/>
        <w:numPr>
          <w:ilvl w:val="0"/>
          <w:numId w:val="2"/>
        </w:numPr>
        <w:spacing w:after="100" w:line="280"/>
      </w:pPr>
      <w:r>
        <w:t xml:space="preserve">Shipping-route edges connect port terminal nodes to vessel nodes (loading events), and vessel nodes to destination terminal nodes (discharge events). They carry attributes for cargo volume, vessel class, transit time, and voyage phase.</w:t>
      </w:r>
    </w:p>
    <w:p>
      <w:pPr>
        <w:pStyle w:val="ListParagraph"/>
        <w:numPr>
          <w:ilvl w:val="0"/>
          <w:numId w:val="2"/>
        </w:numPr>
        <w:spacing w:after="100" w:line="280"/>
      </w:pPr>
      <w:r>
        <w:t xml:space="preserve">Surface transport edges connect storage or refinery nodes to consumption nodes by rail, barge, or truck. They carry capacity, cost-per-unit, and transit-time attributes, and are most relevant in last-mile distribution.</w:t>
      </w:r>
    </w:p>
    <w:p>
      <w:pPr>
        <w:spacing w:after="160" w:line="300"/>
        <w:jc w:val="both"/>
      </w:pPr>
      <w:r>
        <w:t xml:space="preserve">Each edge (i, j) carries a time-varying feature vector e(i, j, t) recording the flow rate f(i, j, t), the transit time τ(i, j), and capacity utilisation. The feature vector on edges follows the same design principle as on nodes: a uniform structure across edge types, with type-specific attributes populated where they apply and zero-valued otherwise. As with nodes, the edge's type is determined by its endpoints and its transport-mode attribute rather than by its feature-vector structure.</w:t>
      </w:r>
    </w:p>
    <w:p>
      <w:pPr>
        <w:pStyle w:val="Heading2"/>
      </w:pPr>
      <w:r>
        <w:t xml:space="preserve">3.4 Temporal Graph Formulation</w:t>
      </w:r>
    </w:p>
    <w:p>
      <w:pPr>
        <w:spacing w:after="160" w:line="300"/>
        <w:jc w:val="both"/>
      </w:pPr>
      <w:r>
        <w:t xml:space="preserve">The complete logistics network at time t is represented as a temporal graph G(t) = (V, E, X(t), W(t)), where X(t) is the matrix of node features and W(t) is the matrix of edge features at time t. Over the time horizon T = {1, 2, …, T}, the system is described by the sequence of graphs {G(1), G(2), …, G(T)}. In the general case both the graph topology (V, E) and the feature matrices (X, W) may change over time; for the crude-oil logistics network considered here, however, the topology is treated as stable — pipelines and shipping routes do not appear or disappear daily — so the primary source of temporal variation lies in the node and edge features.</w:t>
      </w:r>
    </w:p>
    <w:p>
      <w:pPr>
        <w:spacing w:after="160" w:line="300"/>
        <w:jc w:val="both"/>
      </w:pPr>
      <w:r>
        <w:t xml:space="preserve">The stability of the topology is a deliberate design choice, not an empirical observation. Through the zero-flow edge convention, even edges that are operationally inactive in a given period remain in the graph with their flow variables set to zero. The consequences are practical: the adjacency matrix at time t is the same as the adjacency matrix at time t+1, and the graph neural networks applied to these snapshots operate on a fixed graph structure. The alternative — adding or removing edges as routes become active or inactive — would force either the retraining of the model every time the graph changes, or the use of dynamic-topology architectures that remain less mature than their static-topology counterparts.</w:t>
      </w:r>
    </w:p>
    <w:p>
      <w:pPr>
        <w:spacing w:after="160" w:line="300"/>
        <w:jc w:val="both"/>
      </w:pPr>
      <w:r>
        <w:t xml:space="preserve">The choice between the discrete-time approach, where each G(t) is treated as a separate snapshot, and the continuous-time approach, where individual flow events are processed as they occur, is a downstream modelling decision rather than a representational one. The schema supports both: discrete-time methods sample the sequence of snapshots directly, while continuous-time methods treat each observation of a flow variable as a timestamped event on an edge. For applications at the monthly frequency of public EIA data, the discrete-time approach is the natural fit.</w:t>
      </w:r>
    </w:p>
    <w:p>
      <w:pPr>
        <w:pStyle w:val="Heading2"/>
      </w:pPr>
      <w:r>
        <w:t xml:space="preserve">3.5 The Universal Mass Balance Constraint</w:t>
      </w:r>
    </w:p>
    <w:p>
      <w:pPr>
        <w:spacing w:after="160" w:line="300"/>
        <w:jc w:val="both"/>
      </w:pPr>
      <w:r>
        <w:t xml:space="preserve">Every node in the graph — regardless of its type, and regardless of whether its variables were observed directly or derived from formulas — must satisfy the same universal mass balance constraint. For node i, grade g, and time t:</w:t>
      </w:r>
    </w:p>
    <w:p>
      <w:pPr>
        <w:spacing w:after="160" w:before="120" w:line="300"/>
        <w:jc w:val="center"/>
      </w:pPr>
      <w:r>
        <w:rPr>
          <w:i/>
          <w:iCs/>
        </w:rPr>
        <w:t xml:space="preserve">ΔS(i, g, t) = P(i, g, t) + F_in(i, g, t) − C(i, g, t) − F_out(i, g, t)</w:t>
      </w:r>
    </w:p>
    <w:p>
      <w:pPr>
        <w:spacing w:after="160" w:line="300"/>
        <w:jc w:val="both"/>
      </w:pPr>
      <w:r>
        <w:t xml:space="preserve">where ΔS(i, g, t) = S(i, g, t) − S(i, g, t − 1) is the change in stock over the period. The equation states that the change in inventory at a node equals total inflows (from production at the node plus flows arriving from its graph neighbours) minus total outflows (consumption at the node plus flows departing to its graph neighbours). It applies universally: a production node has F_in = 0 and C = 0, so ΔS = P − F_out; a pipeline node has P = 0 and C = 0, so ΔS = F_in − F_out, which is the line-fill equation; a refinery node has P = 0 and F_out = 0 (in the crude-only framing), so ΔS = F_in − C.</w:t>
      </w:r>
    </w:p>
    <w:p>
      <w:pPr>
        <w:spacing w:after="160" w:line="300"/>
        <w:jc w:val="both"/>
      </w:pPr>
      <w:r>
        <w:t xml:space="preserve">In practice, the change in stock implied by the observed S series may not exactly equal the sum of the observed flow variables. Data is reported with measurement error, rounding across multiple operators, timing mismatches between aggregation windows, unreported or delayed adjustments, and — in the location-centric convention — unaccounted line-fill changes. The framework absorbs this systematic discrepancy into a dedicated node variable, the balancing item:</w:t>
      </w:r>
    </w:p>
    <w:p>
      <w:pPr>
        <w:spacing w:after="160" w:before="120" w:line="300"/>
        <w:jc w:val="center"/>
      </w:pPr>
      <w:r>
        <w:rPr>
          <w:i/>
          <w:iCs/>
        </w:rPr>
        <w:t xml:space="preserve">B(i, g, t) = ΔS(i, g, t) − [ P(i, g, t) + F_in(i, g, t) − C(i, g, t) − F_out(i, g, t) ]</w:t>
      </w:r>
    </w:p>
    <w:p>
      <w:pPr>
        <w:spacing w:after="160" w:line="300"/>
        <w:jc w:val="both"/>
      </w:pPr>
      <w:r>
        <w:t xml:space="preserve">The term follows established practice in international energy statistics: the International Energy Agency uses this label to absorb unaccounted differences in national energy supply-and-demand tables. The balancing item can be positive or negative, reflecting an apparent surplus or deficit in the reported flows relative to the observed stock change. Rather than treating it as noise to be discarded, the framework retains the balancing item as a first-class node variable. It carries information about systematic data gaps that may themselves be predictable or structurally informative for downstream models — a node that consistently shows a negative balancing item may have systematic under-reporting of outflows, which a model can learn to account for. A sudden large balancing item may signal a data-quality issue or an unreported operational event. Whether the balancing item serves as a forecasting target, a regularisation signal, or a diagnostic flag is a modelling decision deferred to downstream applications.</w:t>
      </w:r>
    </w:p>
    <w:p>
      <w:pPr>
        <w:spacing w:after="160" w:line="300"/>
        <w:jc w:val="both"/>
      </w:pPr>
      <w:r>
        <w:t xml:space="preserve">All time series variables are pre-processed to a common unit of barrels per day before ingestion into the graph. Where source data report cumulative volumes over a period — monthly totals, weekly aggregates — these are converted to average daily rates by dividing by the number of days in the period. The resulting time series are treated as step functions: the reported rate for a given observation date persists unchanged until the next observation date, at which point it steps to the new value. This convention is consistent with standard practice in energy market reporting, where data providers publish period-average rates rather than instantaneous measurements, and it ensures that observations at different temporal spacings can be combined without interpolation.</w:t>
      </w:r>
    </w:p>
    <w:p>
      <w:pPr>
        <w:pStyle w:val="Heading2"/>
      </w:pPr>
      <w:r>
        <w:t xml:space="preserve">3.6 The Formula-Implies-Edge Framework</w:t>
      </w:r>
    </w:p>
    <w:p>
      <w:pPr>
        <w:spacing w:after="160" w:line="300"/>
        <w:jc w:val="both"/>
      </w:pPr>
      <w:r>
        <w:t xml:space="preserve">The schema developed in the preceding sections is grounded in a mathematical framework that separates three concerns: topology (who connects to whom), semantics (what the variables mean and how they are computed), and validity (whether the network makes physical sense). The separation is deliberate. The graph is built from variable relationships first, and consistency is checked second, as a post-build validation pass.</w:t>
      </w:r>
    </w:p>
    <w:p>
      <w:pPr>
        <w:spacing w:after="160" w:line="300"/>
        <w:jc w:val="both"/>
      </w:pPr>
      <w:r>
        <w:t xml:space="preserve">The framework has only two primitives: nodes, which own variables, and formulas, which create edges. The graph builder needs no knowledge of geography, administrative hierarchies, or reporting conventions; all such complexity is absorbed into the formulas and deferred to the validation pass. Adding new data sources, new node types, new commodity grades, or new derived relationships requires only writing new formulas — the underlying graph machinery does not change.</w:t>
      </w:r>
    </w:p>
    <w:p>
      <w:pPr>
        <w:pStyle w:val="Heading3"/>
      </w:pPr>
      <w:r>
        <w:t xml:space="preserve">3.6.1 Node Definition</w:t>
      </w:r>
    </w:p>
    <w:p>
      <w:pPr>
        <w:spacing w:after="160" w:line="300"/>
        <w:jc w:val="both"/>
      </w:pPr>
      <w:r>
        <w:t xml:space="preserve">A node is defined minimally as a tuple i = (id, type), where type encodes the operational role of the asset — production site, storage facility, pipeline, terminal, refinery, consumption point, vessel. Location, administrative granularity, and other metadata are deliberately excluded from the node definition itself; they are retained as external attributes used only during the post-build validation phase, and — as developed in Chapter 4 — during scenario assembly.</w:t>
      </w:r>
    </w:p>
    <w:p>
      <w:pPr>
        <w:spacing w:after="160" w:line="300"/>
        <w:jc w:val="both"/>
      </w:pPr>
      <w:r>
        <w:t xml:space="preserve">Each node i carries a set of variables per commodity grade g and time step t. Following the uniform feature vector design of Section 3.2, these are: production P(i, g, t), total inflow F_in(i, g, t), consumption C(i, g, t), total outflow F_out(i, g, t), and stock level S(i, g, t). Each variable is assigned one of two forms: either a time series of observed data, or a formula expressed as a function of variables belonging to the same node or to other nodes. This distinction is fundamental to how the graph is constructed — it is the formulas that create the edges, not any explicit declaration of connectivity.</w:t>
      </w:r>
    </w:p>
    <w:p>
      <w:pPr>
        <w:spacing w:after="160" w:line="300"/>
        <w:jc w:val="both"/>
      </w:pPr>
      <w:r>
        <w:t xml:space="preserve">Each product or commodity grade is treated as a separate variable instance on the node. This supports derived-product relationships: at a refinery node, gasoil output can be defined as gasoil_production(i, t) = 0.5 × C(i, crude, t), where crude consumption at the refinery drives the production of a refined product. The formula creates an implicit dependency edge between the crude consumption variable and the gasoil production variable within the same node, and between connected nodes where cross-node references appear.</w:t>
      </w:r>
    </w:p>
    <w:p>
      <w:pPr>
        <w:pStyle w:val="Heading3"/>
      </w:pPr>
      <w:r>
        <w:t xml:space="preserve">3.6.2 Edge Definition</w:t>
      </w:r>
    </w:p>
    <w:p>
      <w:pPr>
        <w:spacing w:after="160" w:line="300"/>
        <w:jc w:val="both"/>
      </w:pPr>
      <w:r>
        <w:t xml:space="preserve">An edge exists if and only if a variable on node i references a variable on node j through a formula. Formally, e = (i, j, g) exists if and only if there exists a variable v(i, g) = f(…, v(j, g), …). The graph topology is therefore fully determined by the variable formulas: edges are never declared separately, and a declared edge without a corresponding formula relationship cannot exist. This property ensures that the graph is always grounded in actual data dependencies, eliminating the possibility of structural inconsistency between the declared topology and the computational model.</w:t>
      </w:r>
    </w:p>
    <w:p>
      <w:pPr>
        <w:spacing w:after="160" w:line="300"/>
        <w:jc w:val="both"/>
      </w:pPr>
      <w:r>
        <w:t xml:space="preserve">Each edge e = (i, j, g) carries the flow volume φ(i, j, g, t), which contributes symmetrically to both endpoints. The total outflow of node i equals the sum of flows on all edges departing i, and the total inflow of node j equals the sum of flows on all edges arriving at j: F_out(i, g, t) = Σ_j φ(i, j, g, t) and F_in(j, g, t) = Σ_k φ(k, j, g, t). Additional edge attributes include the transit time τ(i, j), relevant for tanker routes and long pipelines, and the line loss ℓ(i, j, g), relevant for pipeline leakage and evaporation, which together introduce a physical lag between when a flow departs node i and when it arrives at node j.</w:t>
      </w:r>
    </w:p>
    <w:p>
      <w:pPr>
        <w:pStyle w:val="Heading3"/>
      </w:pPr>
      <w:r>
        <w:t xml:space="preserve">3.6.3 Post-Build Consistency Validation</w:t>
      </w:r>
    </w:p>
    <w:p>
      <w:pPr>
        <w:spacing w:after="160" w:line="300"/>
        <w:jc w:val="both"/>
      </w:pPr>
      <w:r>
        <w:t xml:space="preserve">Once the graph has been constructed from its variable definitions, a set of consistency checks is applied. These checks verify physical plausibility rather than mathematical correctness, and are performed as a post-build validation pass rather than as construction constraints. Examples include: pass-through nodes (export terminals, pipeline segments with no storage) must have P = 0 and C = 0; production-only nodes (wellheads, extraction platforms) must have F_in = 0 and C = 0; edges between geographically disconnected nodes flag a potential missing intermediate node or a data error; and formula-defined aggregation variables are cross-checked against the mass balance to verify that the aggregation is complete.</w:t>
      </w:r>
    </w:p>
    <w:p>
      <w:pPr>
        <w:spacing w:after="160" w:line="300"/>
        <w:jc w:val="both"/>
      </w:pPr>
      <w:r>
        <w:t xml:space="preserve">The separation of construction from validation is intentional. Mixed-granularity data — where some variables are reported at state level and others at sub-state or terminal level — requires no special handling in the construction phase. The formula layer handles granularity transitions naturally: if state-level exports are defined as the sum of all terminal outflows, that formula creates the correct edges automatically, and the consistency check confirms whether the aggregation closes. No explicit granularity hierarchy or double-counting prevention logic is required in the schema itself. The more substantial problem of reconciling heterogeneous multi-resolution data sources is addressed in Chapter 4 through the observed/derived invariant and the coverage contract mechanism.</w:t>
      </w:r>
    </w:p>
    <w:p>
      <w:pPr>
        <w:spacing w:after="160" w:line="300"/>
        <w:jc w:val="both"/>
      </w:pPr>
      <w:r>
        <w:t xml:space="preserve">The initial implementation uses crude oil without grade differentiation, which simplifies the variable space while preserving the full structural and temporal complexity of the network. The schema is designed for extension: adding grades or refined products requires only introducing additional grade-indexed variable instances on each node, with no changes to the underlying graph construction or validation logic. Blending nodes — where multiple grades combine to produce a composite output — integrate naturally into the formula-implies-edge framework by defining a blending contribution as a function of grade-specific consumption variables.</w:t>
      </w:r>
    </w:p>
    <w:p>
      <w:pPr>
        <w:pStyle w:val="Heading2"/>
      </w:pPr>
      <w:r>
        <w:t xml:space="preserve">3.7 Summary</w:t>
      </w:r>
    </w:p>
    <w:p>
      <w:pPr>
        <w:spacing w:after="160" w:line="300"/>
        <w:jc w:val="both"/>
      </w:pPr>
      <w:r>
        <w:t xml:space="preserve">The chapter has developed the asset-centric graph schema for crude-oil logistics networks. Every physical asset is a node with the same uniform feature vector structure. Edges represent feasible transfers between assets and remain stable across time through the zero-flow edge convention, preserving a fixed adjacency matrix that is compatible with standard graph neural network architectures. Every node satisfies the same universal mass balance equation, with a balancing item that absorbs the systematic discrepancies endemic to commodity reporting. The graph's topology is determined by variable relationships through the formula-implies-edge mechanism, rather than declared separately, which ensures that the topology is always grounded in actual data dependencies.</w:t>
      </w:r>
    </w:p>
    <w:p>
      <w:pPr>
        <w:spacing w:after="160" w:line="300"/>
        <w:jc w:val="both"/>
      </w:pPr>
      <w:r>
        <w:t xml:space="preserve">What the chapter does not yet address is how this schema accommodates data that arrives at heterogeneous, often administrative, resolutions — how the same basin can be observed at basin-level one year and at well-level the next, how administrative aggregates such as PADD regions are distinguished from physical assets, and how scenarios assembled from a common asset graph can use different authoritative resolutions without structural changes. These questions — the operational machinery that makes the schema usable at production scale — are the subject of Chapter 4.</w:t>
      </w:r>
    </w:p>
    <w:p>
      <w:pPr>
        <w:pStyle w:val="Heading1"/>
        <w:pageBreakBefore/>
      </w:pPr>
      <w:r>
        <w:t xml:space="preserve">4. Scenario Assembly and Consistency Invariants</w:t>
      </w:r>
    </w:p>
    <w:p>
      <w:pPr>
        <w:spacing w:after="160" w:line="300"/>
        <w:jc w:val="both"/>
      </w:pPr>
      <w:r>
        <w:t xml:space="preserve">The schema of Chapter 3 establishes what the graph looks like. In practice, the graph a model trains on is not a single object — it is produced on demand from three inputs: a persistent asset graph defining the full physical topology, an assignment table recording which time series is attached to which node, and a coverage contract declaring the authoritative level of resolution for each part of the system. This chapter develops the machinery that assembles scenario graphs from those inputs, and the formal invariants that guarantee the assembled graphs are internally consistent.</w:t>
      </w:r>
    </w:p>
    <w:p>
      <w:pPr>
        <w:spacing w:after="160" w:line="300"/>
        <w:jc w:val="both"/>
      </w:pPr>
      <w:r>
        <w:t xml:space="preserve">The chapter contains the principal methodological contributions of this thesis. Section 4.1 establishes the separation between the persistent asset graph and the scenario graphs derived from it. Section 4.2 distinguishes the physical layer, where assets carry real flows and configuration, from the observational aggregation layer, where administrative categories such as EIA PADD regions exist only as formula-defined views. Section 4.3 explains how geography metadata — latitude, county, state, PADD — is attached to physical nodes as labelling rather than as structural hierarchy. Section 4.4 formalises the resolution hierarchy that relates nodes representing the same physical system at different granularities, and shows how the hierarchy extends from individual assets up through named aggregates and into administrative categories when data resolution requires it. Section 4.5 states the observed/derived invariant and the assignment table structure that enforces it. Section 4.6 introduces coverage contracts, which declare authoritative levels per subsystem per scenario. Section 4.7 addresses junction nodes, the collapsed state, and the latent-allocation problem that arises when multiple downstream routes share a common source. Section 4.8 describes the scenario loader as a concrete pipeline that applies the invariants and emits the scenario graph.</w:t>
      </w:r>
    </w:p>
    <w:p>
      <w:pPr>
        <w:pStyle w:val="Heading2"/>
      </w:pPr>
      <w:r>
        <w:t xml:space="preserve">4.1 Persistent Asset Graph and Scenario Graph</w:t>
      </w:r>
    </w:p>
    <w:p>
      <w:pPr>
        <w:spacing w:after="160" w:line="300"/>
        <w:jc w:val="both"/>
      </w:pPr>
      <w:r>
        <w:t xml:space="preserve">The schema of Chapter 3 describes a graph in the abstract. In practice, the graph that a downstream model uses is produced on demand from a fixed asset graph, a dynamic assignment table, and a scenario-specific coverage contract. This two-layer architecture — persistent asset graph plus scenario graph — is the foundation on which all other scenario machinery is built.</w:t>
      </w:r>
    </w:p>
    <w:p>
      <w:pPr>
        <w:spacing w:after="160" w:line="300"/>
        <w:jc w:val="both"/>
      </w:pPr>
      <w:r>
        <w:t xml:space="preserve">The persistent asset graph is a fixed, superset topology. It contains every physical node the framework could conceivably need — every basin, every pipeline, every hub, every terminal, every refinery, every export point, every vessel class, every junction — regardless of whether data is currently available to populate that node. The asset graph is defined once and is maintained by adding new physical assets as they are commissioned. It is not recomputed, re-derived, or restructured when data sources change. In this respect it extends the zero-flow edge convention of Chapter 3: just as edges are permanent with flow set to zero during inactivity, nodes are permanent with their variables in a collapsed or empty state when data does not populate them.</w:t>
      </w:r>
    </w:p>
    <w:p>
      <w:pPr>
        <w:spacing w:after="160" w:line="300"/>
        <w:jc w:val="both"/>
      </w:pPr>
      <w:r>
        <w:t xml:space="preserve">The scenario graph is what a downstream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pPr>
        <w:spacing w:after="160" w:line="300"/>
        <w:jc w:val="both"/>
      </w:pPr>
      <w:r>
        <w:t xml:space="preserve">This two-layer architecture has two consequences that matter in practice. First, data upgrades never force a structural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w:t>
      </w:r>
    </w:p>
    <w:p>
      <w:pPr>
        <w:spacing w:after="200" w:before="160" w:line="300"/>
        <w:jc w:val="center"/>
      </w:pPr>
      <w:r>
        <w:rPr>
          <w:i/>
          <w:iCs/>
          <w:sz w:val="20"/>
          <w:szCs w:val="20"/>
        </w:rPr>
        <w:t xml:space="preserve">Figure 4.1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pPr>
        <w:pStyle w:val="Heading2"/>
      </w:pPr>
      <w:r>
        <w:t xml:space="preserve">4.2 The Observational Aggregation Layer</w:t>
      </w:r>
    </w:p>
    <w:p>
      <w:pPr>
        <w:spacing w:after="160" w:line="300"/>
        <w:jc w:val="both"/>
      </w:pPr>
      <w:r>
        <w:t xml:space="preserve">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pPr>
        <w:spacing w:after="160" w:line="300"/>
        <w:jc w:val="both"/>
      </w:pPr>
      <w:r>
        <w:t xml:space="preserve">The framework handles this cleanly by separating the physical layer — the nodes and edges in the asset graph that represent real assets with real flows — from the observational aggregation layer,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pPr>
        <w:spacing w:after="160" w:line="300"/>
        <w:jc w:val="both"/>
      </w:pPr>
      <w:r>
        <w:t xml:space="preserve">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pPr>
        <w:spacing w:after="160" w:line="300"/>
        <w:jc w:val="both"/>
      </w:pPr>
      <w:r>
        <w:t xml:space="preserve">The interaction between the observational layer and the scenario graph is the subject of Section 4.6.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pPr>
        <w:pStyle w:val="Heading2"/>
      </w:pPr>
      <w:r>
        <w:t xml:space="preserve">4.3 Geography Metadata and Administrative Aggregations</w:t>
      </w:r>
    </w:p>
    <w:p>
      <w:pPr>
        <w:spacing w:after="160" w:line="300"/>
        <w:jc w:val="both"/>
      </w:pPr>
      <w:r>
        <w:t xml:space="preserve">The observational aggregations of Section 4.2 need an implementation. This section describes it. Every physical node in the asset graph carries a block of geography metadata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pPr>
        <w:spacing w:after="160" w:line="300"/>
        <w:jc w:val="both"/>
      </w:pPr>
      <w:r>
        <w:t xml:space="preserve">Administrative aggregations from Section 4.2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pPr>
        <w:spacing w:after="160" w:line="300"/>
        <w:jc w:val="both"/>
      </w:pPr>
      <w:r>
        <w:t xml:space="preserve">This is structurally different from the resolution hierarchy of Section 4.4,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a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pPr>
        <w:spacing w:after="160" w:line="300"/>
        <w:jc w:val="both"/>
      </w:pPr>
      <w:r>
        <w:t xml:space="preserve">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4.5, so the geography rollup is always well-defined.</w:t>
      </w:r>
    </w:p>
    <w:p>
      <w:pPr>
        <w:pStyle w:val="Heading2"/>
      </w:pPr>
      <w:r>
        <w:t xml:space="preserve">4.4 The Resolution Hierarchy</w:t>
      </w:r>
    </w:p>
    <w:p>
      <w:pPr>
        <w:spacing w:after="160" w:line="300"/>
        <w:jc w:val="both"/>
      </w:pPr>
      <w:r>
        <w:t xml:space="preserve">Every node class in the asset graph has an associated resolution hierarchy: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pPr>
        <w:spacing w:after="160" w:line="300"/>
        <w:jc w:val="both"/>
      </w:pPr>
      <w:r>
        <w:t xml:space="preserve">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pPr>
        <w:spacing w:after="160" w:line="300"/>
        <w:jc w:val="both"/>
      </w:pPr>
      <w:r>
        <w:t xml:space="preserve">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pPr>
        <w:spacing w:after="160" w:line="300"/>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4.2 is promoted from a pure-view status to the authoritative representation of production for the duration of that scenario. The basins that would normally be authoritative in its place are collapsed: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pPr>
        <w:spacing w:after="160" w:line="300"/>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acknowledging that in practice the authoritative level for some variables, in some scenarios, is the administrative aggregate rather than a named physical asset.</w:t>
      </w:r>
    </w:p>
    <w:p>
      <w:pPr>
        <w:spacing w:after="160" w:line="300"/>
        <w:jc w:val="both"/>
      </w:pPr>
      <w:r>
        <w:t xml:space="preserve">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pPr>
        <w:pStyle w:val="Heading2"/>
      </w:pPr>
      <w:r>
        <w:t xml:space="preserve">4.5 Assignment Tables and the Observed/Derived Invariant</w:t>
      </w:r>
    </w:p>
    <w:p>
      <w:pPr>
        <w:spacing w:after="160" w:line="300"/>
        <w:jc w:val="both"/>
      </w:pPr>
      <w:r>
        <w:t xml:space="preserve">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pPr>
        <w:spacing w:after="160" w:line="300"/>
        <w:jc w:val="both"/>
      </w:pPr>
      <w:r>
        <w:t xml:space="preserve">For any given combination of node, variable, commodity, and timestamp, a single constraint governs the scenario graph:</w:t>
      </w:r>
    </w:p>
    <w:p>
      <w:pPr>
        <w:spacing w:after="200" w:before="120" w:line="300"/>
        <w:ind w:left="720" w:right="720"/>
        <w:jc w:val="both"/>
      </w:pPr>
      <w:r>
        <w:rPr>
          <w:i/>
          <w:iCs/>
        </w:rPr>
        <w:t xml:space="preserve">Exactly one of observed_authoritative or derived holds. Additional observed series may be attached as observed_auxiliary, which are stored on the node but do not participate in the mass balance at their own level.</w:t>
      </w:r>
    </w:p>
    <w:p>
      <w:pPr>
        <w:spacing w:after="160" w:line="300"/>
        <w:jc w:val="both"/>
      </w:pPr>
      <w:r>
        <w:t xml:space="preserve">This is the observed/derived invariant.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pPr>
        <w:spacing w:after="160" w:line="300"/>
        <w:jc w:val="both"/>
      </w:pPr>
      <w:r>
        <w:t xml:space="preserve">The invariant is the single most important consistency guarantee the framework provides. It transforms aggregation double-counting from a runtime validation concern — something to detect and report after the fact — into a property the data model cannot represent. A scenario loader that enforces the invariant cannot produce a double-counted scenario graph, regardless of what errors are present in the assignment table. This is a qualitatively different kind of consistency guarantee from the post-build validation of Section 3.6.3, which detects errors after they have occurred. The invariant prevents the class of error in the first place.</w:t>
      </w:r>
    </w:p>
    <w:p>
      <w:pPr>
        <w:spacing w:after="200" w:before="160" w:line="300"/>
        <w:jc w:val="center"/>
      </w:pPr>
      <w:r>
        <w:rPr>
          <w:i/>
          <w:iCs/>
          <w:sz w:val="20"/>
          <w:szCs w:val="20"/>
        </w:rPr>
        <w:t xml:space="preserve">Figure 4.2 — State machine for a single node-variable under the scenario loader. Valid end states are observed_authoritative, derived, observed_auxiliary, and null. The invariant excludes any combination of observed_authoritative and derived on the same variable at the same time.</w:t>
      </w:r>
    </w:p>
    <w:p>
      <w:pPr>
        <w:spacing w:after="160" w:line="300"/>
        <w:jc w:val="both"/>
      </w:pPr>
      <w:r>
        <w:t xml:space="preserve">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For example, one series might report production at state level while another reports it at basin level, and if the state-level series covers a state that belongs to both the basin in question and a second basin, simply loading both would over-count the basin's share. The framework addresses sibling overlap through an additional pairwise check at scenario load time, which is a complement to the observed/derived invariant rather than a replacement for it. The mass balance diagnostic at the authoritative level, introduced in Section 4.8, serves as a backstop for any remaining inconsistencies, surfacing them as large balancing items that the user can investigate.</w:t>
      </w:r>
    </w:p>
    <w:p>
      <w:pPr>
        <w:pStyle w:val="Heading2"/>
      </w:pPr>
      <w:r>
        <w:t xml:space="preserve">4.6 Coverage Contracts</w:t>
      </w:r>
    </w:p>
    <w:p>
      <w:pPr>
        <w:spacing w:after="160" w:line="300"/>
        <w:jc w:val="both"/>
      </w:pPr>
      <w:r>
        <w:t xml:space="preserve">The coverage contract is the declaration that drives the invariant in practice. For each resolution hierarchy, the contract names the authoritative level. For the Permian basin, it might declare basin as authoritative; for Haynesville, where no basin-level crude production data is available because the region produces primarily gas,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pPr>
        <w:spacing w:after="160" w:line="300"/>
        <w:jc w:val="both"/>
      </w:pPr>
      <w:r>
        <w:t xml:space="preserve">A concrete example clarifies how this works. Suppose a scenario is being assembled for a particular historical period, with the following coverage contract for crude production:</w:t>
      </w:r>
    </w:p>
    <w:p>
      <w:pPr>
        <w:pStyle w:val="ListParagraph"/>
        <w:numPr>
          <w:ilvl w:val="0"/>
          <w:numId w:val="2"/>
        </w:numPr>
        <w:spacing w:after="100" w:line="280"/>
      </w:pPr>
      <w:r>
        <w:t xml:space="preserve">Permian: authoritative at basin level — the EIA monthly tight-oil series is available and taken as authoritative.</w:t>
      </w:r>
    </w:p>
    <w:p>
      <w:pPr>
        <w:pStyle w:val="ListParagraph"/>
        <w:numPr>
          <w:ilvl w:val="0"/>
          <w:numId w:val="2"/>
        </w:numPr>
        <w:spacing w:after="100" w:line="280"/>
      </w:pPr>
      <w:r>
        <w:t xml:space="preserve">Bakken: authoritative at basin level — same reasoning.</w:t>
      </w:r>
    </w:p>
    <w:p>
      <w:pPr>
        <w:pStyle w:val="ListParagraph"/>
        <w:numPr>
          <w:ilvl w:val="0"/>
          <w:numId w:val="2"/>
        </w:numPr>
        <w:spacing w:after="100" w:line="280"/>
      </w:pPr>
      <w:r>
        <w:t xml:space="preserve">Eagle Ford: authoritative at basin level — same reasoning.</w:t>
      </w:r>
    </w:p>
    <w:p>
      <w:pPr>
        <w:pStyle w:val="ListParagraph"/>
        <w:numPr>
          <w:ilvl w:val="0"/>
          <w:numId w:val="2"/>
        </w:numPr>
        <w:spacing w:after="100" w:line="280"/>
      </w:pPr>
      <w:r>
        <w:t xml:space="preserve">Gulf of America (federal offshore): authoritative at the offshore-region level — EIA publishes this as a single series.</w:t>
      </w:r>
    </w:p>
    <w:p>
      <w:pPr>
        <w:pStyle w:val="ListParagraph"/>
        <w:numPr>
          <w:ilvl w:val="0"/>
          <w:numId w:val="2"/>
        </w:numPr>
        <w:spacing w:after="100" w:line="280"/>
      </w:pPr>
      <w:r>
        <w:t xml:space="preserve">Alaska: authoritative at the state-wide level — production is published for the state as a whole, not broken down by field.</w:t>
      </w:r>
    </w:p>
    <w:p>
      <w:pPr>
        <w:pStyle w:val="ListParagraph"/>
        <w:numPr>
          <w:ilvl w:val="0"/>
          <w:numId w:val="2"/>
        </w:numPr>
        <w:spacing w:after="100" w:line="280"/>
      </w:pPr>
      <w:r>
        <w:t xml:space="preserve">Rest of Lower 48: authoritative at PADD-residual level — the EIA publishes a residual category for production not attributed to the named tight-oil basins, computed as the difference between the national total and the sum of the named basins.</w:t>
      </w:r>
    </w:p>
    <w:p>
      <w:pPr>
        <w:spacing w:after="160" w:line="300"/>
        <w:jc w:val="both"/>
      </w:pPr>
      <w:r>
        <w:t xml:space="preserve">Under this contract, the Permian, Bakken, Eagle Ford, Gulf of America, and Alaska nodes are authoritative for crude production. The PADD nodes are derived, defined as the sum of authoritative child values within each PADD region. The individual conventional-production sub-nodes under each PADD's residual category are collapsed; their production is represented at the PADD residual level rather than individually. When a downstream data source later becomes available that reports production at the individual-state level for the residual category — as the EIA has at various times — the coverage contract is updated to promote those state-level nodes to authoritative, the PADD residuals are demoted to derived, and the scenario graph is regenerated. The asset graph does not change. The downstream models do not need to be retrained on a new graph structure. Only the values populating the graph change.</w:t>
      </w:r>
    </w:p>
    <w:p>
      <w:pPr>
        <w:spacing w:after="160" w:line="300"/>
        <w:jc w:val="both"/>
      </w:pPr>
      <w:r>
        <w:t xml:space="preserve">The scenario loader's obligations follow directly from the contract. It reads the assignment table, walks each resolution hierarchy to enforce the observed/derived invariant, applies the coverage contract to mark nodes as authoritative, derived, or collapsed, re-originates flow edges where collapse requires it, propagates formulas through the formula layer to populate derived variables, and runs the mass balance diagnostic at the authoritative level for each subsystem. The loader emits the resulting scenario graph with provenance metadata attached to every variable instance: source, release date, resolution level, coverage descriptor. Provenance is retained on every value so that, when a downstream model's output is later audited, the exact state of knowledge at the time the model ran can be reconstructed.</w:t>
      </w:r>
    </w:p>
    <w:p>
      <w:pPr>
        <w:pStyle w:val="Heading2"/>
      </w:pPr>
      <w:r>
        <w:t xml:space="preserve">4.7 Junction Nodes, Collapsed States, and Latent Allocation</w:t>
      </w:r>
    </w:p>
    <w:p>
      <w:pPr>
        <w:spacing w:after="160" w:line="300"/>
        <w:jc w:val="both"/>
      </w:pPr>
      <w:r>
        <w:t xml:space="preserve">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pPr>
        <w:spacing w:after="160" w:line="300"/>
        <w:jc w:val="both"/>
      </w:pPr>
      <w:r>
        <w:t xml:space="preserve">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pPr>
        <w:spacing w:after="160" w:line="300"/>
        <w:jc w:val="both"/>
      </w:pPr>
      <w:r>
        <w:t xml:space="preserve">The framework handles this through the collapsed state.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pPr>
        <w:spacing w:after="160" w:line="300"/>
        <w:jc w:val="both"/>
      </w:pPr>
      <w:r>
        <w:t xml:space="preserve">Collapse is triggered in two distinct circumstances. The first, already discussed in Section 4.4,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pPr>
        <w:spacing w:after="160" w:line="300"/>
        <w:jc w:val="both"/>
      </w:pPr>
      <w:r>
        <w:t xml:space="preserve">A distinct problem arises at junctions where flows split across multiple downstream routes. The Permian basin's production is known in aggregate; the individual pipelines leaving the Permian — Gray Oak, Cactus II, Midland-to-ECHO, Wink-to-Webster, Basin, and several smaller lines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pPr>
        <w:spacing w:after="160" w:line="300"/>
        <w:jc w:val="both"/>
      </w:pPr>
      <w:r>
        <w:t xml:space="preserve">This is the latent allocation problem.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setting for attention-based temporal graph models: the attention weights on the outbound edges from the Permian node, learned from historical co-movement of basin production and downstream terminal inflows, approximate the latent allocation. The forecasting application is the subject of future work, as discussed in Chapter 7; what matters here is that the schema accommodates the latent allocation naturally, through the same edge-variable mechanism that handles any other flow.</w:t>
      </w:r>
    </w:p>
    <w:p>
      <w:pPr>
        <w:spacing w:after="160" w:line="300"/>
        <w:jc w:val="both"/>
      </w:pPr>
      <w:r>
        <w:t xml:space="preserve">Framing the latent-allocation problem in the representational chapter, rather than only in a forecasting chapter, clarifies why the asset-centric graph is the right representation even when the edge-level flows cannot be directly observed. The graph structure encodes the set of physically possible flows; the observed data constrains the aggregate sums; and downstream models learn the distribution of flow across the possible routes. Without the asset-centric graph, there would be no structure over which attention could be applied, and the allocation would have to be handled outside the model through ad-hoc rules.</w:t>
      </w:r>
    </w:p>
    <w:p>
      <w:pPr>
        <w:spacing w:after="200" w:before="160" w:line="300"/>
        <w:jc w:val="center"/>
      </w:pPr>
      <w:r>
        <w:rPr>
          <w:i/>
          <w:iCs/>
          <w:sz w:val="20"/>
          <w:szCs w:val="20"/>
        </w:rPr>
        <w:t xml:space="preserve">Figure 4.3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pPr>
        <w:pStyle w:val="Heading2"/>
      </w:pPr>
      <w:r>
        <w:t xml:space="preserve">4.8 The Scenario Loader</w:t>
      </w:r>
    </w:p>
    <w:p>
      <w:pPr>
        <w:spacing w:after="160" w:line="300"/>
        <w:jc w:val="both"/>
      </w:pPr>
      <w:r>
        <w:t xml:space="preserve">The scenario loader is the concrete pipeline that applies the framework's invariants and emits the scenario graph. It has seven responsibilities, which are worth enumerating because they define the contract between the loader and the downstream models that consume its output.</w:t>
      </w:r>
    </w:p>
    <w:p>
      <w:pPr>
        <w:spacing w:after="160" w:line="300"/>
        <w:jc w:val="both"/>
      </w:pPr>
      <w:r>
        <w:t xml:space="preserve">First, the loader reads the assignment table. Each row specifies a source time series, its variable type (P, F_in, C, F_out, S, or an auxiliary feature), its commodity grade, its coverage descriptor (the geographic or temporal set the series represents), its resolution level, and the node to which it is assigned. The loader validates row-level consistency: that the resolution level of the series matches the resolution level of the target node, that the coverage descriptor is well-formed, and that the time range is within the scenario's study period.</w:t>
      </w:r>
    </w:p>
    <w:p>
      <w:pPr>
        <w:spacing w:after="160" w:line="300"/>
        <w:jc w:val="both"/>
      </w:pPr>
      <w:r>
        <w:t xml:space="preserve">Second, the loader walks each resolution hierarchy in the asset graph to enforce the observed/derived invariant. For each node-variable, it determines whether the node is authoritative (a time series is assigned directly), derived (the formula layer will compute it from authoritative descendants), auxiliary (a time series is assigned but the coverage contract places the authoritative level elsewhere), or null (no data available). If any node-variable would be simultaneously authoritative and derived — the violation the invariant forbids — the loader halts with an error message identifying the conflict.</w:t>
      </w:r>
    </w:p>
    <w:p>
      <w:pPr>
        <w:spacing w:after="160" w:line="300"/>
        <w:jc w:val="both"/>
      </w:pPr>
      <w:r>
        <w:t xml:space="preserve">Third, the loader applies the coverage contract. For each subsystem in the scenario, the contract names the authoritative level. The loader uses this to resolve cases where data is available at multiple levels, promoting administrative aggregates to authoritative status when necessary and collapsing the underlying physical nodes. It also applies the sibling-overlap check, verifying that assigned series at the same level have disjoint coverage descriptors.</w:t>
      </w:r>
    </w:p>
    <w:p>
      <w:pPr>
        <w:spacing w:after="160" w:line="300"/>
        <w:jc w:val="both"/>
      </w:pPr>
      <w:r>
        <w:t xml:space="preserve">Fourth, the loader re-originates flow edges where collapse requires it. If a junction node or a set of sub-nodes is collapsed, the outbound edges from those nodes are re-routed at load time to originate from the authoritative aggregate that replaces them. This ensures that the scenario graph's adjacency matrix remains well-defined and that the mass balance equations can be evaluated without gaps.</w:t>
      </w:r>
    </w:p>
    <w:p>
      <w:pPr>
        <w:spacing w:after="160" w:line="300"/>
        <w:jc w:val="both"/>
      </w:pPr>
      <w:r>
        <w:t xml:space="preserve">Fifth, the loader propagates formulas through the formula layer. Derived variables are computed from their authoritative ancestors or descendants according to the formula definitions attached to the hierarchy. The propagation is performed in topological order over the formula dependency graph, ensuring that each derived variable is computed only after its inputs are available.</w:t>
      </w:r>
    </w:p>
    <w:p>
      <w:pPr>
        <w:spacing w:after="160" w:line="300"/>
        <w:jc w:val="both"/>
      </w:pPr>
      <w:r>
        <w:t xml:space="preserve">Sixth, the loader runs the mass balance diagnostic at the authoritative level for each subsystem. For each authoritative node i at each time t, it evaluates the mass balance equation of Chapter 3 and computes the balancing item. Nodes where the balancing item exceeds a configurable threshold — typically five per cent of gross flows — are flagged as scenario-level warnings. A large balancing item is not necessarily an error; it may indicate a real operational event that was not reported in detail. But it is always a signal that deserves attention.</w:t>
      </w:r>
    </w:p>
    <w:p>
      <w:pPr>
        <w:spacing w:after="160" w:line="300"/>
        <w:jc w:val="both"/>
      </w:pPr>
      <w:r>
        <w:t xml:space="preserve">Seventh, the loader emits the scenario graph with provenance metadata attached to every variable instance. Provenance records the source of each observed value — the dataset, the release date, the resolution level — and for derived values, the formula and the inputs that produced them. The emitted scenario graph is immutable from that point forward; any change in the assignment table or the coverage contract produces a new scenario graph with its own provenance trail, rather than mutating the existing one.</w:t>
      </w:r>
    </w:p>
    <w:p>
      <w:pPr>
        <w:spacing w:after="160" w:line="300"/>
        <w:jc w:val="both"/>
      </w:pPr>
      <w:r>
        <w:t xml:space="preserve">The loader's behaviour is deterministic: given the same asset graph, the same assignment table, and the same coverage contract, it produces the same scenario graph. This determinism is a property of the framework, not an implementation detail: it is what makes downstream models' outputs reproducible and auditable. If a forecast made in one period is later found to have been wrong, the scenario graph on which it was made can be reconstructed exactly, the state of knowledge at that time can be audited, and the cause of the error can be located in the assignment table, the coverage contract, the formula layer, or the downstream model itself.</w:t>
      </w:r>
    </w:p>
    <w:p>
      <w:pPr>
        <w:pStyle w:val="Heading2"/>
      </w:pPr>
      <w:r>
        <w:t xml:space="preserve">4.9 Summary</w:t>
      </w:r>
    </w:p>
    <w:p>
      <w:pPr>
        <w:spacing w:after="160" w:line="300"/>
        <w:jc w:val="both"/>
      </w:pPr>
      <w:r>
        <w:t xml:space="preserve">The chapter has developed the scenario assembly machinery and the consistency invariants that make the asset-centric schema usable at production scale. The separation of persistent asset graph from scenario graph means that data upgrades never force structural changes. The distinction between geography metadata and resolution hierarchy clarifies two concepts that are easily confused. The observed/derived invariant makes aggregation double-counting structurally impossible rather than merely detectable. Coverage contracts allow administrative aggregates to be promoted to authoritative status when no finer data is available, and reverted when it is. The collapsed-state mechanism handles junction nodes whose variables cannot be distinguished at the current resolution. The scenario loader applies all of these as a deterministic pipeline that emits the scenario graph with provenance on every variable.</w:t>
      </w:r>
    </w:p>
    <w:p>
      <w:pPr>
        <w:spacing w:after="160" w:line="300"/>
        <w:jc w:val="both"/>
      </w:pPr>
      <w:r>
        <w:t xml:space="preserve">What remains is to validate the claims. Chapter 5 defines what each claim asserts, what evidence would support it, and what the validation experiments consist of. Chapter 6 presents the worked implementation case study for the United States crude-oil supply chain, on which the validation is conducted.</w:t>
      </w:r>
    </w:p>
    <w:p>
      <w:pPr>
        <w:pStyle w:val="Heading1"/>
        <w:pageBreakBefore/>
      </w:pPr>
      <w:r>
        <w:t xml:space="preserve">5. Validation Strategy and Results</w:t>
      </w:r>
    </w:p>
    <w:p>
      <w:pPr>
        <w:spacing w:after="160" w:line="300"/>
        <w:jc w:val="both"/>
      </w:pPr>
      <w:r>
        <w:t xml:space="preserve">This chapter defines the validation strategy for the framework developed in Chapters 3 and 4, and presents the results of applying that strategy to the worked prototype of Chapter 6. A representational framework is not validated by optimising a loss function against held-out data; the claims it makes are structural rather than predictive. Each claim asserts that the framework has a particular property — that a class of errors cannot arise, that a particular data-upgrade sequence works without structural changes, that a diagnostic captures a particular kind of signal. The validation strategy therefore consists of constructing the empirical scenarios that would test each claim, running them against the prototype implementation, and reporting the results.</w:t>
      </w:r>
    </w:p>
    <w:p>
      <w:pPr>
        <w:spacing w:after="160" w:line="300"/>
        <w:jc w:val="both"/>
      </w:pPr>
      <w:r>
        <w:t xml:space="preserve">[Skeleton section — to be completed following prototype implementation. The structure below enumerates the four validation claims and the experiments that test them.]</w:t>
      </w:r>
    </w:p>
    <w:p>
      <w:pPr>
        <w:pStyle w:val="Heading2"/>
      </w:pPr>
      <w:r>
        <w:t xml:space="preserve">5.1 Validation Claim One: Framework Consistency under Data-Granularity Upgrades</w:t>
      </w:r>
    </w:p>
    <w:p>
      <w:pPr>
        <w:spacing w:after="160" w:line="300"/>
        <w:jc w:val="both"/>
      </w:pPr>
      <w:r>
        <w:t xml:space="preserve">The first claim is that the framework absorbs data-granularity upgrades without requiring structural changes to the asset graph. The test consists of assembling the same scenario under three progressively finer coverage contracts, demonstrating that (a) the asset graph is identical across all three, (b) the scenario graphs differ only in which nodes are authoritative versus derived versus collapsed, (c) the mass balance closes at the authoritative level in all three cases, and (d) the PADD-level aggregate production total matches across all three, demonstrating that the geography rollup is well-defined regardless of the authoritative level chosen.</w:t>
      </w:r>
    </w:p>
    <w:p>
      <w:pPr>
        <w:spacing w:after="160" w:line="300"/>
        <w:jc w:val="both"/>
      </w:pPr>
      <w:r>
        <w:t xml:space="preserve">[To be completed: table of three coverage contracts, mass balance statistics, aggregate rollup comparison.]</w:t>
      </w:r>
    </w:p>
    <w:p>
      <w:pPr>
        <w:pStyle w:val="Heading2"/>
      </w:pPr>
      <w:r>
        <w:t xml:space="preserve">5.2 Validation Claim Two: The Observed/Derived Invariant Rejects Double-Counted Scenarios</w:t>
      </w:r>
    </w:p>
    <w:p>
      <w:pPr>
        <w:spacing w:after="160" w:line="300"/>
        <w:jc w:val="both"/>
      </w:pPr>
      <w:r>
        <w:t xml:space="preserve">The second claim is that the observed/derived invariant makes aggregation double-counting structurally impossible. The test consists of constructing deliberately malformed assignment tables — where the same time series or overlapping time series are assigned at both parent and child levels — and verifying that the scenario loader detects and rejects each case. The experiment also compares the behaviour of the present framework against a naive location-centric schema without the invariant, demonstrating that the naive schema silently accepts the double-counting and produces inflated production totals that a downstream model would treat as real.</w:t>
      </w:r>
    </w:p>
    <w:p>
      <w:pPr>
        <w:spacing w:after="160" w:line="300"/>
        <w:jc w:val="both"/>
      </w:pPr>
      <w:r>
        <w:t xml:space="preserve">[To be completed: enumeration of malformed scenarios, loader rejection results, comparison with naive schema behaviour.]</w:t>
      </w:r>
    </w:p>
    <w:p>
      <w:pPr>
        <w:pStyle w:val="Heading2"/>
      </w:pPr>
      <w:r>
        <w:t xml:space="preserve">5.3 Validation Claim Three: Collapse Handles Mixed-Resolution Data Without Loss of Mass-Balance Fidelity</w:t>
      </w:r>
    </w:p>
    <w:p>
      <w:pPr>
        <w:spacing w:after="160" w:line="300"/>
        <w:jc w:val="both"/>
      </w:pPr>
      <w:r>
        <w:t xml:space="preserve">The third claim is that the collapsed-state mechanism — for both junction nodes and administrative aggregates — preserves mass-balance fidelity even when parts of the system are represented at coarser resolution than others. The test consists of assembling a scenario where some basins are authoritative at basin level, others are collapsed under a PADD-level authoritative aggregate, and still others are promoted administrative aggregates, and verifying that the mass balance closes within the expected tolerance at each authoritative level simultaneously.</w:t>
      </w:r>
    </w:p>
    <w:p>
      <w:pPr>
        <w:spacing w:after="160" w:line="300"/>
        <w:jc w:val="both"/>
      </w:pPr>
      <w:r>
        <w:t xml:space="preserve">[To be completed: mixed-resolution scenario construction, mass balance results per authoritative node, comparison with a uniform-resolution scenario as benchmark.]</w:t>
      </w:r>
    </w:p>
    <w:p>
      <w:pPr>
        <w:pStyle w:val="Heading2"/>
      </w:pPr>
      <w:r>
        <w:t xml:space="preserve">5.4 Validation Claim Four: The Balancing Item Captures Operationally Meaningful Signal</w:t>
      </w:r>
    </w:p>
    <w:p>
      <w:pPr>
        <w:spacing w:after="160" w:line="300"/>
        <w:jc w:val="both"/>
      </w:pPr>
      <w:r>
        <w:t xml:space="preserve">The fourth claim is that the balancing item — the residual in the mass balance equation that absorbs reporting discrepancies — carries information beyond random noise. The test consists of examining the balancing item series at the PADD-level and national-level aggregates over the study period, and identifying whether large values coincide with known operational events: Hurricane Harvey in August 2017, the COVID-19 demand collapse in spring 2020, SPR emergency releases in 2022, and pipeline outages such as the Colonial Pipeline incident in May 2021. A framework claim about balancing-item predictability is not made here; the claim is more modest, that the balancing item is not noise, and that its deviations from zero correlate with real events.</w:t>
      </w:r>
    </w:p>
    <w:p>
      <w:pPr>
        <w:spacing w:after="160" w:line="300"/>
        <w:jc w:val="both"/>
      </w:pPr>
      <w:r>
        <w:t xml:space="preserve">[To be completed: balancing item time series, event overlay, correlation analysis, summary of which events appear in the balancing item signal.]</w:t>
      </w:r>
    </w:p>
    <w:p>
      <w:pPr>
        <w:pStyle w:val="Heading2"/>
      </w:pPr>
      <w:r>
        <w:t xml:space="preserve">5.5 Summary of Validation Results</w:t>
      </w:r>
    </w:p>
    <w:p>
      <w:pPr>
        <w:spacing w:after="160" w:line="300"/>
        <w:jc w:val="both"/>
      </w:pPr>
      <w:r>
        <w:t xml:space="preserve">[To be completed: overall assessment of framework claims, residual limitations uncovered during validation, implications for downstream use.]</w:t>
      </w:r>
    </w:p>
    <w:p>
      <w:pPr>
        <w:pStyle w:val="Heading1"/>
        <w:pageBreakBefore/>
      </w:pPr>
      <w:r>
        <w:t xml:space="preserve">6. Implementation Case Study: the U.S. Crude-Oil Supply Chain</w:t>
      </w:r>
    </w:p>
    <w:p>
      <w:pPr>
        <w:spacing w:after="160" w:line="300"/>
        <w:jc w:val="both"/>
      </w:pPr>
      <w:r>
        <w:t xml:space="preserve">This chapter presents the worked implementation of the framework on the United States crude-oil supply chain. The implementation serves two purposes: as the reference realisation of the framework, demonstrating that every construct defined in Chapters 3 and 4 can be built and operated, and as the empirical object on which the validation experiments of Chapter 5 are conducted.</w:t>
      </w:r>
    </w:p>
    <w:p>
      <w:pPr>
        <w:spacing w:after="160" w:line="300"/>
        <w:jc w:val="both"/>
      </w:pPr>
      <w:r>
        <w:t xml:space="preserve">[Skeleton section — to be completed following data ingestion and scenario-loader implementation. The structure below enumerates the chapter's sections and their intended content.]</w:t>
      </w:r>
    </w:p>
    <w:p>
      <w:pPr>
        <w:pStyle w:val="Heading2"/>
      </w:pPr>
      <w:r>
        <w:t xml:space="preserve">6.1 Scope and Data Sources</w:t>
      </w:r>
    </w:p>
    <w:p>
      <w:pPr>
        <w:spacing w:after="160" w:line="300"/>
        <w:jc w:val="both"/>
      </w:pPr>
      <w:r>
        <w:t xml:space="preserve">The case study covers the United States crude-oil supply chain from January 2015 through December 2025, at monthly frequency. The primary data source is the U.S. Energy Information Administration, accessed through the EIA Open Data API v2. Additional sources include the EIA annual refinery capacity report for refinery configuration attributes, the Oil and Gas Journal refinery survey for complementary configuration data, and public pipeline data from the EIA state-to-state crude-oil movements dataset.</w:t>
      </w:r>
    </w:p>
    <w:p>
      <w:pPr>
        <w:spacing w:after="160" w:line="300"/>
        <w:jc w:val="both"/>
      </w:pPr>
      <w:r>
        <w:t xml:space="preserve">[To be completed: table of specific EIA series used per variable per node class, with their EIA series identifiers, coverage descriptors, resolution levels, and release cadences.]</w:t>
      </w:r>
    </w:p>
    <w:p>
      <w:pPr>
        <w:pStyle w:val="Heading2"/>
      </w:pPr>
      <w:r>
        <w:t xml:space="preserve">6.2 The Asset Graph</w:t>
      </w:r>
    </w:p>
    <w:p>
      <w:pPr>
        <w:spacing w:after="160" w:line="300"/>
        <w:jc w:val="both"/>
      </w:pPr>
      <w:r>
        <w:t xml:space="preserve">The asset graph is constructed from the physical infrastructure of the United States crude-oil supply chain, covering production regions, named long-haul pipelines, storage hubs, refining centres, export terminals, and selected junction nodes. The graph contains approximately [to be completed: N] physical nodes and [to be completed: M] feasible edges, all defined in the persistent asset graph and available to scenario loaders regardless of data availability.</w:t>
      </w:r>
    </w:p>
    <w:p>
      <w:pPr>
        <w:pStyle w:val="Heading3"/>
      </w:pPr>
      <w:r>
        <w:t xml:space="preserve">6.2.1 Production Nodes</w:t>
      </w:r>
    </w:p>
    <w:p>
      <w:pPr>
        <w:spacing w:after="160" w:line="300"/>
        <w:jc w:val="both"/>
      </w:pPr>
      <w:r>
        <w:t xml:space="preserve">[To be completed: list of production nodes covering the seven named tight-oil basins (Permian, Bakken, Eagle Ford, Anadarko, Niobrara, Appalachia, Haynesville), federal offshore Gulf of America, Alaska North Slope, California conventional, and residual conventional by PADD; resolution hierarchy per production region.]</w:t>
      </w:r>
    </w:p>
    <w:p>
      <w:pPr>
        <w:pStyle w:val="Heading3"/>
      </w:pPr>
      <w:r>
        <w:t xml:space="preserve">6.2.2 Pipeline Nodes</w:t>
      </w:r>
    </w:p>
    <w:p>
      <w:pPr>
        <w:spacing w:after="160" w:line="300"/>
        <w:jc w:val="both"/>
      </w:pPr>
      <w:r>
        <w:t xml:space="preserve">[To be completed: list of named long-haul crude pipelines included in the asset graph, their capacities and routes, their line-fill estimates at steady-state, and their feasible connectivity to producers and hubs.]</w:t>
      </w:r>
    </w:p>
    <w:p>
      <w:pPr>
        <w:pStyle w:val="Heading3"/>
      </w:pPr>
      <w:r>
        <w:t xml:space="preserve">6.2.3 Storage and Hub Nodes</w:t>
      </w:r>
    </w:p>
    <w:p>
      <w:pPr>
        <w:spacing w:after="160" w:line="300"/>
        <w:jc w:val="both"/>
      </w:pPr>
      <w:r>
        <w:t xml:space="preserve">[To be completed: list of major storage hubs (Cushing, Patoka, St. James, Houston, Corpus Christi, Nederland, LOOP) with working-storage capacities, and the Strategic Petroleum Reserve as a separate node class.]</w:t>
      </w:r>
    </w:p>
    <w:p>
      <w:pPr>
        <w:pStyle w:val="Heading3"/>
      </w:pPr>
      <w:r>
        <w:t xml:space="preserve">6.2.4 Refinery Nodes</w:t>
      </w:r>
    </w:p>
    <w:p>
      <w:pPr>
        <w:spacing w:after="160" w:line="300"/>
        <w:jc w:val="both"/>
      </w:pPr>
      <w:r>
        <w:t xml:space="preserve">[To be completed: list of refining centres included, their aggregated configuration attributes from EIA and OGJ, Nelson Complexity Indices, and crude-quality tolerance ranges.]</w:t>
      </w:r>
    </w:p>
    <w:p>
      <w:pPr>
        <w:pStyle w:val="Heading3"/>
      </w:pPr>
      <w:r>
        <w:t xml:space="preserve">6.2.5 Export Terminal Nodes</w:t>
      </w:r>
    </w:p>
    <w:p>
      <w:pPr>
        <w:spacing w:after="160" w:line="300"/>
        <w:jc w:val="both"/>
      </w:pPr>
      <w:r>
        <w:t xml:space="preserve">[To be completed: Gulf Coast export terminals — Corpus Christi, Houston/Nederland, Louisiana Offshore Oil Port — with loading capacities and vessel-class compatibility.]</w:t>
      </w:r>
    </w:p>
    <w:p>
      <w:pPr>
        <w:pStyle w:val="Heading3"/>
      </w:pPr>
      <w:r>
        <w:t xml:space="preserve">6.2.6 Junction Nodes</w:t>
      </w:r>
    </w:p>
    <w:p>
      <w:pPr>
        <w:spacing w:after="160" w:line="300"/>
        <w:jc w:val="both"/>
      </w:pPr>
      <w:r>
        <w:t xml:space="preserve">[To be completed: selected physical junction points where pipelines connect, with their collapsed-state behaviour under basin-level coverage contracts.]</w:t>
      </w:r>
    </w:p>
    <w:p>
      <w:pPr>
        <w:pStyle w:val="Heading2"/>
      </w:pPr>
      <w:r>
        <w:t xml:space="preserve">6.3 The Assignment Table</w:t>
      </w:r>
    </w:p>
    <w:p>
      <w:pPr>
        <w:spacing w:after="160" w:line="300"/>
        <w:jc w:val="both"/>
      </w:pPr>
      <w:r>
        <w:t xml:space="preserve">[To be completed: description of the assignment table populated from EIA series, including row counts per variable type, resolution levels represented, and time ranges covered.]</w:t>
      </w:r>
    </w:p>
    <w:p>
      <w:pPr>
        <w:pStyle w:val="Heading2"/>
      </w:pPr>
      <w:r>
        <w:t xml:space="preserve">6.4 Coverage Contracts for the Study Period</w:t>
      </w:r>
    </w:p>
    <w:p>
      <w:pPr>
        <w:spacing w:after="160" w:line="300"/>
        <w:jc w:val="both"/>
      </w:pPr>
      <w:r>
        <w:t xml:space="preserve">[To be completed: description of the three coverage contracts used in the Chapter 5 validation experiments, including which nodes are authoritative, which are derived, and which are collapsed under each contract.]</w:t>
      </w:r>
    </w:p>
    <w:p>
      <w:pPr>
        <w:pStyle w:val="Heading2"/>
      </w:pPr>
      <w:r>
        <w:t xml:space="preserve">6.5 Scenario-Graph Generation</w:t>
      </w:r>
    </w:p>
    <w:p>
      <w:pPr>
        <w:spacing w:after="160" w:line="300"/>
        <w:jc w:val="both"/>
      </w:pPr>
      <w:r>
        <w:t xml:space="preserve">[To be completed: walkthrough of the scenario loader's execution on the United States crude-oil data, including summary statistics of the emitted scenario graphs (nodes, edges, observed variables, derived variables, balancing items), and sample provenance records.]</w:t>
      </w:r>
    </w:p>
    <w:p>
      <w:pPr>
        <w:pStyle w:val="Heading2"/>
      </w:pPr>
      <w:r>
        <w:t xml:space="preserve">6.6 Discussion</w:t>
      </w:r>
    </w:p>
    <w:p>
      <w:pPr>
        <w:spacing w:after="160" w:line="300"/>
        <w:jc w:val="both"/>
      </w:pPr>
      <w:r>
        <w:t xml:space="preserve">[To be completed: discussion of practical issues encountered, data-quality notes, implementation performance, and readiness of the prototype for downstream forecasting applications.]</w:t>
      </w:r>
    </w:p>
    <w:p>
      <w:pPr>
        <w:pStyle w:val="Heading1"/>
        <w:pageBreakBefore/>
      </w:pPr>
      <w:r>
        <w:t xml:space="preserve">7. Discussion, Limitations, and Future Work</w:t>
      </w:r>
    </w:p>
    <w:p>
      <w:pPr>
        <w:spacing w:after="160" w:line="300"/>
        <w:jc w:val="both"/>
      </w:pPr>
      <w:r>
        <w:t xml:space="preserve">This closing chapter reviews what the framework has and has not delivered, acknowledges the limitations of the approach, and sketches the directions for future work — both the immediate forecasting application that the framework is designed to support and the broader research questions the representational contribution opens up.</w:t>
      </w:r>
    </w:p>
    <w:p>
      <w:pPr>
        <w:spacing w:after="160" w:line="300"/>
        <w:jc w:val="both"/>
      </w:pPr>
      <w:r>
        <w:t xml:space="preserve">[Skeleton section — to be completed following the validation experiments of Chapter 5 and the case study of Chapter 6. The structure below enumerates the intended discussion.]</w:t>
      </w:r>
    </w:p>
    <w:p>
      <w:pPr>
        <w:pStyle w:val="Heading2"/>
      </w:pPr>
      <w:r>
        <w:t xml:space="preserve">7.1 Summary of Contributions</w:t>
      </w:r>
    </w:p>
    <w:p>
      <w:pPr>
        <w:spacing w:after="160" w:line="300"/>
        <w:jc w:val="both"/>
      </w:pPr>
      <w:r>
        <w:t xml:space="preserve">[To be completed: explicit statement of the three contributions — the asset-centric schema with zero-flow edges and the balancing-item mass balance, the scenario assembly machinery with the observed/derived invariant and coverage contracts, and the validated implementation on the United States crude-oil supply chain.]</w:t>
      </w:r>
    </w:p>
    <w:p>
      <w:pPr>
        <w:pStyle w:val="Heading2"/>
      </w:pPr>
      <w:r>
        <w:t xml:space="preserve">7.2 Limitations</w:t>
      </w:r>
    </w:p>
    <w:p>
      <w:pPr>
        <w:spacing w:after="160" w:line="300"/>
        <w:jc w:val="both"/>
      </w:pPr>
      <w:r>
        <w:t xml:space="preserve">[To be completed: honest assessment of what the framework does not address, including the bounded empirical scope (U.S. only, monthly frequency, crude as single grade), the dependence on public EIA data and its limitations, the treatment of vessel nodes as a schema capability not populated in the prototype, and the fact that the framework is validated on representational claims rather than predictive claims.]</w:t>
      </w:r>
    </w:p>
    <w:p>
      <w:pPr>
        <w:pStyle w:val="Heading2"/>
      </w:pPr>
      <w:r>
        <w:t xml:space="preserve">7.3 Future Work: Forecasting on Scenario Graphs</w:t>
      </w:r>
    </w:p>
    <w:p>
      <w:pPr>
        <w:spacing w:after="160" w:line="300"/>
        <w:jc w:val="both"/>
      </w:pPr>
      <w:r>
        <w:t xml:space="preserve">The natural extension of this work is to apply the temporal graph neural network methods surveyed in Chapter 2 to scenario graphs emitted by the framework. The forecasting application was explicitly deferred from the scope of this thesis, but its outline is clear enough to describe at a conceptual level.</w:t>
      </w:r>
    </w:p>
    <w:p>
      <w:pPr>
        <w:spacing w:after="160" w:line="300"/>
        <w:jc w:val="both"/>
      </w:pPr>
      <w:r>
        <w:t xml:space="preserve">The target is the per-node inventory trajectory over a forecast horizon of one to twelve months, with a mean-reversion objective in which the target level for each storage node is its historical average over the training period. The candidate model architectures are the hybrid spatio-temporal models identified in the literature — DCRNN (Li et al., 2018), STGCN (Yu et al., 2018), and a temporal graph network variant (Rossi et al., 2020) — each operating on the sequence of snapshot scenario graphs emitted by the loader.</w:t>
      </w:r>
    </w:p>
    <w:p>
      <w:pPr>
        <w:spacing w:after="160" w:line="300"/>
        <w:jc w:val="both"/>
      </w:pPr>
      <w:r>
        <w:t xml:space="preserve">The latent allocation problem at junction nodes, discussed in Chapter 4, is a natural target for attention-based models. The attention weights on the outbound edges from each junction, learned from historical co-movement of upstream production and downstream terminal receipts, approximate the allocation split across parallel downstream routes.</w:t>
      </w:r>
    </w:p>
    <w:p>
      <w:pPr>
        <w:spacing w:after="160" w:line="300"/>
        <w:jc w:val="both"/>
      </w:pPr>
      <w:r>
        <w:t xml:space="preserve">Three components of the framework are directly relevant to forecasting: the balancing item as a candidate forecasting target or regularisation signal; the configuration features on refinery nodes as inputs that support reasoning about feedstock transitions; and the mass balance constraint at the authoritative level as a regularisation that can be enforced in the loss function. These are practical features that a forecasting extension inherits for free.</w:t>
      </w:r>
    </w:p>
    <w:p>
      <w:pPr>
        <w:pStyle w:val="Heading2"/>
      </w:pPr>
      <w:r>
        <w:t xml:space="preserve">7.4 Future Work: Grade-Differentiated Scenarios</w:t>
      </w:r>
    </w:p>
    <w:p>
      <w:pPr>
        <w:spacing w:after="160" w:line="300"/>
        <w:jc w:val="both"/>
      </w:pPr>
      <w:r>
        <w:t xml:space="preserve">[To be completed: extension to multi-grade scenarios, where crude is differentiated by light sweet, medium sour, and heavy sour, and refineries' consumption is constrained by their crude-quality tolerance envelopes.]</w:t>
      </w:r>
    </w:p>
    <w:p>
      <w:pPr>
        <w:pStyle w:val="Heading2"/>
      </w:pPr>
      <w:r>
        <w:t xml:space="preserve">7.5 Future Work: Maritime Vessels as First-Class Nodes</w:t>
      </w:r>
    </w:p>
    <w:p>
      <w:pPr>
        <w:spacing w:after="160" w:line="300"/>
        <w:jc w:val="both"/>
      </w:pPr>
      <w:r>
        <w:t xml:space="preserve">[To be completed: extension to vessel nodes populated from AIS data, with cargo inventory tracked through voyage phases, and shipping lane edges with transit-time distributions.]</w:t>
      </w:r>
    </w:p>
    <w:p>
      <w:pPr>
        <w:pStyle w:val="Heading2"/>
      </w:pPr>
      <w:r>
        <w:t xml:space="preserve">7.6 Future Work: Application at Production Scale</w:t>
      </w:r>
    </w:p>
    <w:p>
      <w:pPr>
        <w:spacing w:after="160" w:line="300"/>
        <w:jc w:val="both"/>
      </w:pPr>
      <w:r>
        <w:t xml:space="preserve">[To be completed: discussion of how the framework would be deployed in a trading or analytical setting, including the integration with commercial data providers such as Genscape, Kayrros, and others; the role of provenance in regulatory auditing; and the extension to other commodities beyond crude oil.]</w:t>
      </w:r>
    </w:p>
    <w:p>
      <w:pPr>
        <w:pStyle w:val="Heading2"/>
      </w:pPr>
      <w:r>
        <w:t xml:space="preserve">7.7 Closing Remarks</w:t>
      </w:r>
    </w:p>
    <w:p>
      <w:pPr>
        <w:spacing w:after="160" w:line="300"/>
        <w:jc w:val="both"/>
      </w:pPr>
      <w:r>
        <w:t xml:space="preserve">[To be completed: short closing reflection on what building this framework has clarified about the relationship between data, representation, and models in commodity logistics.]</w:t>
      </w:r>
    </w:p>
    <w:p>
      <w:pPr>
        <w:pStyle w:val="Heading1"/>
        <w:pageBreakBefore/>
      </w:pPr>
      <w:r>
        <w:t xml:space="preserve">References</w:t>
      </w:r>
    </w:p>
    <w:p>
      <w:pPr>
        <w:spacing w:after="160" w:line="300"/>
        <w:jc w:val="both"/>
      </w:pPr>
      <w:r>
        <w:rPr>
          <w:sz w:val="20"/>
          <w:szCs w:val="20"/>
        </w:rPr>
        <w:t xml:space="preserve">Ahn, H., Song, Y. C., Olivar, S., Luo, S., and Ceballos, H. (2024). GNN-based Probabilistic Supply and Inventory Predictions in Supply Chain Networks. arXiv preprint arXiv:2404.07523.</w:t>
      </w:r>
    </w:p>
    <w:p>
      <w:pPr>
        <w:spacing w:after="160" w:line="300"/>
        <w:jc w:val="both"/>
      </w:pPr>
      <w:r>
        <w:rPr>
          <w:sz w:val="20"/>
          <w:szCs w:val="20"/>
        </w:rPr>
        <w:t xml:space="preserve">Alves, J. C. and Mateus, G. R. (2020). Deep Reinforcement Learning and Optimization Approach for Multi-Echelon Supply Chain with Uncertain Demands. In International Conference on Computational Logistics, pp. 584–599. Springer.</w:t>
      </w:r>
    </w:p>
    <w:p>
      <w:pPr>
        <w:spacing w:after="160" w:line="300"/>
        <w:jc w:val="both"/>
      </w:pPr>
      <w:r>
        <w:rPr>
          <w:sz w:val="20"/>
          <w:szCs w:val="20"/>
        </w:rPr>
        <w:t xml:space="preserve">Box, G. E. P., Jenkins, G. M., Reinsel, G. C., and Ljung, G. M. (2015). Time Series Analysis: Forecasting and Control. 5th ed. Wiley.</w:t>
      </w:r>
    </w:p>
    <w:p>
      <w:pPr>
        <w:spacing w:after="160" w:line="300"/>
        <w:jc w:val="both"/>
      </w:pPr>
      <w:r>
        <w:rPr>
          <w:sz w:val="20"/>
          <w:szCs w:val="20"/>
        </w:rPr>
        <w:t xml:space="preserve">Dixit, A. K. and Pindyck, R. S. (1994). Investment Under Uncertainty. Princeton University Press.</w:t>
      </w:r>
    </w:p>
    <w:p>
      <w:pPr>
        <w:spacing w:after="160" w:line="300"/>
        <w:jc w:val="both"/>
      </w:pPr>
      <w:r>
        <w:rPr>
          <w:sz w:val="20"/>
          <w:szCs w:val="20"/>
        </w:rPr>
        <w:t xml:space="preserve">Dong, T. and Samonte, M. J. C. (2024). Optimization and Benefit Assessment of Production Supply Chain Networks Using Graph Neural Network Models. Journal of Computing and Information Technology, 32(1), pp. 15–31.</w:t>
      </w:r>
    </w:p>
    <w:p>
      <w:pPr>
        <w:spacing w:after="160" w:line="300"/>
        <w:jc w:val="both"/>
      </w:pPr>
      <w:r>
        <w:rPr>
          <w:sz w:val="20"/>
          <w:szCs w:val="20"/>
        </w:rPr>
        <w:t xml:space="preserve">Fattouh, B. (2011). An Anatomy of the Crude Oil Pricing System. Oxford Institute for Energy Studies, WPM 40. Oxford: University of Oxford.</w:t>
      </w:r>
    </w:p>
    <w:p>
      <w:pPr>
        <w:spacing w:after="160" w:line="300"/>
        <w:jc w:val="both"/>
      </w:pPr>
      <w:r>
        <w:rPr>
          <w:sz w:val="20"/>
          <w:szCs w:val="20"/>
        </w:rPr>
        <w:t xml:space="preserve">Fernandes, L. J., Relvas, S., and Barbosa-Póvoa, A. P. (2013). Strategic Network Design of Downstream Petroleum Supply Chains: Single versus Multi-Entity Participation. Chemical Engineering Research and Design, 91(9), pp. 1557–1587.</w:t>
      </w:r>
    </w:p>
    <w:p>
      <w:pPr>
        <w:spacing w:after="160" w:line="300"/>
        <w:jc w:val="both"/>
      </w:pPr>
      <w:r>
        <w:rPr>
          <w:sz w:val="20"/>
          <w:szCs w:val="20"/>
        </w:rPr>
        <w:t xml:space="preserve">Ghaithan, A. M., Attia, A., and Duffuaa, S. O. (2017). Multi-Objective Optimization Model for a Downstream Oil and Gas Supply Chain. Applied Mathematical Modelling, 52, pp. 689–708.</w:t>
      </w:r>
    </w:p>
    <w:p>
      <w:pPr>
        <w:spacing w:after="160" w:line="300"/>
        <w:jc w:val="both"/>
      </w:pPr>
      <w:r>
        <w:rPr>
          <w:sz w:val="20"/>
          <w:szCs w:val="20"/>
        </w:rPr>
        <w:t xml:space="preserve">Gilmer, J., Schoenholz, S. S., Riley, P. F., Vinyals, O., and Dahl, G. E. (2017). Neural Message Passing for Quantum Chemistry. Proceedings of the 34th International Conference on Machine Learning (ICML).</w:t>
      </w:r>
    </w:p>
    <w:p>
      <w:pPr>
        <w:spacing w:after="160" w:line="300"/>
        <w:jc w:val="both"/>
      </w:pPr>
      <w:r>
        <w:rPr>
          <w:sz w:val="20"/>
          <w:szCs w:val="20"/>
        </w:rPr>
        <w:t xml:space="preserve">Geman, H. (2005). Commodities and Commodity Derivatives: Modelling and Pricing for Agriculturals, Metals and Energy. Wiley.</w:t>
      </w:r>
    </w:p>
    <w:p>
      <w:pPr>
        <w:spacing w:after="160" w:line="300"/>
        <w:jc w:val="both"/>
      </w:pPr>
      <w:r>
        <w:rPr>
          <w:sz w:val="20"/>
          <w:szCs w:val="20"/>
        </w:rPr>
        <w:t xml:space="preserve">Grover, A. and Leskovec, J. (2016). node2vec: Scalable Feature Learning for Networks. Proceedings of the 22nd ACM SIGKDD International Conference on Knowledge Discovery and Data Mining, pp. 855–864.</w:t>
      </w:r>
    </w:p>
    <w:p>
      <w:pPr>
        <w:spacing w:after="160" w:line="300"/>
        <w:jc w:val="both"/>
      </w:pPr>
      <w:r>
        <w:rPr>
          <w:sz w:val="20"/>
          <w:szCs w:val="20"/>
        </w:rPr>
        <w:t xml:space="preserve">Hamilton, J. D. (1994). Time Series Analysis. Princeton University Press.</w:t>
      </w:r>
    </w:p>
    <w:p>
      <w:pPr>
        <w:spacing w:after="160" w:line="300"/>
        <w:jc w:val="both"/>
      </w:pPr>
      <w:r>
        <w:rPr>
          <w:sz w:val="20"/>
          <w:szCs w:val="20"/>
        </w:rPr>
        <w:t xml:space="preserve">Hamilton, W. L., Ying, Z., and Leskovec, J. (2017). Inductive Representation Learning on Large Graphs. Advances in Neural Information Processing Systems (NeurIPS), 30.</w:t>
      </w:r>
    </w:p>
    <w:p>
      <w:pPr>
        <w:spacing w:after="160" w:line="300"/>
        <w:jc w:val="both"/>
      </w:pPr>
      <w:r>
        <w:rPr>
          <w:sz w:val="20"/>
          <w:szCs w:val="20"/>
        </w:rPr>
        <w:t xml:space="preserve">Jin, M., Koh, H. Y., Wen, Q., Zambon, D., Alippi, C., Webb, G. I., King, I., and Pan, S. (2024). A Survey on Graph Neural Networks for Time Series: Forecasting, Classification, Imputation, and Anomaly Detection. IEEE Transactions on Pattern Analysis and Machine Intelligence.</w:t>
      </w:r>
    </w:p>
    <w:p>
      <w:pPr>
        <w:spacing w:after="160" w:line="300"/>
        <w:jc w:val="both"/>
      </w:pPr>
      <w:r>
        <w:rPr>
          <w:sz w:val="20"/>
          <w:szCs w:val="20"/>
        </w:rPr>
        <w:t xml:space="preserve">Kazemi, Y. and Szmerekovsky, J. (2015). Modeling Downstream Petroleum Supply Chain: The Importance of Multi-Mode Transportation to Strategic Planning. Transportation Research Part E: Logistics and Transportation Review, 83, pp. 111–125.</w:t>
      </w:r>
    </w:p>
    <w:p>
      <w:pPr>
        <w:spacing w:after="160" w:line="300"/>
        <w:jc w:val="both"/>
      </w:pPr>
      <w:r>
        <w:rPr>
          <w:sz w:val="20"/>
          <w:szCs w:val="20"/>
        </w:rPr>
        <w:t xml:space="preserve">Kilian, L. and Murphy, D. P. (2014). The Role of Inventories and Speculative Trading in the Global Market for Crude Oil. Journal of Applied Econometrics, 29(3), pp. 454–478.</w:t>
      </w:r>
    </w:p>
    <w:p>
      <w:pPr>
        <w:spacing w:after="160" w:line="300"/>
        <w:jc w:val="both"/>
      </w:pPr>
      <w:r>
        <w:rPr>
          <w:sz w:val="20"/>
          <w:szCs w:val="20"/>
        </w:rPr>
        <w:t xml:space="preserve">Kipf, T. N. and Welling, M. (2017). Semi-Supervised Classification with Graph Convolutional Networks. Proceedings of the 5th International Conference on Learning Representations (ICLR).</w:t>
      </w:r>
    </w:p>
    <w:p>
      <w:pPr>
        <w:spacing w:after="160" w:line="300"/>
        <w:jc w:val="both"/>
      </w:pPr>
      <w:r>
        <w:rPr>
          <w:sz w:val="20"/>
          <w:szCs w:val="20"/>
        </w:rPr>
        <w:t xml:space="preserve">Kosasih, E. E. and Brintrup, A. (2022). A Machine Learning Approach for Predicting Hidden Links in Supply Chain with Graph Neural Networks. International Journal of Production Research, 60(17), pp. 5380–5393.</w:t>
      </w:r>
    </w:p>
    <w:p>
      <w:pPr>
        <w:spacing w:after="160" w:line="300"/>
        <w:jc w:val="both"/>
      </w:pPr>
      <w:r>
        <w:rPr>
          <w:sz w:val="20"/>
          <w:szCs w:val="20"/>
        </w:rPr>
        <w:t xml:space="preserve">Li, Y., Yu, R., Shahabi, C., and Liu, Y. (2018). Diffusion Convolutional Recurrent Neural Network: Data-Driven Traffic Forecasting. Proceedings of the 6th International Conference on Learning Representations (ICLR).</w:t>
      </w:r>
    </w:p>
    <w:p>
      <w:pPr>
        <w:spacing w:after="160" w:line="300"/>
        <w:jc w:val="both"/>
      </w:pPr>
      <w:r>
        <w:rPr>
          <w:sz w:val="20"/>
          <w:szCs w:val="20"/>
        </w:rPr>
        <w:t xml:space="preserve">Lima, C., Relvas, S., and Barbosa-Póvoa, A. P. (2016). Downstream Oil Supply Chain Management: A Critical Review and Future Directions. Computers and Chemical Engineering, 92, pp. 78–92.</w:t>
      </w:r>
    </w:p>
    <w:p>
      <w:pPr>
        <w:spacing w:after="160" w:line="300"/>
        <w:jc w:val="both"/>
      </w:pPr>
      <w:r>
        <w:rPr>
          <w:sz w:val="20"/>
          <w:szCs w:val="20"/>
        </w:rPr>
        <w:t xml:space="preserve">Pareja, A., Domeniconi, G., Chen, J., Ma, T., Suzumura, T., Kanezashi, H., Kaler, T., Schardl, T., and Leiserson, C. (2020). EvolveGCN: Evolving Graph Convolutional Networks for Dynamic Graphs. Proceedings of the AAAI Conference on Artificial Intelligence, 34(04), pp. 5363–5370.</w:t>
      </w:r>
    </w:p>
    <w:p>
      <w:pPr>
        <w:spacing w:after="160" w:line="300"/>
        <w:jc w:val="both"/>
      </w:pPr>
      <w:r>
        <w:rPr>
          <w:sz w:val="20"/>
          <w:szCs w:val="20"/>
        </w:rPr>
        <w:t xml:space="preserve">Perozzi, B., Al-Rfou, R., and Skiena, S. (2014). DeepWalk: Online Learning of Social Representations. Proceedings of the 20th ACM SIGKDD International Conference on Knowledge Discovery and Data Mining, pp. 701–710.</w:t>
      </w:r>
    </w:p>
    <w:p>
      <w:pPr>
        <w:spacing w:after="160" w:line="300"/>
        <w:jc w:val="both"/>
      </w:pPr>
      <w:r>
        <w:rPr>
          <w:sz w:val="20"/>
          <w:szCs w:val="20"/>
        </w:rPr>
        <w:t xml:space="preserve">Ribas, G. P., Hamacher, S., and Street, A. (2010). Optimization Under Uncertainty of the Integrated Oil Supply Chain Using Stochastic and Robust Programming. International Transactions in Operational Research, 17(6), pp. 777–796.</w:t>
      </w:r>
    </w:p>
    <w:p>
      <w:pPr>
        <w:spacing w:after="160" w:line="300"/>
        <w:jc w:val="both"/>
      </w:pPr>
      <w:r>
        <w:rPr>
          <w:sz w:val="20"/>
          <w:szCs w:val="20"/>
        </w:rPr>
        <w:t xml:space="preserve">Rossi, E., Chamberlain, B., Frasca, F., Eynard, D., Bronstein, M., and Monti, F. (2020). Temporal Graph Networks for Deep Learning on Dynamic Graphs. ICML 2020 Workshop on Graph Representation Learning.</w:t>
      </w:r>
    </w:p>
    <w:p>
      <w:pPr>
        <w:spacing w:after="160" w:line="300"/>
        <w:jc w:val="both"/>
      </w:pPr>
      <w:r>
        <w:rPr>
          <w:sz w:val="20"/>
          <w:szCs w:val="20"/>
        </w:rPr>
        <w:t xml:space="preserve">Schwartz, E. S. (1997). The Stochastic Behavior of Commodity Prices: Implications for Valuation and Hedging. The Journal of Finance, 52(3), pp. 923–973.</w:t>
      </w:r>
    </w:p>
    <w:p>
      <w:pPr>
        <w:spacing w:after="160" w:line="300"/>
        <w:jc w:val="both"/>
      </w:pPr>
      <w:r>
        <w:rPr>
          <w:sz w:val="20"/>
          <w:szCs w:val="20"/>
        </w:rPr>
        <w:t xml:space="preserve">Stopford, M. (2009). Maritime Economics. 3rd ed. London: Routledge.</w:t>
      </w:r>
    </w:p>
    <w:p>
      <w:pPr>
        <w:spacing w:after="160" w:line="300"/>
        <w:jc w:val="both"/>
      </w:pPr>
      <w:r>
        <w:rPr>
          <w:sz w:val="20"/>
          <w:szCs w:val="20"/>
        </w:rPr>
        <w:t xml:space="preserve">Tang, J., Qu, M., Wang, M., Zhang, M., Yan, J., and Mei, Q. (2015). LINE: Large-Scale Information Network Embedding. Proceedings of the 24th International Conference on World Wide Web (WWW), pp. 1067–1077.</w:t>
      </w:r>
    </w:p>
    <w:p>
      <w:pPr>
        <w:spacing w:after="160" w:line="300"/>
        <w:jc w:val="both"/>
      </w:pPr>
      <w:r>
        <w:rPr>
          <w:sz w:val="20"/>
          <w:szCs w:val="20"/>
        </w:rPr>
        <w:t xml:space="preserve">Uhlenbeck, G. E. and Ornstein, L. S. (1930). On the Theory of the Brownian Motion. Physical Review, 36(5), pp. 823–841.</w:t>
      </w:r>
    </w:p>
    <w:p>
      <w:pPr>
        <w:spacing w:after="160" w:line="300"/>
        <w:jc w:val="both"/>
      </w:pPr>
      <w:r>
        <w:rPr>
          <w:sz w:val="20"/>
          <w:szCs w:val="20"/>
        </w:rPr>
        <w:t xml:space="preserve">Vasicek, O. (1977). An Equilibrium Characterization of the Term Structure. Journal of Financial Economics, 5(2), pp. 177–188.</w:t>
      </w:r>
    </w:p>
    <w:p>
      <w:pPr>
        <w:spacing w:after="160" w:line="300"/>
        <w:jc w:val="both"/>
      </w:pPr>
      <w:r>
        <w:rPr>
          <w:sz w:val="20"/>
          <w:szCs w:val="20"/>
        </w:rPr>
        <w:t xml:space="preserve">Veličković, P., Cucurull, G., Casanova, A., Romero, A., Liò, P., and Bengio, Y. (2018). Graph Attention Networks. Proceedings of the 6th International Conference on Learning Representations (ICLR).</w:t>
      </w:r>
    </w:p>
    <w:p>
      <w:pPr>
        <w:spacing w:after="160" w:line="300"/>
        <w:jc w:val="both"/>
      </w:pPr>
      <w:r>
        <w:rPr>
          <w:sz w:val="20"/>
          <w:szCs w:val="20"/>
        </w:rPr>
        <w:t xml:space="preserve">Wang, Y., Chang, Y., Li, Y., and Tan, K.-L. (2021). Inductive Representation Learning in Temporal Networks via Causal Anonymous Walks. Proceedings of the 9th International Conference on Learning Representations (ICLR).</w:t>
      </w:r>
    </w:p>
    <w:p>
      <w:pPr>
        <w:spacing w:after="160" w:line="300"/>
        <w:jc w:val="both"/>
      </w:pPr>
      <w:r>
        <w:rPr>
          <w:sz w:val="20"/>
          <w:szCs w:val="20"/>
        </w:rPr>
        <w:t xml:space="preserve">Wasi, A. T., Islam, S. R., Karim, R., and Brintrup, A. (2024). SupplyGraph: A Benchmark Dataset for Supply Chain Planning using Graph Neural Networks. arXiv preprint arXiv:2401.15299.</w:t>
      </w:r>
    </w:p>
    <w:p>
      <w:pPr>
        <w:spacing w:after="160" w:line="300"/>
        <w:jc w:val="both"/>
      </w:pPr>
      <w:r>
        <w:rPr>
          <w:sz w:val="20"/>
          <w:szCs w:val="20"/>
        </w:rPr>
        <w:t xml:space="preserve">Wu, Z., Pan, S., Chen, F., Long, G., Zhang, C., and Yu, P. S. (2020). A Comprehensive Survey on Graph Neural Networks. IEEE Transactions on Neural Networks and Learning Systems, 32(1), pp. 4–24.</w:t>
      </w:r>
    </w:p>
    <w:p>
      <w:pPr>
        <w:spacing w:after="160" w:line="300"/>
        <w:jc w:val="both"/>
      </w:pPr>
      <w:r>
        <w:rPr>
          <w:sz w:val="20"/>
          <w:szCs w:val="20"/>
        </w:rPr>
        <w:t xml:space="preserve">Xu, D., Rong, Y., Huang, J., Zhu, W., and Leskovec, J. (2020). Inductive Representation Learning on Temporal Graphs. Proceedings of the 8th International Conference on Learning Representations (ICLR).</w:t>
      </w:r>
    </w:p>
    <w:p>
      <w:pPr>
        <w:spacing w:after="160" w:line="300"/>
        <w:jc w:val="both"/>
      </w:pPr>
      <w:r>
        <w:rPr>
          <w:sz w:val="20"/>
          <w:szCs w:val="20"/>
        </w:rPr>
        <w:t xml:space="preserve">Yu, B., Yin, H., and Zhu, Z. (2018). Spatio-Temporal Graph Convolutional Networks: A Deep Learning Framework for Traffic Forecasting. Proceedings of the 27th International Joint Conference on Artificial Intelligence (IJCAI), pp. 3634–3640.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Asset-Centric Temporal Graphs for Crude-Oil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Calibri" w:cs="Calibri" w:eastAsia="Calibri" w:hAnsi="Calibri"/>
      <w:b/>
      <w:bCs/>
      <w:sz w:val="44"/>
      <w:szCs w:val="44"/>
    </w:rPr>
  </w:style>
  <w:style w:type="paragraph" w:styleId="Subtitle">
    <w:name w:val="Subtitle"/>
    <w:basedOn w:val="Normal"/>
    <w:next w:val="Normal"/>
    <w:qFormat/>
    <w:pPr>
      <w:spacing w:after="240" w:before="120"/>
      <w:jc w:val="center"/>
    </w:pPr>
    <w:rPr>
      <w:rFonts w:ascii="Calibri" w:cs="Calibri" w:eastAsia="Calibri" w:hAnsi="Calibri"/>
      <w:i/>
      <w:iCs/>
      <w:sz w:val="28"/>
      <w:szCs w:val="28"/>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Crude-Oil Logistics</dc:title>
  <dc:creator>Pedro Porfirio</dc:creator>
  <dc:description>Master Thesis, NOVA Information Management School</dc:description>
  <cp:lastModifiedBy>Un-named</cp:lastModifiedBy>
  <cp:revision>1</cp:revision>
  <dcterms:created xsi:type="dcterms:W3CDTF">2026-04-24T10:36:06.106Z</dcterms:created>
  <dcterms:modified xsi:type="dcterms:W3CDTF">2026-04-24T10:36:06.107Z</dcterms:modified>
</cp:coreProperties>
</file>

<file path=docProps/custom.xml><?xml version="1.0" encoding="utf-8"?>
<Properties xmlns="http://schemas.openxmlformats.org/officeDocument/2006/custom-properties" xmlns:vt="http://schemas.openxmlformats.org/officeDocument/2006/docPropsVTypes"/>
</file>