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4A9F"/>
        </w:rPr>
        <w:t>BUREAU VERITAS</w:t>
      </w:r>
    </w:p>
    <w:p>
      <w:pPr>
        <w:jc w:val="center"/>
      </w:pPr>
      <w:r>
        <w:rPr>
          <w:i/>
          <w:sz w:val="20"/>
        </w:rPr>
        <w:t>Rapport de mission d'inspection — Confidentiel</w:t>
      </w:r>
    </w:p>
    <w:p/>
    <w:p>
      <w:pPr>
        <w:pStyle w:val="Heading1"/>
        <w:jc w:val="center"/>
      </w:pPr>
      <w:r>
        <w:rPr>
          <w:color w:val="1A1A1A"/>
        </w:rPr>
        <w:t>COMPTE-RENDU D'INSPECTION</w:t>
      </w:r>
    </w:p>
    <w:p/>
    <w:tbl>
      <w:tblPr>
        <w:tblStyle w:val="TableGrid"/>
        <w:tblW w:type="auto" w:w="0"/>
        <w:tblLook w:firstColumn="1" w:firstRow="1" w:lastColumn="0" w:lastRow="0" w:noHBand="0" w:noVBand="1" w:val="04A0"/>
      </w:tblPr>
      <w:tblGrid>
        <w:gridCol w:w="4703"/>
        <w:gridCol w:w="4703"/>
      </w:tblGrid>
      <w:tr>
        <w:tc>
          <w:tcPr>
            <w:tcW w:type="dxa" w:w="4703"/>
          </w:tcPr>
          <w:p>
            <w:r>
              <w:rPr>
                <w:b/>
                <w:sz w:val="18"/>
              </w:rPr>
              <w:t>Champ</w:t>
            </w:r>
          </w:p>
        </w:tc>
        <w:tc>
          <w:tcPr>
            <w:tcW w:type="dxa" w:w="4703"/>
          </w:tcPr>
          <w:p>
            <w:r>
              <w:rPr>
                <w:b/>
                <w:sz w:val="18"/>
              </w:rPr>
              <w:t>Valeur</w:t>
            </w:r>
          </w:p>
        </w:tc>
      </w:tr>
      <w:tr>
        <w:tc>
          <w:tcPr>
            <w:tcW w:type="dxa" w:w="4703"/>
          </w:tcPr>
          <w:p>
            <w:r>
              <w:rPr>
                <w:b/>
                <w:sz w:val="18"/>
              </w:rPr>
              <w:t>Client</w:t>
            </w:r>
          </w:p>
        </w:tc>
        <w:tc>
          <w:tcPr>
            <w:tcW w:type="dxa" w:w="4703"/>
          </w:tcPr>
          <w:p>
            <w:r>
              <w:rPr>
                <w:sz w:val="18"/>
              </w:rPr>
              <w:t>RATP — Direction de l'Ingénierie</w:t>
            </w:r>
          </w:p>
        </w:tc>
      </w:tr>
      <w:tr>
        <w:tc>
          <w:tcPr>
            <w:tcW w:type="dxa" w:w="4703"/>
          </w:tcPr>
          <w:p>
            <w:r>
              <w:rPr>
                <w:b/>
                <w:sz w:val="18"/>
              </w:rPr>
              <w:t>Site audité</w:t>
            </w:r>
          </w:p>
        </w:tc>
        <w:tc>
          <w:tcPr>
            <w:tcW w:type="dxa" w:w="4703"/>
          </w:tcPr>
          <w:p>
            <w:r>
              <w:rPr>
                <w:sz w:val="18"/>
              </w:rPr>
              <w:t>Atelier de Sucy-en-Brie (SUC)</w:t>
            </w:r>
          </w:p>
        </w:tc>
      </w:tr>
      <w:tr>
        <w:tc>
          <w:tcPr>
            <w:tcW w:type="dxa" w:w="4703"/>
          </w:tcPr>
          <w:p>
            <w:r>
              <w:rPr>
                <w:b/>
                <w:sz w:val="18"/>
              </w:rPr>
              <w:t>Référentiel</w:t>
            </w:r>
          </w:p>
        </w:tc>
        <w:tc>
          <w:tcPr>
            <w:tcW w:type="dxa" w:w="4703"/>
          </w:tcPr>
          <w:p>
            <w:r>
              <w:rPr>
                <w:sz w:val="18"/>
              </w:rPr>
              <w:t>ISO 9001:2015</w:t>
            </w:r>
          </w:p>
        </w:tc>
      </w:tr>
      <w:tr>
        <w:tc>
          <w:tcPr>
            <w:tcW w:type="dxa" w:w="4703"/>
          </w:tcPr>
          <w:p>
            <w:r>
              <w:rPr>
                <w:b/>
                <w:sz w:val="18"/>
              </w:rPr>
              <w:t>Date de visite</w:t>
            </w:r>
          </w:p>
        </w:tc>
        <w:tc>
          <w:tcPr>
            <w:tcW w:type="dxa" w:w="4703"/>
          </w:tcPr>
          <w:p>
            <w:r>
              <w:rPr>
                <w:sz w:val="18"/>
              </w:rPr>
              <w:t>14 novembre 2024</w:t>
            </w:r>
          </w:p>
        </w:tc>
      </w:tr>
      <w:tr>
        <w:tc>
          <w:tcPr>
            <w:tcW w:type="dxa" w:w="4703"/>
          </w:tcPr>
          <w:p>
            <w:r>
              <w:rPr>
                <w:b/>
                <w:sz w:val="18"/>
              </w:rPr>
              <w:t>Auditeur</w:t>
            </w:r>
          </w:p>
        </w:tc>
        <w:tc>
          <w:tcPr>
            <w:tcW w:type="dxa" w:w="4703"/>
          </w:tcPr>
          <w:p>
            <w:r>
              <w:rPr>
                <w:sz w:val="18"/>
              </w:rPr>
              <w:t>Marc Lefèvre — Bureau Veritas</w:t>
            </w:r>
          </w:p>
        </w:tc>
      </w:tr>
      <w:tr>
        <w:tc>
          <w:tcPr>
            <w:tcW w:type="dxa" w:w="4703"/>
          </w:tcPr>
          <w:p>
            <w:r>
              <w:rPr>
                <w:b/>
                <w:sz w:val="18"/>
              </w:rPr>
              <w:t>Contact site</w:t>
            </w:r>
          </w:p>
        </w:tc>
        <w:tc>
          <w:tcPr>
            <w:tcW w:type="dxa" w:w="4703"/>
          </w:tcPr>
          <w:p>
            <w:r>
              <w:rPr>
                <w:sz w:val="18"/>
              </w:rPr>
              <w:t>Mei Lin Zhang — Responsable Qualité</w:t>
            </w:r>
          </w:p>
        </w:tc>
      </w:tr>
      <w:tr>
        <w:tc>
          <w:tcPr>
            <w:tcW w:type="dxa" w:w="4703"/>
          </w:tcPr>
          <w:p>
            <w:r>
              <w:rPr>
                <w:b/>
                <w:sz w:val="18"/>
              </w:rPr>
              <w:t>Durée</w:t>
            </w:r>
          </w:p>
        </w:tc>
        <w:tc>
          <w:tcPr>
            <w:tcW w:type="dxa" w:w="4703"/>
          </w:tcPr>
          <w:p>
            <w:r>
              <w:rPr>
                <w:sz w:val="18"/>
              </w:rPr>
              <w:t>1 journée (7 h)</w:t>
            </w:r>
          </w:p>
        </w:tc>
      </w:tr>
      <w:tr>
        <w:tc>
          <w:tcPr>
            <w:tcW w:type="dxa" w:w="4703"/>
          </w:tcPr>
          <w:p>
            <w:r>
              <w:rPr>
                <w:b/>
                <w:sz w:val="18"/>
              </w:rPr>
              <w:t>Statut rapport</w:t>
            </w:r>
          </w:p>
        </w:tc>
        <w:tc>
          <w:tcPr>
            <w:tcW w:type="dxa" w:w="4703"/>
          </w:tcPr>
          <w:p>
            <w:r>
              <w:rPr>
                <w:sz w:val="18"/>
              </w:rPr>
              <w:t>DÉFINITIF</w:t>
            </w:r>
          </w:p>
        </w:tc>
      </w:tr>
    </w:tbl>
    <w:p/>
    <w:p>
      <w:pPr>
        <w:pStyle w:val="Heading2"/>
        <w:jc w:val="left"/>
      </w:pPr>
      <w:r>
        <w:rPr>
          <w:color w:val="004A9F"/>
        </w:rPr>
        <w:t>1. Résumé exécutif</w:t>
      </w:r>
    </w:p>
    <w:p>
      <w:r>
        <w:rPr>
          <w:b w:val="0"/>
          <w:i w:val="0"/>
          <w:sz w:val="20"/>
        </w:rPr>
        <w:t>L'inspection réalisée le 14 novembre 2024 à l'atelier de Sucy-en-Brie a mis en évidence 1 non-conformité majeure et 1 non-conformité mineure au regard des exigences de l'ISO 9001:2015. Ces constats portent respectivement sur la maîtrise des équipements de mesure (§7.1.5) et sur la gestion des sorties non conformes (§8.7). Un plan d'actions correctives est attendu sous 30 jours.</w:t>
      </w:r>
    </w:p>
    <w:p/>
    <w:p>
      <w:pPr>
        <w:pStyle w:val="Heading2"/>
        <w:jc w:val="left"/>
      </w:pPr>
      <w:r>
        <w:rPr>
          <w:color w:val="004A9F"/>
        </w:rPr>
        <w:t>2. Constats d'audit</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sz w:val="18"/>
              </w:rPr>
              <w:t>Réf.</w:t>
            </w:r>
          </w:p>
        </w:tc>
        <w:tc>
          <w:tcPr>
            <w:tcW w:type="dxa" w:w="1881"/>
          </w:tcPr>
          <w:p>
            <w:r>
              <w:rPr>
                <w:b/>
                <w:sz w:val="18"/>
              </w:rPr>
              <w:t>Clause ISO</w:t>
            </w:r>
          </w:p>
        </w:tc>
        <w:tc>
          <w:tcPr>
            <w:tcW w:type="dxa" w:w="1881"/>
          </w:tcPr>
          <w:p>
            <w:r>
              <w:rPr>
                <w:b/>
                <w:sz w:val="18"/>
              </w:rPr>
              <w:t>Niveau</w:t>
            </w:r>
          </w:p>
        </w:tc>
        <w:tc>
          <w:tcPr>
            <w:tcW w:type="dxa" w:w="1881"/>
          </w:tcPr>
          <w:p>
            <w:r>
              <w:rPr>
                <w:b/>
                <w:sz w:val="18"/>
              </w:rPr>
              <w:t>Constat</w:t>
            </w:r>
          </w:p>
        </w:tc>
        <w:tc>
          <w:tcPr>
            <w:tcW w:type="dxa" w:w="1881"/>
          </w:tcPr>
          <w:p>
            <w:r>
              <w:rPr>
                <w:b/>
                <w:sz w:val="18"/>
              </w:rPr>
              <w:t>Action requise</w:t>
            </w:r>
          </w:p>
        </w:tc>
      </w:tr>
      <w:tr>
        <w:tc>
          <w:tcPr>
            <w:tcW w:type="dxa" w:w="1881"/>
          </w:tcPr>
          <w:p>
            <w:r>
              <w:rPr>
                <w:sz w:val="18"/>
              </w:rPr>
              <w:t>NC-01</w:t>
            </w:r>
          </w:p>
        </w:tc>
        <w:tc>
          <w:tcPr>
            <w:tcW w:type="dxa" w:w="1881"/>
          </w:tcPr>
          <w:p>
            <w:r>
              <w:rPr>
                <w:sz w:val="18"/>
              </w:rPr>
              <w:t>§7.1.5 — Étalonnage</w:t>
            </w:r>
          </w:p>
        </w:tc>
        <w:tc>
          <w:tcPr>
            <w:tcW w:type="dxa" w:w="1881"/>
          </w:tcPr>
          <w:p>
            <w:r>
              <w:rPr>
                <w:sz w:val="18"/>
              </w:rPr>
              <w:t>MAJEURE</w:t>
            </w:r>
          </w:p>
        </w:tc>
        <w:tc>
          <w:tcPr>
            <w:tcW w:type="dxa" w:w="1881"/>
          </w:tcPr>
          <w:p>
            <w:r>
              <w:rPr>
                <w:sz w:val="18"/>
              </w:rPr>
              <w:t>3 clés dynamométriques (postes 8, 12, 15) présentent un certificat d'étalonnage échu depuis plus de 14 mois. Aucune action de remplacement ni de mise en quarantaine n'a été engagée. Le responsable métrologie est vacant depuis septembre 2024.</w:t>
            </w:r>
          </w:p>
        </w:tc>
        <w:tc>
          <w:tcPr>
            <w:tcW w:type="dxa" w:w="1881"/>
          </w:tcPr>
          <w:p>
            <w:r>
              <w:rPr>
                <w:sz w:val="18"/>
              </w:rPr>
              <w:t>Suspendre l'utilisation des équipements non étalonnés. Planifier étalonnage COFRAC sous 15 jours. Désigner un responsable métrologie par intérim.</w:t>
            </w:r>
          </w:p>
        </w:tc>
      </w:tr>
      <w:tr>
        <w:tc>
          <w:tcPr>
            <w:tcW w:type="dxa" w:w="1881"/>
          </w:tcPr>
          <w:p>
            <w:r>
              <w:rPr>
                <w:sz w:val="18"/>
              </w:rPr>
              <w:t>NC-02</w:t>
            </w:r>
          </w:p>
        </w:tc>
        <w:tc>
          <w:tcPr>
            <w:tcW w:type="dxa" w:w="1881"/>
          </w:tcPr>
          <w:p>
            <w:r>
              <w:rPr>
                <w:sz w:val="18"/>
              </w:rPr>
              <w:t>§8.7 — Zone quarantaine</w:t>
            </w:r>
          </w:p>
        </w:tc>
        <w:tc>
          <w:tcPr>
            <w:tcW w:type="dxa" w:w="1881"/>
          </w:tcPr>
          <w:p>
            <w:r>
              <w:rPr>
                <w:sz w:val="18"/>
              </w:rPr>
              <w:t>MINEURE</w:t>
            </w:r>
          </w:p>
        </w:tc>
        <w:tc>
          <w:tcPr>
            <w:tcW w:type="dxa" w:w="1881"/>
          </w:tcPr>
          <w:p>
            <w:r>
              <w:rPr>
                <w:sz w:val="18"/>
              </w:rPr>
              <w:t>La zone de quarantaine des pièces non conformes est partiellement délimitée. Des pièces en attente de décision coexistent avec des pièces conformes dans la zone de stockage principal.</w:t>
            </w:r>
          </w:p>
        </w:tc>
        <w:tc>
          <w:tcPr>
            <w:tcW w:type="dxa" w:w="1881"/>
          </w:tcPr>
          <w:p>
            <w:r>
              <w:rPr>
                <w:sz w:val="18"/>
              </w:rPr>
              <w:t>Compléter le marquage au sol de la zone quarantaine. Apposer signalétique réglementaire. Vérifier registre de suivi des pièces NC.</w:t>
            </w:r>
          </w:p>
        </w:tc>
      </w:tr>
    </w:tbl>
    <w:p/>
    <w:p>
      <w:pPr>
        <w:pStyle w:val="Heading2"/>
        <w:jc w:val="left"/>
      </w:pPr>
      <w:r>
        <w:rPr>
          <w:color w:val="004A9F"/>
        </w:rPr>
        <w:t>3. Points de conformité notables</w:t>
      </w:r>
    </w:p>
    <w:p>
      <w:pPr>
        <w:pStyle w:val="ListBullet"/>
      </w:pPr>
      <w:r>
        <w:rPr>
          <w:sz w:val="20"/>
        </w:rPr>
        <w:t>§7.2 — Compétences : dossiers de qualification à jour pour 18/20 techniciens.</w:t>
      </w:r>
    </w:p>
    <w:p>
      <w:pPr>
        <w:pStyle w:val="ListBullet"/>
      </w:pPr>
      <w:r>
        <w:rPr>
          <w:sz w:val="20"/>
        </w:rPr>
        <w:t>§7.5 — Maîtrise documentaire : système de gestion documentaire conforme, révisions tracées.</w:t>
      </w:r>
    </w:p>
    <w:p>
      <w:pPr>
        <w:pStyle w:val="ListBullet"/>
      </w:pPr>
      <w:r>
        <w:rPr>
          <w:sz w:val="20"/>
        </w:rPr>
        <w:t>§9.1 — Surveillance des performances : indicateurs qualité renseignés et revus mensuellement.</w:t>
      </w:r>
    </w:p>
    <w:p/>
    <w:p>
      <w:pPr>
        <w:pStyle w:val="Heading2"/>
        <w:jc w:val="left"/>
      </w:pPr>
      <w:r>
        <w:rPr>
          <w:color w:val="004A9F"/>
        </w:rPr>
        <w:t>4. Plan d'actions correctives attendu</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sz w:val="18"/>
              </w:rPr>
              <w:t>Réf. NC</w:t>
            </w:r>
          </w:p>
        </w:tc>
        <w:tc>
          <w:tcPr>
            <w:tcW w:type="dxa" w:w="2351"/>
          </w:tcPr>
          <w:p>
            <w:r>
              <w:rPr>
                <w:b/>
                <w:sz w:val="18"/>
              </w:rPr>
              <w:t>Action</w:t>
            </w:r>
          </w:p>
        </w:tc>
        <w:tc>
          <w:tcPr>
            <w:tcW w:type="dxa" w:w="2351"/>
          </w:tcPr>
          <w:p>
            <w:r>
              <w:rPr>
                <w:b/>
                <w:sz w:val="18"/>
              </w:rPr>
              <w:t>Responsable</w:t>
            </w:r>
          </w:p>
        </w:tc>
        <w:tc>
          <w:tcPr>
            <w:tcW w:type="dxa" w:w="2351"/>
          </w:tcPr>
          <w:p>
            <w:r>
              <w:rPr>
                <w:b/>
                <w:sz w:val="18"/>
              </w:rPr>
              <w:t>Échéance</w:t>
            </w:r>
          </w:p>
        </w:tc>
      </w:tr>
      <w:tr>
        <w:tc>
          <w:tcPr>
            <w:tcW w:type="dxa" w:w="2351"/>
          </w:tcPr>
          <w:p>
            <w:r>
              <w:rPr>
                <w:sz w:val="18"/>
              </w:rPr>
              <w:t>NC-01</w:t>
            </w:r>
          </w:p>
        </w:tc>
        <w:tc>
          <w:tcPr>
            <w:tcW w:type="dxa" w:w="2351"/>
          </w:tcPr>
          <w:p>
            <w:r>
              <w:rPr>
                <w:sz w:val="18"/>
              </w:rPr>
              <w:t>Étalonnage COFRAC postes 8, 12, 15</w:t>
            </w:r>
          </w:p>
        </w:tc>
        <w:tc>
          <w:tcPr>
            <w:tcW w:type="dxa" w:w="2351"/>
          </w:tcPr>
          <w:p>
            <w:r>
              <w:rPr>
                <w:sz w:val="18"/>
              </w:rPr>
              <w:t>Mei Lin Zhang</w:t>
            </w:r>
          </w:p>
        </w:tc>
        <w:tc>
          <w:tcPr>
            <w:tcW w:type="dxa" w:w="2351"/>
          </w:tcPr>
          <w:p>
            <w:r>
              <w:rPr>
                <w:sz w:val="18"/>
              </w:rPr>
              <w:t>29/11/2024</w:t>
            </w:r>
          </w:p>
        </w:tc>
      </w:tr>
      <w:tr>
        <w:tc>
          <w:tcPr>
            <w:tcW w:type="dxa" w:w="2351"/>
          </w:tcPr>
          <w:p>
            <w:r>
              <w:rPr>
                <w:sz w:val="18"/>
              </w:rPr>
              <w:t>NC-01</w:t>
            </w:r>
          </w:p>
        </w:tc>
        <w:tc>
          <w:tcPr>
            <w:tcW w:type="dxa" w:w="2351"/>
          </w:tcPr>
          <w:p>
            <w:r>
              <w:rPr>
                <w:sz w:val="18"/>
              </w:rPr>
              <w:t>Nomination responsable métrologie intérim</w:t>
            </w:r>
          </w:p>
        </w:tc>
        <w:tc>
          <w:tcPr>
            <w:tcW w:type="dxa" w:w="2351"/>
          </w:tcPr>
          <w:p>
            <w:r>
              <w:rPr>
                <w:sz w:val="18"/>
              </w:rPr>
              <w:t>Direction technique</w:t>
            </w:r>
          </w:p>
        </w:tc>
        <w:tc>
          <w:tcPr>
            <w:tcW w:type="dxa" w:w="2351"/>
          </w:tcPr>
          <w:p>
            <w:r>
              <w:rPr>
                <w:sz w:val="18"/>
              </w:rPr>
              <w:t>21/11/2024</w:t>
            </w:r>
          </w:p>
        </w:tc>
      </w:tr>
      <w:tr>
        <w:tc>
          <w:tcPr>
            <w:tcW w:type="dxa" w:w="2351"/>
          </w:tcPr>
          <w:p>
            <w:r>
              <w:rPr>
                <w:sz w:val="18"/>
              </w:rPr>
              <w:t>NC-02</w:t>
            </w:r>
          </w:p>
        </w:tc>
        <w:tc>
          <w:tcPr>
            <w:tcW w:type="dxa" w:w="2351"/>
          </w:tcPr>
          <w:p>
            <w:r>
              <w:rPr>
                <w:sz w:val="18"/>
              </w:rPr>
              <w:t>Marquage sol zone quarantaine complet</w:t>
            </w:r>
          </w:p>
        </w:tc>
        <w:tc>
          <w:tcPr>
            <w:tcW w:type="dxa" w:w="2351"/>
          </w:tcPr>
          <w:p>
            <w:r>
              <w:rPr>
                <w:sz w:val="18"/>
              </w:rPr>
              <w:t>Service maintenance</w:t>
            </w:r>
          </w:p>
        </w:tc>
        <w:tc>
          <w:tcPr>
            <w:tcW w:type="dxa" w:w="2351"/>
          </w:tcPr>
          <w:p>
            <w:r>
              <w:rPr>
                <w:sz w:val="18"/>
              </w:rPr>
              <w:t>28/11/2024</w:t>
            </w:r>
          </w:p>
        </w:tc>
      </w:tr>
      <w:tr>
        <w:tc>
          <w:tcPr>
            <w:tcW w:type="dxa" w:w="2351"/>
          </w:tcPr>
          <w:p>
            <w:r>
              <w:rPr>
                <w:sz w:val="18"/>
              </w:rPr>
              <w:t>NC-02</w:t>
            </w:r>
          </w:p>
        </w:tc>
        <w:tc>
          <w:tcPr>
            <w:tcW w:type="dxa" w:w="2351"/>
          </w:tcPr>
          <w:p>
            <w:r>
              <w:rPr>
                <w:sz w:val="18"/>
              </w:rPr>
              <w:t>Mise à jour registre pièces NC</w:t>
            </w:r>
          </w:p>
        </w:tc>
        <w:tc>
          <w:tcPr>
            <w:tcW w:type="dxa" w:w="2351"/>
          </w:tcPr>
          <w:p>
            <w:r>
              <w:rPr>
                <w:sz w:val="18"/>
              </w:rPr>
              <w:t>Mei Lin Zhang</w:t>
            </w:r>
          </w:p>
        </w:tc>
        <w:tc>
          <w:tcPr>
            <w:tcW w:type="dxa" w:w="2351"/>
          </w:tcPr>
          <w:p>
            <w:r>
              <w:rPr>
                <w:sz w:val="18"/>
              </w:rPr>
              <w:t>21/11/2024</w:t>
            </w:r>
          </w:p>
        </w:tc>
      </w:tr>
    </w:tbl>
    <w:p/>
    <w:p>
      <w:pPr>
        <w:pStyle w:val="Heading2"/>
        <w:jc w:val="left"/>
      </w:pPr>
      <w:r>
        <w:rPr>
          <w:color w:val="004A9F"/>
        </w:rPr>
        <w:t>5. Signatures</w:t>
      </w:r>
    </w:p>
    <w:tbl>
      <w:tblPr>
        <w:tblStyle w:val="TableGrid"/>
        <w:tblW w:type="auto" w:w="0"/>
        <w:tblLook w:firstColumn="1" w:firstRow="1" w:lastColumn="0" w:lastRow="0" w:noHBand="0" w:noVBand="1" w:val="04A0"/>
      </w:tblPr>
      <w:tblGrid>
        <w:gridCol w:w="4703"/>
        <w:gridCol w:w="4703"/>
      </w:tblGrid>
      <w:tr>
        <w:tc>
          <w:tcPr>
            <w:tcW w:type="dxa" w:w="4703"/>
          </w:tcPr>
          <w:p>
            <w:r>
              <w:rPr>
                <w:sz w:val="18"/>
              </w:rPr>
              <w:t>Auditeur Bureau Veritas</w:t>
            </w:r>
          </w:p>
        </w:tc>
        <w:tc>
          <w:tcPr>
            <w:tcW w:type="dxa" w:w="4703"/>
          </w:tcPr>
          <w:p>
            <w:r>
              <w:rPr>
                <w:sz w:val="18"/>
              </w:rPr>
              <w:t>Représentant site RATP</w:t>
            </w:r>
          </w:p>
        </w:tc>
      </w:tr>
      <w:tr>
        <w:tc>
          <w:tcPr>
            <w:tcW w:type="dxa" w:w="4703"/>
          </w:tcPr>
          <w:p>
            <w:r>
              <w:rPr>
                <w:sz w:val="18"/>
              </w:rPr>
              <w:t>Marc Lefèvre</w:t>
            </w:r>
          </w:p>
        </w:tc>
        <w:tc>
          <w:tcPr>
            <w:tcW w:type="dxa" w:w="4703"/>
          </w:tcPr>
          <w:p>
            <w:r>
              <w:rPr>
                <w:sz w:val="18"/>
              </w:rPr>
              <w:t>Mei Lin Zhang</w:t>
            </w:r>
          </w:p>
        </w:tc>
      </w:tr>
      <w:tr>
        <w:tc>
          <w:tcPr>
            <w:tcW w:type="dxa" w:w="4703"/>
          </w:tcPr>
          <w:p>
            <w:r>
              <w:rPr>
                <w:sz w:val="18"/>
              </w:rPr>
              <w:t>Signature : ___________________</w:t>
            </w:r>
          </w:p>
        </w:tc>
        <w:tc>
          <w:tcPr>
            <w:tcW w:type="dxa" w:w="4703"/>
          </w:tcPr>
          <w:p>
            <w:r>
              <w:rPr>
                <w:sz w:val="18"/>
              </w:rPr>
              <w:t>Signature : ___________________</w:t>
            </w:r>
          </w:p>
        </w:tc>
      </w:tr>
    </w:tbl>
    <w:p/>
    <w:p>
      <w:pPr>
        <w:jc w:val="center"/>
      </w:pPr>
      <w:r>
        <w:rPr>
          <w:i/>
          <w:color w:val="808080"/>
          <w:sz w:val="16"/>
        </w:rPr>
        <w:t>Bureau Veritas — 8 cours du Triangle de l'Arche, 92800 Puteaux — www.bureauveritas.fr</w:t>
        <w:br/>
        <w:t>Document confidentiel — Ne pas diffuser sans autorisation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