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22/10/2026 (nuova API GET catalog/bathhouse-configuration-media?idProperty=…, la tab Media della pagina Informazioni stabilimento: link delle foto, del tour virtuale e dei due PDF, nomi allineati alle tabelle del backend e da confermare;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/api/catalog/save-bathhouse-configuration-services</w:t>
            </w:r>
          </w:p>
        </w:tc>
        <w:tc>
          <w:tcPr>
            <w:tcW w:type="dxa" w:w="4876"/>
            <w:shd w:val="clear" w:color="auto" w:fill="F1F3F8"/>
          </w:tcPr>
          <w:p>
            <w:pPr>
              <w:spacing w:after="0"/>
            </w:pPr>
            <w:r>
              <w:rPr>
                <w:b w:val="0"/>
                <w:sz w:val="19"/>
              </w:rPr>
              <w:t>Informazioni stabilimento: salvataggio dei servizi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/api/catalog/bathhouse-configuration-media?idProperty={idProperty}</w:t>
            </w:r>
          </w:p>
        </w:tc>
        <w:tc>
          <w:tcPr>
            <w:tcW w:type="dxa" w:w="4876"/>
          </w:tcPr>
          <w:p>
            <w:pPr>
              <w:spacing w:after="0"/>
            </w:pPr>
            <w:r>
              <w:rPr>
                <w:b w:val="0"/>
                <w:sz w:val="19"/>
              </w:rPr>
              <w:t>Informazioni stabilimento: media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/api/booking/get-online-services-options?idProperty={idProperty}</w:t>
            </w:r>
          </w:p>
        </w:tc>
        <w:tc>
          <w:tcPr>
            <w:tcW w:type="dxa" w:w="4876"/>
          </w:tcPr>
          <w:p>
            <w:pPr>
              <w:spacing w:after="0"/>
            </w:pPr>
            <w:r>
              <w:rPr>
                <w:b w:val="0"/>
                <w:sz w:val="19"/>
              </w:rPr>
              <w:t>Prenotazioni online: opzioni dei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/api/booking/update-online-services-options</w:t>
            </w:r>
          </w:p>
        </w:tc>
        <w:tc>
          <w:tcPr>
            <w:tcW w:type="dxa" w:w="4876"/>
            <w:shd w:val="clear" w:color="auto" w:fill="F1F3F8"/>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/api/catalog/bathhouse-configuration-media?idProperty={idProperty}</w:t>
      </w:r>
    </w:p>
    <w:p>
      <w:r>
        <w:t>Informazioni stabilimento: media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/api/catalog/bathhouse-configuration-media?idProperty={idProperty}</w:t>
      </w:r>
    </w:p>
    <w:p>
      <w:pPr>
        <w:spacing w:after="40"/>
      </w:pPr>
      <w:r>
        <w:rPr>
          <w:b/>
        </w:rPr>
        <w:t xml:space="preserve">Nel frontend: </w:t>
      </w:r>
      <w:r>
        <w:rPr>
          <w:rFonts w:ascii="Consolas" w:hAnsi="Consolas"/>
          <w:b w:val="0"/>
          <w:color w:val="233C7D"/>
        </w:rPr>
        <w:t>CatalogService.bathhouseConfigurationMedia</w:t>
      </w:r>
    </w:p>
    <w:p>
      <w:pPr>
        <w:spacing w:after="40"/>
      </w:pPr>
      <w:r>
        <w:rPr>
          <w:b/>
        </w:rPr>
        <w:t xml:space="preserve">Autenticazione: </w:t>
      </w:r>
      <w:r>
        <w:rPr>
          <w:b w:val="0"/>
        </w:rPr>
        <w:t>Header Authorization: Bearer &lt;accessToken&gt;.</w:t>
      </w:r>
    </w:p>
    <w:p>
      <w:pPr>
        <w:pStyle w:val="ListBullet"/>
      </w:pPr>
      <w:r>
        <w:t>La chiama la tab Media della pagina Informazioni stabilimento (/settings/bathhouse-configuration/3) la prima volta che si apre. Finché la pagina è aperta tornando sulla tab non la richiama; uscendo dalla pagina e rientrando sì.</w:t>
      </w:r>
    </w:p>
    <w:p>
      <w:pPr>
        <w:pStyle w:val="ListBullet"/>
      </w:pPr>
      <w:r>
        <w:t>Rotta data dall'utente. È una GET: lo stabilimento viaggia nella query string (?idProperty=…). La risposta ha solo link: nomi dei campi proposti dal frontend sulle tabelle del backend (catalog.media_assets, bathhouses.main_photo_id, bathhouse_photos, bathhouses.price_list_pdf_id e menu_pdf_id), da confermare col backend. Come salvare e caricare foto e PDF è ancora da decidere.</w:t>
      </w:r>
    </w:p>
    <w:p>
      <w:pPr>
        <w:pStyle w:val="ListBullet"/>
      </w:pPr>
      <w:r>
        <w:t>La foto principale riempie il riquadro "Immagine principale", le altre le caselle della "Galleria immagini"; il link del tour virtuale riempie il suo campo; un PDF presente mostra "Apri il documento", che lo apre in una nuova scheda. I link che non sono https né del nostro dominio vengono ignorati.</w:t>
      </w:r>
    </w:p>
    <w:p>
      <w:pPr>
        <w:pStyle w:val="ListBullet"/>
      </w:pPr>
      <w:r>
        <w:t>Durante la chiamata la tab è bloccata. Se fallisce il messaggio del code compare sotto 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BathhouseMedia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photos</w:t>
            </w:r>
          </w:p>
        </w:tc>
        <w:tc>
          <w:tcPr>
            <w:tcW w:type="dxa" w:w="2608"/>
          </w:tcPr>
          <w:p>
            <w:pPr>
              <w:spacing w:after="0"/>
            </w:pPr>
            <w:r>
              <w:rPr>
                <w:rFonts w:ascii="Consolas" w:hAnsi="Consolas"/>
                <w:b w:val="0"/>
                <w:color w:val="233C7D"/>
                <w:sz w:val="19"/>
              </w:rPr>
              <w:t>BathhousePhoto[] (array di oggetti)</w:t>
            </w:r>
          </w:p>
        </w:tc>
        <w:tc>
          <w:tcPr>
            <w:tcW w:type="dxa" w:w="4876"/>
          </w:tcPr>
          <w:p>
            <w:pPr>
              <w:spacing w:after="0"/>
            </w:pPr>
            <w:r>
              <w:rPr>
                <w:b w:val="0"/>
                <w:sz w:val="19"/>
              </w:rPr>
              <w:t>Foto dello stabilimento: la principale (bathhouses.main_photo_id) e quelle della galleria (bathhouse_photos), nel loro ordine (sort_order). [] se non ce ne sono.</w:t>
            </w:r>
          </w:p>
        </w:tc>
      </w:tr>
      <w:tr>
        <w:trPr>
          <w:cantSplit w:val="true"/>
        </w:trPr>
        <w:tc>
          <w:tcPr>
            <w:tcW w:type="dxa" w:w="2381"/>
            <w:shd w:val="clear" w:color="auto" w:fill="F1F3F8"/>
          </w:tcPr>
          <w:p>
            <w:pPr>
              <w:spacing w:after="0"/>
            </w:pPr>
            <w:r>
              <w:rPr>
                <w:rFonts w:ascii="Consolas" w:hAnsi="Consolas"/>
                <w:b w:val="0"/>
                <w:color w:val="233C7D"/>
                <w:sz w:val="19"/>
              </w:rPr>
              <w:t>virtualTourUrl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tour virtuale, il campo "Link Tour virtuale". Nel backend non c'è ancora un campo per questo dato.</w:t>
            </w:r>
          </w:p>
        </w:tc>
      </w:tr>
      <w:tr>
        <w:trPr>
          <w:cantSplit w:val="true"/>
        </w:trPr>
        <w:tc>
          <w:tcPr>
            <w:tcW w:type="dxa" w:w="2381"/>
          </w:tcPr>
          <w:p>
            <w:pPr>
              <w:spacing w:after="0"/>
            </w:pPr>
            <w:r>
              <w:rPr>
                <w:rFonts w:ascii="Consolas" w:hAnsi="Consolas"/>
                <w:b w:val="0"/>
                <w:color w:val="233C7D"/>
                <w:sz w:val="19"/>
              </w:rPr>
              <w:t>priceListPdfUrl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Link del PDF del listino prezzi (bathhouses.price_list_pdf_id). null = nessun file.</w:t>
            </w:r>
          </w:p>
        </w:tc>
      </w:tr>
      <w:tr>
        <w:trPr>
          <w:cantSplit w:val="true"/>
        </w:trPr>
        <w:tc>
          <w:tcPr>
            <w:tcW w:type="dxa" w:w="2381"/>
            <w:shd w:val="clear" w:color="auto" w:fill="F1F3F8"/>
          </w:tcPr>
          <w:p>
            <w:pPr>
              <w:spacing w:after="0"/>
            </w:pPr>
            <w:r>
              <w:rPr>
                <w:rFonts w:ascii="Consolas" w:hAnsi="Consolas"/>
                <w:b w:val="0"/>
                <w:color w:val="233C7D"/>
                <w:sz w:val="19"/>
              </w:rPr>
              <w:t>menuPdfUrl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PDF del menù (bathhouses.menu_pdf_id). null = nessun file.</w:t>
            </w:r>
          </w:p>
        </w:tc>
      </w:tr>
    </w:tbl>
    <w:p>
      <w:pPr>
        <w:spacing w:after="40"/>
      </w:pPr>
    </w:p>
    <w:p>
      <w:pPr>
        <w:pStyle w:val="Heading3"/>
      </w:pPr>
      <w:r>
        <w:rPr>
          <w:b w:val="0"/>
        </w:rPr>
        <w:t xml:space="preserve">Oggetto </w:t>
      </w:r>
      <w:r>
        <w:rPr>
          <w:rFonts w:ascii="Consolas" w:hAnsi="Consolas"/>
          <w:b w:val="0"/>
        </w:rPr>
        <w:t>BathhousePhoto[]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idPhoto</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della foto. Non si mostra mai: servirà per toglierla o riordinarla.</w:t>
            </w:r>
          </w:p>
        </w:tc>
      </w:tr>
      <w:tr>
        <w:trPr>
          <w:cantSplit w:val="true"/>
        </w:trPr>
        <w:tc>
          <w:tcPr>
            <w:tcW w:type="dxa" w:w="2381"/>
            <w:shd w:val="clear" w:color="auto" w:fill="F1F3F8"/>
          </w:tcPr>
          <w:p>
            <w:pPr>
              <w:spacing w:after="0"/>
            </w:pPr>
            <w:r>
              <w:rPr>
                <w:rFonts w:ascii="Consolas" w:hAnsi="Consolas"/>
                <w:b w:val="0"/>
                <w:color w:val="233C7D"/>
                <w:sz w:val="19"/>
              </w:rPr>
              <w:t>url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Link completo della foto, composto dal backend dal riferimento in catalog.media_assets. Il frontend accetta solo link https o del proprio dominio; la CSP accetta immagini solo dal proprio dominio, quindi un altro dominio va aggiunto a img-src.</w:t>
            </w:r>
          </w:p>
        </w:tc>
      </w:tr>
      <w:tr>
        <w:trPr>
          <w:cantSplit w:val="true"/>
        </w:trPr>
        <w:tc>
          <w:tcPr>
            <w:tcW w:type="dxa" w:w="2381"/>
          </w:tcPr>
          <w:p>
            <w:pPr>
              <w:spacing w:after="0"/>
            </w:pPr>
            <w:r>
              <w:rPr>
                <w:rFonts w:ascii="Consolas" w:hAnsi="Consolas"/>
                <w:b w:val="0"/>
                <w:color w:val="233C7D"/>
                <w:sz w:val="19"/>
              </w:rPr>
              <w:t>isMain</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true per l'immagine principale (al massimo una), false per quelle della galleria.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"photos":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41,</w:t>
      </w:r>
    </w:p>
    <w:p>
      <w:pPr>
        <w:keepNext/>
        <w:spacing w:after="0"/>
        <w:shd w:val="clear" w:color="auto" w:fill="F1F3F8"/>
      </w:pPr>
      <w:r>
        <w:rPr>
          <w:rFonts w:ascii="Consolas" w:hAnsi="Consolas"/>
          <w:b w:val="0"/>
          <w:color w:val="233C7D"/>
          <w:sz w:val="19"/>
        </w:rPr>
        <w:t xml:space="preserve">      "url": "https://media.example.com/lido-demo/spiaggia.webp",</w:t>
      </w:r>
    </w:p>
    <w:p>
      <w:pPr>
        <w:keepNext/>
        <w:spacing w:after="0"/>
        <w:shd w:val="clear" w:color="auto" w:fill="F1F3F8"/>
      </w:pPr>
      <w:r>
        <w:rPr>
          <w:rFonts w:ascii="Consolas" w:hAnsi="Consolas"/>
          <w:b w:val="0"/>
          <w:color w:val="233C7D"/>
          <w:sz w:val="19"/>
        </w:rPr>
        <w:t xml:space="preserve">      "isMain":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42,</w:t>
      </w:r>
    </w:p>
    <w:p>
      <w:pPr>
        <w:keepNext/>
        <w:spacing w:after="0"/>
        <w:shd w:val="clear" w:color="auto" w:fill="F1F3F8"/>
      </w:pPr>
      <w:r>
        <w:rPr>
          <w:rFonts w:ascii="Consolas" w:hAnsi="Consolas"/>
          <w:b w:val="0"/>
          <w:color w:val="233C7D"/>
          <w:sz w:val="19"/>
        </w:rPr>
        <w:t xml:space="preserve">      "url": "https://media.example.com/lido-demo/bar.webp",</w:t>
      </w:r>
    </w:p>
    <w:p>
      <w:pPr>
        <w:keepNext/>
        <w:spacing w:after="0"/>
        <w:shd w:val="clear" w:color="auto" w:fill="F1F3F8"/>
      </w:pPr>
      <w:r>
        <w:rPr>
          <w:rFonts w:ascii="Consolas" w:hAnsi="Consolas"/>
          <w:b w:val="0"/>
          <w:color w:val="233C7D"/>
          <w:sz w:val="19"/>
        </w:rPr>
        <w:t xml:space="preserve">      "isMain":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"virtualTourUrl": "https://tour.example.com/lido-demo",</w:t>
      </w:r>
    </w:p>
    <w:p>
      <w:pPr>
        <w:keepNext/>
        <w:spacing w:after="0"/>
        <w:shd w:val="clear" w:color="auto" w:fill="F1F3F8"/>
      </w:pPr>
      <w:r>
        <w:rPr>
          <w:rFonts w:ascii="Consolas" w:hAnsi="Consolas"/>
          <w:b w:val="0"/>
          <w:color w:val="233C7D"/>
          <w:sz w:val="19"/>
        </w:rPr>
        <w:t xml:space="preserve">  "priceListPdfUrl": "https://media.example.com/lido-demo/listino-prezzi.pdf",</w:t>
      </w:r>
    </w:p>
    <w:p>
      <w:pPr>
        <w:keepNext/>
        <w:spacing w:after="0"/>
        <w:shd w:val="clear" w:color="auto" w:fill="F1F3F8"/>
      </w:pPr>
      <w:r>
        <w:rPr>
          <w:rFonts w:ascii="Consolas" w:hAnsi="Consolas"/>
          <w:b w:val="0"/>
          <w:color w:val="233C7D"/>
          <w:sz w:val="19"/>
        </w:rPr>
        <w:t xml:space="preserve">  "menuPdfUrl": "https://media.example.com/lido-demo/menu.pdf"</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