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06/10/2026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Nel frontend il corpo è ManagementRequest (campi comuni del gestionale) unito a PageRequest (paginazione, ricerca e ordinamento della tabella); qui è mostrato come un unico oggetto.</w:t>
      </w:r>
    </w:p>
    <w:p>
      <w:pPr>
        <w:pStyle w:val="ListBullet"/>
      </w:pPr>
      <w:r>
        <w:t>La tabella rifà la chiamata, tornando a pagina 1, quando cambiano i filtri dell'header,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ManagementRequest &amp; 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datetimeFrom</w:t>
            </w:r>
          </w:p>
        </w:tc>
        <w:tc>
          <w:tcPr>
            <w:tcW w:type="dxa" w:w="2608"/>
            <w:shd w:val="clear" w:color="auto" w:fill="F1F3F8"/>
          </w:tcPr>
          <w:p>
            <w:pPr>
              <w:spacing w:after="0"/>
            </w:pPr>
            <w:r>
              <w:rPr>
                <w:rFonts w:ascii="Consolas" w:hAnsi="Consolas"/>
                <w:b w:val="0"/>
                <w:color w:val="233C7D"/>
                <w:sz w:val="19"/>
              </w:rPr>
              <w:t>string (ISO 8601, UTC)</w:t>
            </w:r>
          </w:p>
        </w:tc>
        <w:tc>
          <w:tcPr>
            <w:tcW w:type="dxa" w:w="4876"/>
            <w:shd w:val="clear" w:color="auto" w:fill="F1F3F8"/>
          </w:tcPr>
          <w:p>
            <w:pPr>
              <w:spacing w:after="0"/>
            </w:pPr>
            <w:r>
              <w:rPr>
                <w:b w:val="0"/>
                <w:sz w:val="19"/>
              </w:rPr>
              <w:t>Inizio del primo giorno scelto: mezzanotte UTC, es. 2026-09-29T00:00:00.000Z.</w:t>
            </w:r>
          </w:p>
        </w:tc>
      </w:tr>
      <w:tr>
        <w:trPr>
          <w:cantSplit w:val="true"/>
        </w:trPr>
        <w:tc>
          <w:tcPr>
            <w:tcW w:type="dxa" w:w="2381"/>
          </w:tcPr>
          <w:p>
            <w:pPr>
              <w:spacing w:after="0"/>
            </w:pPr>
            <w:r>
              <w:rPr>
                <w:rFonts w:ascii="Consolas" w:hAnsi="Consolas"/>
                <w:b w:val="0"/>
                <w:color w:val="233C7D"/>
                <w:sz w:val="19"/>
              </w:rPr>
              <w:t>datetimeTo</w:t>
            </w:r>
          </w:p>
        </w:tc>
        <w:tc>
          <w:tcPr>
            <w:tcW w:type="dxa" w:w="2608"/>
          </w:tcPr>
          <w:p>
            <w:pPr>
              <w:spacing w:after="0"/>
            </w:pPr>
            <w:r>
              <w:rPr>
                <w:rFonts w:ascii="Consolas" w:hAnsi="Consolas"/>
                <w:b w:val="0"/>
                <w:color w:val="233C7D"/>
                <w:sz w:val="19"/>
              </w:rPr>
              <w:t>string (ISO 8601, UTC)</w:t>
            </w:r>
          </w:p>
        </w:tc>
        <w:tc>
          <w:tcPr>
            <w:tcW w:type="dxa" w:w="4876"/>
          </w:tcPr>
          <w:p>
            <w:pPr>
              <w:spacing w:after="0"/>
            </w:pPr>
            <w:r>
              <w:rPr>
                <w:b w:val="0"/>
                <w:sz w:val="19"/>
              </w:rPr>
              <w:t>Ultimo istante dell'ultimo giorno scelto, es. 2026-09-29T23:59:59.999Z.</w:t>
            </w:r>
          </w:p>
        </w:tc>
      </w:tr>
      <w:tr>
        <w:trPr>
          <w:cantSplit w:val="true"/>
        </w:trPr>
        <w:tc>
          <w:tcPr>
            <w:tcW w:type="dxa" w:w="2381"/>
            <w:shd w:val="clear" w:color="auto" w:fill="F1F3F8"/>
          </w:tcPr>
          <w:p>
            <w:pPr>
              <w:spacing w:after="0"/>
            </w:pPr>
            <w:r>
              <w:rPr>
                <w:rFonts w:ascii="Consolas" w:hAnsi="Consolas"/>
                <w:b w:val="0"/>
                <w:color w:val="233C7D"/>
                <w:sz w:val="19"/>
              </w:rPr>
              <w:t>bookingDayType</w:t>
            </w:r>
          </w:p>
        </w:tc>
        <w:tc>
          <w:tcPr>
            <w:tcW w:type="dxa" w:w="2608"/>
            <w:shd w:val="clear" w:color="auto" w:fill="F1F3F8"/>
          </w:tcPr>
          <w:p>
            <w:pPr>
              <w:spacing w:after="0"/>
            </w:pPr>
            <w:r>
              <w:rPr>
                <w:rFonts w:ascii="Consolas" w:hAnsi="Consolas"/>
                <w:b w:val="0"/>
                <w:color w:val="233C7D"/>
                <w:sz w:val="19"/>
              </w:rPr>
              <w:t>string (enum BookingDayType)</w:t>
            </w:r>
          </w:p>
        </w:tc>
        <w:tc>
          <w:tcPr>
            <w:tcW w:type="dxa" w:w="4876"/>
            <w:shd w:val="clear" w:color="auto" w:fill="F1F3F8"/>
          </w:tcPr>
          <w:p>
            <w:pPr>
              <w:spacing w:after="0"/>
            </w:pPr>
            <w:r>
              <w:rPr>
                <w:b w:val="0"/>
                <w:sz w:val="19"/>
              </w:rPr>
              <w:t>Parte della giornata: FullDay | Morning | Afternoon.</w:t>
            </w:r>
          </w:p>
        </w:tc>
      </w:tr>
      <w:tr>
        <w:trPr>
          <w:cantSplit w:val="true"/>
        </w:trPr>
        <w:tc>
          <w:tcPr>
            <w:tcW w:type="dxa" w:w="2381"/>
          </w:tcPr>
          <w:p>
            <w:pPr>
              <w:spacing w:after="0"/>
            </w:pPr>
            <w:r>
              <w:rPr>
                <w:rFonts w:ascii="Consolas" w:hAnsi="Consolas"/>
                <w:b w:val="0"/>
                <w:color w:val="233C7D"/>
                <w:sz w:val="19"/>
              </w:rPr>
              <w:t>page</w:t>
            </w:r>
          </w:p>
        </w:tc>
        <w:tc>
          <w:tcPr>
            <w:tcW w:type="dxa" w:w="2608"/>
          </w:tcPr>
          <w:p>
            <w:pPr>
              <w:spacing w:after="0"/>
            </w:pPr>
            <w:r>
              <w:rPr>
                <w:rFonts w:ascii="Consolas" w:hAnsi="Consolas"/>
                <w:b w:val="0"/>
                <w:color w:val="233C7D"/>
                <w:sz w:val="19"/>
              </w:rPr>
              <w:t>number (intero, da 1)</w:t>
            </w:r>
          </w:p>
        </w:tc>
        <w:tc>
          <w:tcPr>
            <w:tcW w:type="dxa" w:w="4876"/>
          </w:tcPr>
          <w:p>
            <w:pPr>
              <w:spacing w:after="0"/>
            </w:pPr>
            <w:r>
              <w:rPr>
                <w:b w:val="0"/>
                <w:sz w:val="19"/>
              </w:rPr>
              <w:t>Pagina richiesta.</w:t>
            </w:r>
          </w:p>
        </w:tc>
      </w:tr>
      <w:tr>
        <w:trPr>
          <w:cantSplit w:val="true"/>
        </w:trPr>
        <w:tc>
          <w:tcPr>
            <w:tcW w:type="dxa" w:w="2381"/>
            <w:shd w:val="clear" w:color="auto" w:fill="F1F3F8"/>
          </w:tcPr>
          <w:p>
            <w:pPr>
              <w:spacing w:after="0"/>
            </w:pPr>
            <w:r>
              <w:rPr>
                <w:rFonts w:ascii="Consolas" w:hAnsi="Consolas"/>
                <w:b w:val="0"/>
                <w:color w:val="233C7D"/>
                <w:sz w:val="19"/>
              </w:rPr>
              <w:t>pageSize</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Righe per pagina: 10 (predefinito), 20, 50 o 100, scelte dall'utente con il selettore della tabella.</w:t>
            </w:r>
          </w:p>
        </w:tc>
      </w:tr>
      <w:tr>
        <w:trPr>
          <w:cantSplit w:val="true"/>
        </w:trPr>
        <w:tc>
          <w:tcPr>
            <w:tcW w:type="dxa" w:w="2381"/>
          </w:tcPr>
          <w:p>
            <w:pPr>
              <w:spacing w:after="0"/>
            </w:pPr>
            <w:r>
              <w:rPr>
                <w:rFonts w:ascii="Consolas" w:hAnsi="Consolas"/>
                <w:b w:val="0"/>
                <w:color w:val="233C7D"/>
                <w:sz w:val="19"/>
              </w:rPr>
              <w:t>search</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Testo cercato nella lista ('' se non si cerca nulla): arriva dalla barra di ricerca della tabella, 0,5 s dopo l'ultimo tasto e da 3 caratteri. È il backend a decidere in quali campi cercare.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"datetimeFrom": "2026-09-29T00:00:00.000Z",</w:t>
      </w:r>
    </w:p>
    <w:p>
      <w:pPr>
        <w:keepNext/>
        <w:spacing w:after="0"/>
        <w:shd w:val="clear" w:color="auto" w:fill="F1F3F8"/>
      </w:pPr>
      <w:r>
        <w:rPr>
          <w:rFonts w:ascii="Consolas" w:hAnsi="Consolas"/>
          <w:b w:val="0"/>
          <w:color w:val="233C7D"/>
          <w:sz w:val="19"/>
        </w:rPr>
        <w:t xml:space="preserve">  "datetimeTo": "2026-09-29T23:59:59.999Z",</w:t>
      </w:r>
    </w:p>
    <w:p>
      <w:pPr>
        <w:keepNext/>
        <w:spacing w:after="0"/>
        <w:shd w:val="clear" w:color="auto" w:fill="F1F3F8"/>
      </w:pPr>
      <w:r>
        <w:rPr>
          <w:rFonts w:ascii="Consolas" w:hAnsi="Consolas"/>
          <w:b w:val="0"/>
          <w:color w:val="233C7D"/>
          <w:sz w:val="19"/>
        </w:rPr>
        <w:t xml:space="preserve">  "bookingDayType": "FullDay",</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null,</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non validi, uno per campo in errors[]: validation.invalid_date (datetimeFrom, datetimeTo), validation.end_before_start (datetimeTo prima di datetimeFrom), validation.invalid_value (bookingDayType).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datetimeTo precedente a datetimeFrom:</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Pick&lt;ManagementRequest, 'idProperty'&gt;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 la risposta contiene solo i suoi articoli.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assente o vuoto: in errors[] validation.invalid_value (idProperty).</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idProperty:</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"idProperty",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e mostra il messaggio del code.</w:t>
      </w:r>
    </w:p>
    <w:p>
      <w:pPr>
        <w:pStyle w:val="ListBullet"/>
      </w:pPr>
      <w:r>
        <w:t>Metodo POST, risposta 204 senza corpo e significato della quantità sono una proposta del frontend, da confermare col backend: oggi il mock somma articleQuantity al totale dell'articolo e imposta la soglia (warehouse/list li mostra aggiornati).</w:t>
      </w:r>
    </w:p>
    <w:p>
      <w:pPr>
        <w:pStyle w:val="Heading2"/>
      </w:pPr>
      <w:r>
        <w:t>Payload inviato al backend</w:t>
      </w:r>
    </w:p>
    <w:p>
      <w:pPr>
        <w:pStyle w:val="Heading3"/>
      </w:pPr>
      <w:r>
        <w:rPr>
          <w:b w:val="0"/>
        </w:rPr>
        <w:t xml:space="preserve">Corpo JSON: </w:t>
      </w:r>
      <w:r>
        <w:rPr>
          <w:rFonts w:ascii="Consolas" w:hAnsi="Consolas"/>
          <w:b w:val="0"/>
        </w:rPr>
        <w:t>AddWarehouseItemRequest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scelto nella tendina: l'id di warehouse/combobox-list, lo stesso idArticle di warehouse/list. Deve essere un articolo attivo dello stabilimento.</w:t>
            </w:r>
          </w:p>
        </w:tc>
      </w:tr>
      <w:tr>
        <w:trPr>
          <w:cantSplit w:val="true"/>
        </w:trPr>
        <w:tc>
          <w:tcPr>
            <w:tcW w:type="dxa" w:w="2381"/>
          </w:tcPr>
          <w:p>
            <w:pPr>
              <w:spacing w:after="0"/>
            </w:pPr>
            <w:r>
              <w:rPr>
                <w:rFonts w:ascii="Consolas" w:hAnsi="Consolas"/>
                <w:b w:val="0"/>
                <w:color w:val="233C7D"/>
                <w:sz w:val="19"/>
              </w:rPr>
              <w:t>articleQuantity</w:t>
            </w:r>
          </w:p>
        </w:tc>
        <w:tc>
          <w:tcPr>
            <w:tcW w:type="dxa" w:w="2608"/>
          </w:tcPr>
          <w:p>
            <w:pPr>
              <w:spacing w:after="0"/>
            </w:pPr>
            <w:r>
              <w:rPr>
                <w:rFonts w:ascii="Consolas" w:hAnsi="Consolas"/>
                <w:b w:val="0"/>
                <w:color w:val="233C7D"/>
                <w:sz w:val="19"/>
              </w:rPr>
              <w:t>number (intero &gt; 0)</w:t>
            </w:r>
          </w:p>
        </w:tc>
        <w:tc>
          <w:tcPr>
            <w:tcW w:type="dxa" w:w="4876"/>
          </w:tcPr>
          <w:p>
            <w:pPr>
              <w:spacing w:after="0"/>
            </w:pPr>
            <w:r>
              <w:rPr>
                <w:b w:val="0"/>
                <w:sz w:val="19"/>
              </w:rPr>
              <w:t>Quantità aggiunta, numero intero maggiore di 0.</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sotto la quale l'articolo sta finendo, numero intero; null se la soglia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"articleQuantity": 10,</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(idProperty, idArticle, articleQuantity,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articolo che non è dello stabilimento e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"idArticle",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e mostra il messaggio del code.</w:t>
      </w:r>
    </w:p>
    <w:p>
      <w:pPr>
        <w:pStyle w:val="ListBullet"/>
      </w:pPr>
      <w:r>
        <w:t>Il corpo è quello dell'aggiunta con idItem al posto di idArticle.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EditWarehouseItemRequest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da modificare: l'idArticle della sua riga in warehouse/list. Deve essere un articolo attivo dello stabilimento; l'articolo non si può cambiare.</w:t>
            </w:r>
          </w:p>
        </w:tc>
      </w:tr>
      <w:tr>
        <w:trPr>
          <w:cantSplit w:val="true"/>
        </w:trPr>
        <w:tc>
          <w:tcPr>
            <w:tcW w:type="dxa" w:w="2381"/>
          </w:tcPr>
          <w:p>
            <w:pPr>
              <w:spacing w:after="0"/>
            </w:pPr>
            <w:r>
              <w:rPr>
                <w:rFonts w:ascii="Consolas" w:hAnsi="Consolas"/>
                <w:b w:val="0"/>
                <w:color w:val="233C7D"/>
                <w:sz w:val="19"/>
              </w:rPr>
              <w:t>articleQuantity</w:t>
            </w:r>
          </w:p>
        </w:tc>
        <w:tc>
          <w:tcPr>
            <w:tcW w:type="dxa" w:w="2608"/>
          </w:tcPr>
          <w:p>
            <w:pPr>
              <w:spacing w:after="0"/>
            </w:pPr>
            <w:r>
              <w:rPr>
                <w:rFonts w:ascii="Consolas" w:hAnsi="Consolas"/>
                <w:b w:val="0"/>
                <w:color w:val="233C7D"/>
                <w:sz w:val="19"/>
              </w:rPr>
              <w:t>number (intero &gt; 0)</w:t>
            </w:r>
          </w:p>
        </w:tc>
        <w:tc>
          <w:tcPr>
            <w:tcW w:type="dxa" w:w="4876"/>
          </w:tcPr>
          <w:p>
            <w:pPr>
              <w:spacing w:after="0"/>
            </w:pPr>
            <w:r>
              <w:rPr>
                <w:b w:val="0"/>
                <w:sz w:val="19"/>
              </w:rPr>
              <w:t>Nuovo totale, numero intero maggiore di 0.</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Nuova soglia, numero intero; null se la soglia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 "8c2e4a1b-6f3d-4b7e-a9c5-1d2e3f4a5b6c",</w:t>
      </w:r>
    </w:p>
    <w:p>
      <w:pPr>
        <w:keepNext/>
        <w:spacing w:after="0"/>
        <w:shd w:val="clear" w:color="auto" w:fill="F1F3F8"/>
      </w:pPr>
      <w:r>
        <w:rPr>
          <w:rFonts w:ascii="Consolas" w:hAnsi="Consolas"/>
          <w:b w:val="0"/>
          <w:color w:val="233C7D"/>
          <w:sz w:val="19"/>
        </w:rPr>
        <w:t xml:space="preserve">  "articleQuantity": 110,</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(idProperty, idItem, articleQuantity,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"articleQuantity",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400 con l'errore su idItems.</w:t>
      </w:r>
    </w:p>
    <w:p>
      <w:pPr>
        <w:pStyle w:val="ListBullet"/>
      </w:pPr>
      <w:r>
        <w:t>Eliminazione logica: il backend imposta deleted_at e l'articolo non compare più in warehouse/list né in warehouse/combobox-list.</w:t>
      </w:r>
    </w:p>
    <w:p>
      <w:pPr>
        <w:pStyle w:val="ListBullet"/>
      </w:pPr>
      <w:r>
        <w:t>Se la chiamata riesce, il popup si chiude, gli id eliminati escono dalla selezione e la tabella rifà warehouse/list; se fallisce, il popup resta aperto con il messaggio del code.</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non valido, idItems vuoto o con un id che non è un articolo attivo dello stabilimento: in errors[] validation.invalid_value (idProperty, idItems). Non viene eliminato nulla.</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"idItems",</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400 con l'errore su idItems.</w:t>
      </w:r>
    </w:p>
    <w:p>
      <w:pPr>
        <w:pStyle w:val="ListBullet"/>
      </w:pPr>
      <w:r>
        <w:t>Se la chiamata riesce, il popup si chiude, dopo "Duplica selezione" la selezione si svuota e la tabella rifà warehouse/list; se fallisce, il popup resta aperto con il messaggio del code.</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non valido, idItems vuoto o con un id che non è un articolo attivo dello stabilimento: in errors[] validation.invalid_value (idProperty, idItems). Non viene duplicato nulla.</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"idItems",</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restituire smtpPassword in chiaro la rende leggibile nel browser (strumenti per sviluppatori, cache, estensioni) anche se il campo la nasconde. Proposta del frontend, da decidere col backend: non restituirla mai (es. null o un indicatore "impostata") e, al salvataggio, inviarla solo se l'utente la cambia.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smtpPassword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del server SMTP (smtp_password).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"password-di-esempio",</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assente o non valido: in errors[] validation.invalid_value (idProperty).</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idProperty:</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"idProperty",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Pick&lt;ManagementRequest, 'idProperty'&gt;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 la risposta contiene solo i suoi articoli.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assente o non valido: in errors[] validation.invalid_value (idProperty).</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idProperty:</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"idProperty",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e compare il messaggio del code.</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null,</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obbligatorio manca o è vuoto, o idProperty non è valido: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w:t>
            </w:r>
          </w:p>
        </w:tc>
        <w:tc>
          <w:tcPr>
            <w:tcW w:type="dxa" w:w="4649"/>
          </w:tcPr>
          <w:p>
            <w:pPr>
              <w:spacing w:after="0"/>
            </w:pPr>
            <w:r>
              <w:rPr>
                <w:b w:val="0"/>
                <w:sz w:val="19"/>
              </w:rPr>
              <w:t>Email o password non corrette (signin).</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o assente (es. un bookingDayType inesistente, un idProperty mancante, un articolo che non è dello stabilimento, l'avviso di soglia acceso senza soglia maggiore di 0).</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