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/api/vouchers/update-voucher-item</w:t>
            </w:r>
          </w:p>
        </w:tc>
        <w:tc>
          <w:tcPr>
            <w:tcW w:type="dxa" w:w="4876"/>
            <w:shd w:val="clear" w:color="auto" w:fill="F1F3F8"/>
          </w:tcPr>
          <w:p>
            <w:pPr>
              <w:spacing w:after="0"/>
            </w:pPr>
            <w:r>
              <w:rPr>
                <w:b w:val="0"/>
                <w:sz w:val="19"/>
              </w:rPr>
              <w:t>Sconti e voucher: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/api/vouchers/get-selected-item?idVoucher={idVoucher}</w:t>
            </w:r>
          </w:p>
        </w:tc>
        <w:tc>
          <w:tcPr>
            <w:tcW w:type="dxa" w:w="4876"/>
          </w:tcPr>
          <w:p>
            <w:pPr>
              <w:spacing w:after="0"/>
            </w:pPr>
            <w:r>
              <w:rPr>
                <w:b w:val="0"/>
                <w:sz w:val="19"/>
              </w:rPr>
              <w:t>Sconti e voucher: dati per la modifica</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