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Retention — chiarimenti da validare</w:t>
      </w:r>
    </w:p>
    <w:p>
      <w:r>
        <w:t>Durante l'incrocio tra la revisione tecnica del database e le risposte fornite nella validazione della retention (“retention (1).docx”, trascritta in docs/82-retention-data.md) sono emerse alcune contraddizioni interne e alcune tensioni con gli obblighi legali già indicati nello stesso documento. Le domande sotto vanno risolte prima di dimensionare i job di archiviazione/cancellazione e il partizionamento delle tabelle coinvolte.</w:t>
      </w:r>
    </w:p>
    <w:p>
      <w:r>
        <w:t>Per ciascuna domanda: contesto/perché conta, tabelle del nuovo schema coinvolte, e uno spazio per la risposta del titolare.</w:t>
      </w:r>
    </w:p>
    <w:p>
      <w:pPr>
        <w:pStyle w:val="Heading1"/>
      </w:pPr>
      <w:r>
        <w:t>Q1 — Contraddizione interna</w:t>
      </w:r>
    </w:p>
    <w:p>
      <w:r>
        <w:rPr>
          <w:b/>
        </w:rPr>
        <w:t xml:space="preserve">Domanda: </w:t>
      </w:r>
      <w:r>
        <w:t>Il “dettaglio prenotazione” (griglie prezzo giorno-per-giorno, snapshot mappa/prezzi, articoli per data) va tenuto online N-1 (stagione corrente + precedente) o N-2 (stagione corrente + due precedenti)?</w:t>
      </w:r>
    </w:p>
    <w:p>
      <w:r>
        <w:rPr>
          <w:b/>
        </w:rPr>
        <w:t xml:space="preserve">Contesto / perché conta: </w:t>
      </w:r>
      <w:r>
        <w:t>Nella tabella per categoria (§3.1) la riga “Righe/dettaglio postazione” riporta la conferma “ok” sulla proposta N-1 (“fine S + 1 S”). Nel cheat sheet (§6) la stessa categoria (“Dettaglio prenotazione”) riporta invece “N-2”. Le due risposte, sullo stesso dato, sono diverse.</w:t>
      </w:r>
    </w:p>
    <w:p>
      <w:r>
        <w:rPr>
          <w:b/>
        </w:rPr>
        <w:t xml:space="preserve">Tabelle coinvolte: </w:t>
      </w:r>
      <w:r>
        <w:t>booking_lines e tabelle satellite (booking_line_additional_items, ecc.)</w:t>
      </w:r>
    </w:p>
    <w:p>
      <w:r>
        <w:rPr>
          <w:b/>
        </w:rPr>
        <w:t xml:space="preserve">Considerazioni / scelta del proprietario: </w:t>
      </w:r>
      <w:r/>
    </w:p>
    <w:p>
      <w:r>
        <w:t>__________________________________________________________________________________________</w:t>
      </w:r>
    </w:p>
    <w:p/>
    <w:p>
      <w:pPr>
        <w:pStyle w:val="Heading1"/>
      </w:pPr>
      <w:r>
        <w:t>Q2 — Contraddizione interna</w:t>
      </w:r>
    </w:p>
    <w:p>
      <w:r>
        <w:rPr>
          <w:b/>
        </w:rPr>
        <w:t xml:space="preserve">Domanda: </w:t>
      </w:r>
      <w:r>
        <w:t>Stessa domanda per “assenze pianificate / rivendita del posto / riserve morbide / blocchi mappa”: la finestra online è N-1 o N-2?</w:t>
      </w:r>
    </w:p>
    <w:p>
      <w:r>
        <w:rPr>
          <w:b/>
        </w:rPr>
        <w:t xml:space="preserve">Contesto / perché conta: </w:t>
      </w:r>
      <w:r>
        <w:t>Nella tabella per categoria (§3.1) le righe “Assenze pianificate” e “Riserve morbide di postazione” riportano “ok”/“Ok” sulla proposta N-1. Nel cheat sheet (§6) la riga “Assenze / sharing / blocchi mappa” riporta invece “N-2”.</w:t>
      </w:r>
    </w:p>
    <w:p>
      <w:r>
        <w:rPr>
          <w:b/>
        </w:rPr>
        <w:t xml:space="preserve">Tabelle coinvolte: </w:t>
      </w:r>
      <w:r>
        <w:t>booking_resale_offers, booking_spot_holds e tabelle satellite</w:t>
      </w:r>
    </w:p>
    <w:p>
      <w:r>
        <w:rPr>
          <w:b/>
        </w:rPr>
        <w:t xml:space="preserve">Considerazioni / scelta del proprietario: </w:t>
      </w:r>
      <w:r/>
    </w:p>
    <w:p>
      <w:r>
        <w:t>__________________________________________________________________________________________</w:t>
      </w:r>
    </w:p>
    <w:p/>
    <w:p>
      <w:pPr>
        <w:pStyle w:val="Heading1"/>
      </w:pPr>
      <w:r>
        <w:t>Q3 — Contraddizione interna</w:t>
      </w:r>
    </w:p>
    <w:p>
      <w:r>
        <w:rPr>
          <w:b/>
        </w:rPr>
        <w:t xml:space="preserve">Domanda: </w:t>
      </w:r>
      <w:r>
        <w:t>Alla cessazione di uno stabilimento, la scheda vetrina deve restare pubblicamente visibile (per popolare il portale web) anche se la configurazione sottostante segue la normale cascata di retention? Se sì, quali campi specifici (nome, foto, posizione, descrizione) devono sopravvivere alla cascata, e quali seguono invece le regole ordinarie di cancellazione?</w:t>
      </w:r>
    </w:p>
    <w:p>
      <w:r>
        <w:rPr>
          <w:b/>
        </w:rPr>
        <w:t xml:space="preserve">Contesto / perché conta: </w:t>
      </w:r>
      <w:r>
        <w:t>La cascata di retention (§5) prevede, “subito” dopo la cessazione, di “rimuovere la scheda dalla ricerca pubblica”. La nota del titolare sulla stessa riga dice invece: “Non rimuovere la scheda dalla ricerca, perché serve per la popolazione del portale”. Questo crea inoltre una tensione con la fase successiva della stessa cascata (“+3 mesi: cancella le tabelle di configurazione dal DB operativo”): se la scheda deve restare visibile, la configurazione che la alimenta non può essere cancellata integralmente a quel punto.</w:t>
      </w:r>
    </w:p>
    <w:p>
      <w:r>
        <w:rPr>
          <w:b/>
        </w:rPr>
        <w:t xml:space="preserve">Tabelle coinvolte: </w:t>
      </w:r>
      <w:r>
        <w:t>catalog_bathhouses, catalog_properties, tabelle di configurazione C2</w:t>
      </w:r>
    </w:p>
    <w:p>
      <w:r>
        <w:rPr>
          <w:b/>
        </w:rPr>
        <w:t xml:space="preserve">Considerazioni / scelta del proprietario: </w:t>
      </w:r>
      <w:r/>
    </w:p>
    <w:p>
      <w:r>
        <w:t>__________________________________________________________________________________________</w:t>
      </w:r>
    </w:p>
    <w:p/>
    <w:p>
      <w:pPr>
        <w:pStyle w:val="Heading1"/>
      </w:pPr>
      <w:r>
        <w:t>Q4 — Tensione con obbligo legale</w:t>
      </w:r>
    </w:p>
    <w:p>
      <w:r>
        <w:rPr>
          <w:b/>
        </w:rPr>
        <w:t xml:space="preserve">Domanda: </w:t>
      </w:r>
      <w:r>
        <w:t>Le spese/addebiti da POS esterni sono da conservare 10 anni (obbligo legale, “concorrono al conto/fiscale”) o è corretto cancellarne l'archivio dopo 5 anni come richiesto? Se i dati POS non fanno effettivamente parte della documentazione fiscale obbligatoria (che risiede altrove, es. lo scontrino elettronico Fiskaly), va confermato esplicitamente; altrimenti la scelta a 5 anni va rivista con il commercialista/DPO prima di implementare il job di cancellazione.</w:t>
      </w:r>
    </w:p>
    <w:p>
      <w:r>
        <w:rPr>
          <w:b/>
        </w:rPr>
        <w:t xml:space="preserve">Contesto / perché conta: </w:t>
      </w:r>
      <w:r>
        <w:t>La colonna “Retention minima (legale)” della stessa riga dichiara “10 anni (concorrono al conto/fiscale)”, ma la nota del titolare chiede “cancella archivio a 5 anni”. È una scelta consapevole o un'incoerenza da correggere?</w:t>
      </w:r>
    </w:p>
    <w:p>
      <w:r>
        <w:rPr>
          <w:b/>
        </w:rPr>
        <w:t xml:space="preserve">Tabelle coinvolte: </w:t>
      </w:r>
      <w:r>
        <w:t>payment_pos_charges, payment_pos_charge_items</w:t>
      </w:r>
    </w:p>
    <w:p>
      <w:r>
        <w:rPr>
          <w:b/>
        </w:rPr>
        <w:t xml:space="preserve">Considerazioni / scelta del proprietario: </w:t>
      </w:r>
      <w:r/>
    </w:p>
    <w:p>
      <w:r>
        <w:t>__________________________________________________________________________________________</w:t>
      </w:r>
    </w:p>
    <w:p/>
    <w:p>
      <w:pPr>
        <w:pStyle w:val="Heading1"/>
      </w:pPr>
      <w:r>
        <w:t>Q5 — Tensione con esigenza di audit</w:t>
      </w:r>
    </w:p>
    <w:p>
      <w:r>
        <w:rPr>
          <w:b/>
        </w:rPr>
        <w:t xml:space="preserve">Domanda: </w:t>
      </w:r>
      <w:r>
        <w:t>Se un account staff viene cancellato fisicamente 12 mesi dopo la revoca dell'accesso, ma ha emesso scontrini/incassi ancora dentro la finestra fiscale di 10 anni, come si preserva la tracciabilità “chi ha fatto cosa” richiesta per l'audit fiscale/contabile? Si mantiene solo un id/nome congelato sulle righe fiscali, o si rimanda la cancellazione dell'account finché ha ancora documenti fiscali collegati?</w:t>
      </w:r>
    </w:p>
    <w:p>
      <w:r>
        <w:rPr>
          <w:b/>
        </w:rPr>
        <w:t xml:space="preserve">Contesto / perché conta: </w:t>
      </w:r>
      <w:r>
        <w:t>La proposta di base prevedeva “anonimizza dopo 24 mesi” (pseudonimizzazione, non cancellazione fisica). Il titolare ha chiesto invece “cancella dopo 12 mesi dalla revoca”: hard-delete, a metà del tempo. La sezione sui log applicativi (§3.9) richiede però un audit fiscale/contabile conservato per anni, allineato al fiscale.</w:t>
      </w:r>
    </w:p>
    <w:p>
      <w:r>
        <w:rPr>
          <w:b/>
        </w:rPr>
        <w:t xml:space="preserve">Tabelle coinvolte: </w:t>
      </w:r>
      <w:r>
        <w:t>identity_access_users, fiskaly_receipts, payment_ledger_entries</w:t>
      </w:r>
    </w:p>
    <w:p>
      <w:r>
        <w:rPr>
          <w:b/>
        </w:rPr>
        <w:t xml:space="preserve">Considerazioni / scelta del proprietario: </w:t>
      </w:r>
      <w:r/>
    </w:p>
    <w:p>
      <w:r>
        <w:t>__________________________________________________________________________________________</w:t>
      </w:r>
    </w:p>
    <w:p/>
    <w:p>
      <w:pPr>
        <w:pStyle w:val="Heading1"/>
      </w:pPr>
      <w:r>
        <w:t>Q6 — Chiarimento lessicale</w:t>
      </w:r>
    </w:p>
    <w:p>
      <w:r>
        <w:rPr>
          <w:b/>
        </w:rPr>
        <w:t xml:space="preserve">Domanda: </w:t>
      </w:r>
      <w:r>
        <w:t>Cosa significa l'annotazione “S-1” sulla riga “Prenotazioni di soli servizi” (colonna “Retention minima legale”)? Sembra riferirsi a una finestra operativa (stagione -1?), non a un obbligo legale — è un refuso per “N-1” o indica qualcos'altro?</w:t>
      </w:r>
    </w:p>
    <w:p>
      <w:r>
        <w:rPr>
          <w:b/>
        </w:rPr>
        <w:t xml:space="preserve">Contesto / perché conta: </w:t>
      </w:r>
      <w:r>
        <w:t>L'annotazione compare in una colonna che nel resto del documento riporta sempre un obbligo legale (es. “10 anni”) o “-” quando non c'è: “S-1” è l'unico valore di questo tipo e non è chiaro a cosa si riferisca.</w:t>
      </w:r>
    </w:p>
    <w:p>
      <w:r>
        <w:rPr>
          <w:b/>
        </w:rPr>
        <w:t xml:space="preserve">Tabelle coinvolte: </w:t>
      </w:r>
      <w:r>
        <w:t>booking_reservations (reservation_kind = service)</w:t>
      </w:r>
    </w:p>
    <w:p>
      <w:r>
        <w:rPr>
          <w:b/>
        </w:rPr>
        <w:t xml:space="preserve">Considerazioni / scelta del proprietario: </w:t>
      </w:r>
      <w:r/>
    </w:p>
    <w:p>
      <w:r>
        <w:t>__________________________________________________________________________________________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