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08/10/2026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/api/taxation/printer-list?idProperty={idProperty}</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/api/taxation/printer-list?idProperty={idProperty}</w:t>
      </w:r>
    </w:p>
    <w:p>
      <w:r>
        <w:t>Fiscalizzazione: stampanti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/api/taxation/printer-list?idProperty={idProperty}</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nome, indirizzo IP, interruttore e cestino.</w:t>
      </w:r>
    </w:p>
    <w:p>
      <w:pPr>
        <w:pStyle w:val="ListBullet"/>
      </w:pPr>
      <w:r>
        <w:t>È una GET: lo stabilimento viaggia nella query string (?idProperty=…), non nel corpo. Rotta e metodo sono una proposta del frontend, da confermare col backend.</w:t>
      </w:r>
    </w:p>
    <w:p>
      <w:pPr>
        <w:pStyle w:val="ListBullet"/>
      </w:pPr>
      <w:r>
        <w:t>Se la chiamata fallisce il messaggio del code compare nel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La risposta è un array, senza un oggetto che lo contiene. Array vuoto se lo stabilimento non ha stampanti.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