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operation.not_allowed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/api/taxation/printer-list?idProperty={idProperty}</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/api/taxation/delete-printer</w:t>
            </w:r>
          </w:p>
        </w:tc>
        <w:tc>
          <w:tcPr>
            <w:tcW w:type="dxa" w:w="4876"/>
          </w:tcPr>
          <w:p>
            <w:pPr>
              <w:spacing w:after="0"/>
            </w:pPr>
            <w:r>
              <w:rPr>
                <w:b w:val="0"/>
                <w:sz w:val="19"/>
              </w:rPr>
              <w:t>Fiscalizzazione: eliminazione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/api/taxation/download-guide-electronic-receipt</w:t>
            </w:r>
          </w:p>
        </w:tc>
        <w:tc>
          <w:tcPr>
            <w:tcW w:type="dxa" w:w="4876"/>
            <w:shd w:val="clear" w:color="auto" w:fill="F1F3F8"/>
          </w:tcPr>
          <w:p>
            <w:pPr>
              <w:spacing w:after="0"/>
            </w:pPr>
            <w:r>
              <w:rPr>
                <w:b w:val="0"/>
                <w:sz w:val="19"/>
              </w:rPr>
              <w:t>Fiscalizzazione: guida dello scontrino elettronico</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/api/taxation/electronic-receipt?idProperty={idProperty}</w:t>
            </w:r>
          </w:p>
        </w:tc>
        <w:tc>
          <w:tcPr>
            <w:tcW w:type="dxa" w:w="4876"/>
          </w:tcPr>
          <w:p>
            <w:pPr>
              <w:spacing w:after="0"/>
            </w:pPr>
            <w:r>
              <w:rPr>
                <w:b w:val="0"/>
                <w:sz w:val="19"/>
              </w:rPr>
              <w:t>Fiscalizzazione: scontrino elettronico</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Nel frontend il corpo è ManagementRequest (campi comuni del gestionale) unito a PageRequest (paginazione, ricerca e ordinamento della tabella); qui è mostrato come un unico oggetto.</w:t>
      </w:r>
    </w:p>
    <w:p>
      <w:pPr>
        <w:pStyle w:val="ListBullet"/>
      </w:pPr>
      <w:r>
        <w:t>La tabella rifà la chiamata, tornando a pagina 1, quando cambiano i filtri dell'header,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ManagementRequest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datetimeFrom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Inizio del primo giorno scelto: mezzanotte UTC, es. 2026-09-29T00:00:00.000Z.</w:t>
            </w:r>
          </w:p>
        </w:tc>
      </w:tr>
      <w:tr>
        <w:trPr>
          <w:cantSplit w:val="true"/>
        </w:trPr>
        <w:tc>
          <w:tcPr>
            <w:tcW w:type="dxa" w:w="2381"/>
          </w:tcPr>
          <w:p>
            <w:pPr>
              <w:spacing w:after="0"/>
            </w:pPr>
            <w:r>
              <w:rPr>
                <w:rFonts w:ascii="Consolas" w:hAnsi="Consolas"/>
                <w:b w:val="0"/>
                <w:color w:val="233C7D"/>
                <w:sz w:val="19"/>
              </w:rPr>
              <w:t>datetimeTo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istante dell'ultimo giorno scelto, es. 2026-09-29T23:59:59.999Z.</w:t>
            </w:r>
          </w:p>
        </w:tc>
      </w:tr>
      <w:tr>
        <w:trPr>
          <w:cantSplit w:val="true"/>
        </w:trPr>
        <w:tc>
          <w:tcPr>
            <w:tcW w:type="dxa" w:w="2381"/>
            <w:shd w:val="clear" w:color="auto" w:fill="F1F3F8"/>
          </w:tcPr>
          <w:p>
            <w:pPr>
              <w:spacing w:after="0"/>
            </w:pPr>
            <w:r>
              <w:rPr>
                <w:rFonts w:ascii="Consolas" w:hAnsi="Consolas"/>
                <w:b w:val="0"/>
                <w:color w:val="233C7D"/>
                <w:sz w:val="19"/>
              </w:rPr>
              <w:t>bookingDayType</w:t>
            </w:r>
          </w:p>
        </w:tc>
        <w:tc>
          <w:tcPr>
            <w:tcW w:type="dxa" w:w="2608"/>
            <w:shd w:val="clear" w:color="auto" w:fill="F1F3F8"/>
          </w:tcPr>
          <w:p>
            <w:pPr>
              <w:spacing w:after="0"/>
            </w:pPr>
            <w:r>
              <w:rPr>
                <w:rFonts w:ascii="Consolas" w:hAnsi="Consolas"/>
                <w:b w:val="0"/>
                <w:color w:val="233C7D"/>
                <w:sz w:val="19"/>
              </w:rPr>
              <w:t>string (enum BookingDayType)</w:t>
            </w:r>
          </w:p>
        </w:tc>
        <w:tc>
          <w:tcPr>
            <w:tcW w:type="dxa" w:w="4876"/>
            <w:shd w:val="clear" w:color="auto" w:fill="F1F3F8"/>
          </w:tcPr>
          <w:p>
            <w:pPr>
              <w:spacing w:after="0"/>
            </w:pPr>
            <w:r>
              <w:rPr>
                <w:b w:val="0"/>
                <w:sz w:val="19"/>
              </w:rPr>
              <w:t>Parte della giornata: FullDay | Morning | Afternoon.</w:t>
            </w:r>
          </w:p>
        </w:tc>
      </w:tr>
      <w:tr>
        <w:trPr>
          <w:cantSplit w:val="true"/>
        </w:trPr>
        <w:tc>
          <w:tcPr>
            <w:tcW w:type="dxa" w:w="2381"/>
          </w:tcPr>
          <w:p>
            <w:pPr>
              <w:spacing w:after="0"/>
            </w:pPr>
            <w:r>
              <w:rPr>
                <w:rFonts w:ascii="Consolas" w:hAnsi="Consolas"/>
                <w:b w:val="0"/>
                <w:color w:val="233C7D"/>
                <w:sz w:val="19"/>
              </w:rPr>
              <w:t>page</w:t>
            </w:r>
          </w:p>
        </w:tc>
        <w:tc>
          <w:tcPr>
            <w:tcW w:type="dxa" w:w="2608"/>
          </w:tcPr>
          <w:p>
            <w:pPr>
              <w:spacing w:after="0"/>
            </w:pPr>
            <w:r>
              <w:rPr>
                <w:rFonts w:ascii="Consolas" w:hAnsi="Consolas"/>
                <w:b w:val="0"/>
                <w:color w:val="233C7D"/>
                <w:sz w:val="19"/>
              </w:rPr>
              <w:t>number (intero, da 1)</w:t>
            </w:r>
          </w:p>
        </w:tc>
        <w:tc>
          <w:tcPr>
            <w:tcW w:type="dxa" w:w="4876"/>
          </w:tcPr>
          <w:p>
            <w:pPr>
              <w:spacing w:after="0"/>
            </w:pPr>
            <w:r>
              <w:rPr>
                <w:b w:val="0"/>
                <w:sz w:val="19"/>
              </w:rPr>
              <w:t>Pagina richiesta.</w:t>
            </w:r>
          </w:p>
        </w:tc>
      </w:tr>
      <w:tr>
        <w:trPr>
          <w:cantSplit w:val="true"/>
        </w:trPr>
        <w:tc>
          <w:tcPr>
            <w:tcW w:type="dxa" w:w="2381"/>
            <w:shd w:val="clear" w:color="auto" w:fill="F1F3F8"/>
          </w:tcPr>
          <w:p>
            <w:pPr>
              <w:spacing w:after="0"/>
            </w:pPr>
            <w:r>
              <w:rPr>
                <w:rFonts w:ascii="Consolas" w:hAnsi="Consolas"/>
                <w:b w:val="0"/>
                <w:color w:val="233C7D"/>
                <w:sz w:val="19"/>
              </w:rPr>
              <w:t>pageSize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Righe per pagina: 10 (predefinito), 20, 50 o 100, scelte dall'utente con il selettore della tabella.</w:t>
            </w:r>
          </w:p>
        </w:tc>
      </w:tr>
      <w:tr>
        <w:trPr>
          <w:cantSplit w:val="true"/>
        </w:trPr>
        <w:tc>
          <w:tcPr>
            <w:tcW w:type="dxa" w:w="2381"/>
          </w:tcPr>
          <w:p>
            <w:pPr>
              <w:spacing w:after="0"/>
            </w:pPr>
            <w:r>
              <w:rPr>
                <w:rFonts w:ascii="Consolas" w:hAnsi="Consolas"/>
                <w:b w:val="0"/>
                <w:color w:val="233C7D"/>
                <w:sz w:val="19"/>
              </w:rPr>
              <w:t>search</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"datetimeFrom": "2026-09-29T00:00:00.000Z",</w:t>
      </w:r>
    </w:p>
    <w:p>
      <w:pPr>
        <w:keepNext/>
        <w:spacing w:after="0"/>
        <w:shd w:val="clear" w:color="auto" w:fill="F1F3F8"/>
      </w:pPr>
      <w:r>
        <w:rPr>
          <w:rFonts w:ascii="Consolas" w:hAnsi="Consolas"/>
          <w:b w:val="0"/>
          <w:color w:val="233C7D"/>
          <w:sz w:val="19"/>
        </w:rPr>
        <w:t xml:space="preserve">  "datetimeTo": "2026-09-29T23:59:59.999Z",</w:t>
      </w:r>
    </w:p>
    <w:p>
      <w:pPr>
        <w:keepNext/>
        <w:spacing w:after="0"/>
        <w:shd w:val="clear" w:color="auto" w:fill="F1F3F8"/>
      </w:pPr>
      <w:r>
        <w:rPr>
          <w:rFonts w:ascii="Consolas" w:hAnsi="Consolas"/>
          <w:b w:val="0"/>
          <w:color w:val="233C7D"/>
          <w:sz w:val="19"/>
        </w:rPr>
        <w:t xml:space="preserve">  "bookingDayType": "FullDay",</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non validi, uno per campo in errors[]: validation.invalid_date (datetimeFrom, datetimeTo), validation.end_before_start (datetimeTo prima di datetimeFrom), validation.invalid_value (bookingDayType).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datetimeTo precedente a datetimeFrom:</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null,</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null,</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/api/taxation/printer-list?idProperty={idProperty}</w:t>
      </w:r>
    </w:p>
    <w:p>
      <w:r>
        <w:t>Fiscalizzazione: stampanti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/api/taxation/printer-list?idProperty={idProperty}</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È una GET: lo stabilimento viaggia nella query string (?idProperty=…), non nel corpo. Rotta e metodo sono una proposta del frontend, da confermare col backend.</w:t>
      </w:r>
    </w:p>
    <w:p>
      <w:pPr>
        <w:pStyle w:val="ListBullet"/>
      </w:pPr>
      <w:r>
        <w:t>Se la chiamata fallisce compare il popup "Errore" con Chiudi e Riprova, come per le altre tabelle.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La risposta è un array, senza un oggetto che lo contiene. Array vuoto se lo stabilimento non ha stampanti.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DownloadGuideElectronicReceiptRequest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in un campo che l'utente compila (es. un bookingDayType inesistente, l'avviso di soglia acceso senza soglia maggiore di 0). Mai su un id: un id sbagliato annulla l'operazione con resource.not_found o operation.not_allowed.</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operation.not_allowed</w:t>
            </w:r>
          </w:p>
        </w:tc>
        <w:tc>
          <w:tcPr>
            <w:tcW w:type="dxa" w:w="1928"/>
          </w:tcPr>
          <w:p>
            <w:pPr>
              <w:spacing w:after="0"/>
            </w:pPr>
            <w:r>
              <w:rPr>
                <w:b w:val="0"/>
                <w:sz w:val="19"/>
              </w:rPr>
              <w:t>403</w:t>
            </w:r>
          </w:p>
        </w:tc>
        <w:tc>
          <w:tcPr>
            <w:tcW w:type="dxa" w:w="4649"/>
          </w:tcPr>
          <w:p>
            <w:pPr>
              <w:spacing w:after="0"/>
            </w:pPr>
            <w:r>
              <w:rPr>
                <w:b w:val="0"/>
                <w:sz w:val="19"/>
              </w:rPr>
              <w:t>idProperty assente, sconosciuto o non dell'utente: l'operazione è annullata, senza errors[].</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