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14/10/2026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valore scelto diventa un oggetto di filters (es. due tipologie = due oggetti con field bookingTypology),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"FullyPaid"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null,</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null</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null,</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null,</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Aggiungi sconto/voucher e modifica non chiamano ancora nessuna API.</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(signin), 400 in errors[] (database/move-to-trash)</w:t>
            </w:r>
          </w:p>
        </w:tc>
        <w:tc>
          <w:tcPr>
            <w:tcW w:type="dxa" w:w="4649"/>
          </w:tcPr>
          <w:p>
            <w:pPr>
              <w:spacing w:after="0"/>
            </w:pPr>
            <w:r>
              <w:rPr>
                <w:b w:val="0"/>
                <w:sz w:val="19"/>
              </w:rPr>
              <w:t>Email o password non corrette (signin);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