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16/10/2026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/api/warehouse/delete-warehouse-item</w:t>
            </w:r>
          </w:p>
        </w:tc>
        <w:tc>
          <w:tcPr>
            <w:tcW w:type="dxa" w:w="4876"/>
            <w:shd w:val="clear" w:color="auto" w:fill="F1F3F8"/>
          </w:tcPr>
          <w:p>
            <w:pPr>
              <w:spacing w:after="0"/>
            </w:pPr>
            <w:r>
              <w:rPr>
                <w:b w:val="0"/>
                <w:sz w:val="19"/>
              </w:rPr>
              <w:t>Magazzino: eliminazione di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/api/warehouse/duplicate-warehouse-item</w:t>
            </w:r>
          </w:p>
        </w:tc>
        <w:tc>
          <w:tcPr>
            <w:tcW w:type="dxa" w:w="4876"/>
          </w:tcPr>
          <w:p>
            <w:pPr>
              <w:spacing w:after="0"/>
            </w:pPr>
            <w:r>
              <w:rPr>
                <w:b w:val="0"/>
                <w:sz w:val="19"/>
              </w:rPr>
              <w:t>Magazzino: duplicazione di articoli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/api/system/email-configuration?idProperty={idProperty}</w:t>
            </w:r>
          </w:p>
        </w:tc>
        <w:tc>
          <w:tcPr>
            <w:tcW w:type="dxa" w:w="4876"/>
            <w:shd w:val="clear" w:color="auto" w:fill="F1F3F8"/>
          </w:tcPr>
          <w:p>
            <w:pPr>
              <w:spacing w:after="0"/>
            </w:pPr>
            <w:r>
              <w:rPr>
                <w:b w:val="0"/>
                <w:sz w:val="19"/>
              </w:rPr>
              <w:t>Configurazione email: lettura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/api/system/send-test-email</w:t>
            </w:r>
          </w:p>
        </w:tc>
        <w:tc>
          <w:tcPr>
            <w:tcW w:type="dxa" w:w="4876"/>
          </w:tcPr>
          <w:p>
            <w:pPr>
              <w:spacing w:after="0"/>
            </w:pPr>
            <w:r>
              <w:rPr>
                <w:b w:val="0"/>
                <w:sz w:val="19"/>
              </w:rPr>
              <w:t>Configurazione email: invio di prova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/api/system/save-email-configuration</w:t>
            </w:r>
          </w:p>
        </w:tc>
        <w:tc>
          <w:tcPr>
            <w:tcW w:type="dxa" w:w="4876"/>
            <w:shd w:val="clear" w:color="auto" w:fill="F1F3F8"/>
          </w:tcPr>
          <w:p>
            <w:pPr>
              <w:spacing w:after="0"/>
            </w:pPr>
            <w:r>
              <w:rPr>
                <w:b w:val="0"/>
                <w:sz w:val="19"/>
              </w:rPr>
              <w:t>Configurazione email: salvataggio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/api/system/info-support</w:t>
            </w:r>
          </w:p>
        </w:tc>
        <w:tc>
          <w:tcPr>
            <w:tcW w:type="dxa" w:w="4876"/>
          </w:tcPr>
          <w:p>
            <w:pPr>
              <w:spacing w:after="0"/>
            </w:pPr>
            <w:r>
              <w:rPr>
                <w:b w:val="0"/>
                <w:sz w:val="19"/>
              </w:rPr>
              <w:t>Assistenza: contatti e orari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/api/system/contact-support</w:t>
            </w:r>
          </w:p>
        </w:tc>
        <w:tc>
          <w:tcPr>
            <w:tcW w:type="dxa" w:w="4876"/>
            <w:shd w:val="clear" w:color="auto" w:fill="F1F3F8"/>
          </w:tcPr>
          <w:p>
            <w:pPr>
              <w:spacing w:after="0"/>
            </w:pPr>
            <w:r>
              <w:rPr>
                <w:b w:val="0"/>
                <w:sz w:val="19"/>
              </w:rPr>
              <w:t>Assistenza: messaggio al supporto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/api/taxation/printer-list</w:t>
            </w:r>
          </w:p>
        </w:tc>
        <w:tc>
          <w:tcPr>
            <w:tcW w:type="dxa" w:w="4876"/>
          </w:tcPr>
          <w:p>
            <w:pPr>
              <w:spacing w:after="0"/>
            </w:pPr>
            <w:r>
              <w:rPr>
                <w:b w:val="0"/>
                <w:sz w:val="19"/>
              </w:rPr>
              <w:t>Fiscalizzazione: stampanti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/api/taxation/set-is-active</w:t>
            </w:r>
          </w:p>
        </w:tc>
        <w:tc>
          <w:tcPr>
            <w:tcW w:type="dxa" w:w="4876"/>
            <w:shd w:val="clear" w:color="auto" w:fill="F1F3F8"/>
          </w:tcPr>
          <w:p>
            <w:pPr>
              <w:spacing w:after="0"/>
            </w:pPr>
            <w:r>
              <w:rPr>
                <w:b w:val="0"/>
                <w:sz w:val="19"/>
              </w:rPr>
              <w:t>Fiscalizzazione: attivazione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/api/taxation/add-printer</w:t>
            </w:r>
          </w:p>
        </w:tc>
        <w:tc>
          <w:tcPr>
            <w:tcW w:type="dxa" w:w="4876"/>
          </w:tcPr>
          <w:p>
            <w:pPr>
              <w:spacing w:after="0"/>
            </w:pPr>
            <w:r>
              <w:rPr>
                <w:b w:val="0"/>
                <w:sz w:val="19"/>
              </w:rPr>
              <w:t>Fiscalizzazione: aggiunta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/api/taxation/delete-printer</w:t>
            </w:r>
          </w:p>
        </w:tc>
        <w:tc>
          <w:tcPr>
            <w:tcW w:type="dxa" w:w="4876"/>
            <w:shd w:val="clear" w:color="auto" w:fill="F1F3F8"/>
          </w:tcPr>
          <w:p>
            <w:pPr>
              <w:spacing w:after="0"/>
            </w:pPr>
            <w:r>
              <w:rPr>
                <w:b w:val="0"/>
                <w:sz w:val="19"/>
              </w:rPr>
              <w:t>Fiscalizzazione: eliminazione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/api/taxation/download-guide-electronic-receipt</w:t>
            </w:r>
          </w:p>
        </w:tc>
        <w:tc>
          <w:tcPr>
            <w:tcW w:type="dxa" w:w="4876"/>
          </w:tcPr>
          <w:p>
            <w:pPr>
              <w:spacing w:after="0"/>
            </w:pPr>
            <w:r>
              <w:rPr>
                <w:b w:val="0"/>
                <w:sz w:val="19"/>
              </w:rPr>
              <w:t>Fiscalizzazione: guida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/api/taxation/electronic-receipt-activation</w:t>
            </w:r>
          </w:p>
        </w:tc>
        <w:tc>
          <w:tcPr>
            <w:tcW w:type="dxa" w:w="4876"/>
            <w:shd w:val="clear" w:color="auto" w:fill="F1F3F8"/>
          </w:tcPr>
          <w:p>
            <w:pPr>
              <w:spacing w:after="0"/>
            </w:pPr>
            <w:r>
              <w:rPr>
                <w:b w:val="0"/>
                <w:sz w:val="19"/>
              </w:rPr>
              <w:t>Fiscalizzazione: attivazione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/api/taxation/save-electronic-receipt-account</w:t>
            </w:r>
          </w:p>
        </w:tc>
        <w:tc>
          <w:tcPr>
            <w:tcW w:type="dxa" w:w="4876"/>
          </w:tcPr>
          <w:p>
            <w:pPr>
              <w:spacing w:after="0"/>
            </w:pPr>
            <w:r>
              <w:rPr>
                <w:b w:val="0"/>
                <w:sz w:val="19"/>
              </w:rPr>
              <w:t>Fiscalizzazione: account dello scontrino elettronico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/api/taxation/electronic-receipt?idProperty={idProperty}</w:t>
            </w:r>
          </w:p>
        </w:tc>
        <w:tc>
          <w:tcPr>
            <w:tcW w:type="dxa" w:w="4876"/>
            <w:shd w:val="clear" w:color="auto" w:fill="F1F3F8"/>
          </w:tcPr>
          <w:p>
            <w:pPr>
              <w:spacing w:after="0"/>
            </w:pPr>
            <w:r>
              <w:rPr>
                <w:b w:val="0"/>
                <w:sz w:val="19"/>
              </w:rPr>
              <w:t>Fiscalizzazione: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/api/database/existing-booking-list</w:t>
            </w:r>
          </w:p>
        </w:tc>
        <w:tc>
          <w:tcPr>
            <w:tcW w:type="dxa" w:w="4876"/>
          </w:tcPr>
          <w:p>
            <w:pPr>
              <w:spacing w:after="0"/>
            </w:pPr>
            <w:r>
              <w:rPr>
                <w:b w:val="0"/>
                <w:sz w:val="19"/>
              </w:rPr>
              <w:t>Database: elenco prenotazioni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/api/database/get-affiliated-hotel-combobox</w:t>
            </w:r>
          </w:p>
        </w:tc>
        <w:tc>
          <w:tcPr>
            <w:tcW w:type="dxa" w:w="4876"/>
            <w:shd w:val="clear" w:color="auto" w:fill="F1F3F8"/>
          </w:tcPr>
          <w:p>
            <w:pPr>
              <w:spacing w:after="0"/>
            </w:pPr>
            <w:r>
              <w:rPr>
                <w:b w:val="0"/>
                <w:sz w:val="19"/>
              </w:rPr>
              <w:t>Database: hotel convenzionati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/api/database/move-to-trash</w:t>
            </w:r>
          </w:p>
        </w:tc>
        <w:tc>
          <w:tcPr>
            <w:tcW w:type="dxa" w:w="4876"/>
          </w:tcPr>
          <w:p>
            <w:pPr>
              <w:spacing w:after="0"/>
            </w:pPr>
            <w:r>
              <w:rPr>
                <w:b w:val="0"/>
                <w:sz w:val="19"/>
              </w:rPr>
              <w:t>Database: conferma della cancellazione con la password</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/api/database/trash-item-list</w:t>
            </w:r>
          </w:p>
        </w:tc>
        <w:tc>
          <w:tcPr>
            <w:tcW w:type="dxa" w:w="4876"/>
            <w:shd w:val="clear" w:color="auto" w:fill="F1F3F8"/>
          </w:tcPr>
          <w:p>
            <w:pPr>
              <w:spacing w:after="0"/>
            </w:pPr>
            <w:r>
              <w:rPr>
                <w:b w:val="0"/>
                <w:sz w:val="19"/>
              </w:rPr>
              <w:t>Database: elenco del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/api/database/empty-trash</w:t>
            </w:r>
          </w:p>
        </w:tc>
        <w:tc>
          <w:tcPr>
            <w:tcW w:type="dxa" w:w="4876"/>
          </w:tcPr>
          <w:p>
            <w:pPr>
              <w:spacing w:after="0"/>
            </w:pPr>
            <w:r>
              <w:rPr>
                <w:b w:val="0"/>
                <w:sz w:val="19"/>
              </w:rPr>
              <w:t>Database: svuota il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/api/database/restore-booking-item</w:t>
            </w:r>
          </w:p>
        </w:tc>
        <w:tc>
          <w:tcPr>
            <w:tcW w:type="dxa" w:w="4876"/>
            <w:shd w:val="clear" w:color="auto" w:fill="F1F3F8"/>
          </w:tcPr>
          <w:p>
            <w:pPr>
              <w:spacing w:after="0"/>
            </w:pPr>
            <w:r>
              <w:rPr>
                <w:b w:val="0"/>
                <w:sz w:val="19"/>
              </w:rPr>
              <w:t>Database: ripristina dal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/api/database/delete-selected-item</w:t>
            </w:r>
          </w:p>
        </w:tc>
        <w:tc>
          <w:tcPr>
            <w:tcW w:type="dxa" w:w="4876"/>
          </w:tcPr>
          <w:p>
            <w:pPr>
              <w:spacing w:after="0"/>
            </w:pPr>
            <w:r>
              <w:rPr>
                <w:b w:val="0"/>
                <w:sz w:val="19"/>
              </w:rPr>
              <w:t>Database: elimina definitivamente dal cestino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/api/sharing/general-information?idProperty={idProperty}</w:t>
            </w:r>
          </w:p>
        </w:tc>
        <w:tc>
          <w:tcPr>
            <w:tcW w:type="dxa" w:w="4876"/>
            <w:shd w:val="clear" w:color="auto" w:fill="F1F3F8"/>
          </w:tcPr>
          <w:p>
            <w:pPr>
              <w:spacing w:after="0"/>
            </w:pPr>
            <w:r>
              <w:rPr>
                <w:b w:val="0"/>
                <w:sz w:val="19"/>
              </w:rPr>
              <w:t>Sharing: impostazioni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/api/sharing/save-information</w:t>
            </w:r>
          </w:p>
        </w:tc>
        <w:tc>
          <w:tcPr>
            <w:tcW w:type="dxa" w:w="4876"/>
          </w:tcPr>
          <w:p>
            <w:pPr>
              <w:spacing w:after="0"/>
            </w:pPr>
            <w:r>
              <w:rPr>
                <w:b w:val="0"/>
                <w:sz w:val="19"/>
              </w:rPr>
              <w:t>Sharing: salvataggio delle impostazioni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/api/vouchers/voucher-list</w:t>
            </w:r>
          </w:p>
        </w:tc>
        <w:tc>
          <w:tcPr>
            <w:tcW w:type="dxa" w:w="4876"/>
            <w:shd w:val="clear" w:color="auto" w:fill="F1F3F8"/>
          </w:tcPr>
          <w:p>
            <w:pPr>
              <w:spacing w:after="0"/>
            </w:pPr>
            <w:r>
              <w:rPr>
                <w:b w:val="0"/>
                <w:sz w:val="19"/>
              </w:rPr>
              <w:t>Sconti e voucher: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/api/vouchers/delete-voucher-item</w:t>
            </w:r>
          </w:p>
        </w:tc>
        <w:tc>
          <w:tcPr>
            <w:tcW w:type="dxa" w:w="4876"/>
          </w:tcPr>
          <w:p>
            <w:pPr>
              <w:spacing w:after="0"/>
            </w:pPr>
            <w:r>
              <w:rPr>
                <w:b w:val="0"/>
                <w:sz w:val="19"/>
              </w:rPr>
              <w:t>Sconti e voucher: eliminazione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/api/vouchers/duplicate-voucher-item</w:t>
            </w:r>
          </w:p>
        </w:tc>
        <w:tc>
          <w:tcPr>
            <w:tcW w:type="dxa" w:w="4876"/>
            <w:shd w:val="clear" w:color="auto" w:fill="F1F3F8"/>
          </w:tcPr>
          <w:p>
            <w:pPr>
              <w:spacing w:after="0"/>
            </w:pPr>
            <w:r>
              <w:rPr>
                <w:b w:val="0"/>
                <w:sz w:val="19"/>
              </w:rPr>
              <w:t>Sconti e voucher: duplicazione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/api/vouchers/add-voucher-item</w:t>
            </w:r>
          </w:p>
        </w:tc>
        <w:tc>
          <w:tcPr>
            <w:tcW w:type="dxa" w:w="4876"/>
          </w:tcPr>
          <w:p>
            <w:pPr>
              <w:spacing w:after="0"/>
            </w:pPr>
            <w:r>
              <w:rPr>
                <w:b w:val="0"/>
                <w:sz w:val="19"/>
              </w:rPr>
              <w:t>Sconti e voucher: aggiunta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/api/vouchers/update-voucher-item</w:t>
            </w:r>
          </w:p>
        </w:tc>
        <w:tc>
          <w:tcPr>
            <w:tcW w:type="dxa" w:w="4876"/>
            <w:shd w:val="clear" w:color="auto" w:fill="F1F3F8"/>
          </w:tcPr>
          <w:p>
            <w:pPr>
              <w:spacing w:after="0"/>
            </w:pPr>
            <w:r>
              <w:rPr>
                <w:b w:val="0"/>
                <w:sz w:val="19"/>
              </w:rPr>
              <w:t>Sconti e voucher: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/api/vouchers/get-selected-item?idVoucher={idVoucher}</w:t>
            </w:r>
          </w:p>
        </w:tc>
        <w:tc>
          <w:tcPr>
            <w:tcW w:type="dxa" w:w="4876"/>
          </w:tcPr>
          <w:p>
            <w:pPr>
              <w:spacing w:after="0"/>
            </w:pPr>
            <w:r>
              <w:rPr>
                <w:b w:val="0"/>
                <w:sz w:val="19"/>
              </w:rPr>
              <w:t>Sconti e voucher: dati per la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/api/catalog/countries-combobox</w:t>
            </w:r>
          </w:p>
        </w:tc>
        <w:tc>
          <w:tcPr>
            <w:tcW w:type="dxa" w:w="4876"/>
            <w:shd w:val="clear" w:color="auto" w:fill="F1F3F8"/>
          </w:tcPr>
          <w:p>
            <w:pPr>
              <w:spacing w:after="0"/>
            </w:pPr>
            <w:r>
              <w:rPr>
                <w:b w:val="0"/>
                <w:sz w:val="19"/>
              </w:rPr>
              <w:t>Catalogo: nazioni per le tendine</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/api/catalog/bathhouse-configuration-general?idProperty={idProperty}</w:t>
            </w:r>
          </w:p>
        </w:tc>
        <w:tc>
          <w:tcPr>
            <w:tcW w:type="dxa" w:w="4876"/>
          </w:tcPr>
          <w:p>
            <w:pPr>
              <w:spacing w:after="0"/>
            </w:pPr>
            <w:r>
              <w:rPr>
                <w:b w:val="0"/>
                <w:sz w:val="19"/>
              </w:rPr>
              <w:t>Informazioni stabilimento: informazioni generali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metodo e nome del campo termsAndConditions sono una proposta del frontend, da confermare col backend.</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ElectronicReceiptResponse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termsAndConditions</w:t>
            </w:r>
          </w:p>
        </w:tc>
        <w:tc>
          <w:tcPr>
            <w:tcW w:type="dxa" w:w="2608"/>
          </w:tcPr>
          <w:p>
            <w:pPr>
              <w:spacing w:after="0"/>
            </w:pPr>
            <w:r>
              <w:rPr>
                <w:rFonts w:ascii="Consolas" w:hAnsi="Consolas"/>
                <w:b w:val="0"/>
                <w:color w:val="233C7D"/>
                <w:sz w:val="19"/>
              </w:rPr>
              <w:t>string (HTML)</w:t>
            </w:r>
          </w:p>
        </w:tc>
        <w:tc>
          <w:tcPr>
            <w:tcW w:type="dxa" w:w="4876"/>
          </w:tcPr>
          <w:p>
            <w:pPr>
              <w:spacing w:after="0"/>
            </w:pPr>
            <w:r>
              <w:rPr>
                <w:b w:val="0"/>
                <w:sz w:val="19"/>
              </w:rPr>
              <w:t>Termini e condizioni dello scontrino elettronico, già formattati in HTML, nella lingua di Accept-Language. Il frontend li mostra ripuliti (niente script, attributi di evento o link javascript:).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"termsAndConditions": "&lt;h4&gt;Generale&lt;/h4&gt;&lt;p&gt;Testo dei termini e condizioni…&lt;/p&gt;"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oggi con tutti i campi null).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