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header1.xml" ContentType="application/vnd.openxmlformats-officedocument.wordprocessingml.header+xml"/>
  <Override PartName="/word/_rels/footer5.xml.rels" ContentType="application/vnd.openxmlformats-package.relationships+xml"/>
  <Override PartName="/word/_rels/document.xml.rels" ContentType="application/vnd.openxmlformats-package.relationships+xml"/>
  <Override PartName="/word/_rels/footer6.xml.rels" ContentType="application/vnd.openxmlformats-package.relationships+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55" w:after="0"/>
        <w:ind w:end="1134"/>
        <w:rPr>
          <w:b/>
          <w:bCs/>
          <w:sz w:val="32"/>
          <w:szCs w:val="32"/>
        </w:rPr>
      </w:pPr>
      <w:r>
        <w:rPr>
          <w:b/>
          <w:bCs/>
          <w:sz w:val="32"/>
          <w:szCs w:val="32"/>
        </w:rPr>
      </w:r>
    </w:p>
    <w:p>
      <w:pPr>
        <w:pStyle w:val="BodyText"/>
        <w:spacing w:before="55" w:after="0"/>
        <w:ind w:end="1134"/>
        <w:jc w:val="center"/>
        <w:rPr>
          <w:b/>
          <w:bCs/>
          <w:sz w:val="32"/>
          <w:szCs w:val="32"/>
        </w:rPr>
      </w:pPr>
      <w:r>
        <w:rPr>
          <w:b/>
          <w:bCs/>
          <w:sz w:val="32"/>
          <w:szCs w:val="32"/>
        </w:rPr>
      </w:r>
    </w:p>
    <w:p>
      <w:pPr>
        <w:pStyle w:val="BodyText"/>
        <w:spacing w:before="55" w:after="0"/>
        <w:ind w:end="1134"/>
        <w:jc w:val="center"/>
        <w:rPr>
          <w:b/>
          <w:bCs/>
          <w:sz w:val="40"/>
          <w:szCs w:val="40"/>
        </w:rPr>
      </w:pPr>
      <w:r>
        <w:rPr>
          <w:b/>
          <w:bCs/>
          <w:sz w:val="40"/>
          <w:szCs w:val="40"/>
        </w:rPr>
        <w:t>Data Lead Engineer</w:t>
      </w:r>
    </w:p>
    <w:p>
      <w:pPr>
        <w:pStyle w:val="BodyText"/>
        <w:spacing w:before="55" w:after="0"/>
        <w:ind w:end="1134"/>
        <w:jc w:val="center"/>
        <w:rPr>
          <w:sz w:val="32"/>
          <w:szCs w:val="32"/>
        </w:rPr>
      </w:pPr>
      <w:r>
        <w:rPr>
          <w:sz w:val="32"/>
          <w:szCs w:val="32"/>
        </w:rPr>
        <w:t xml:space="preserve">Tech Lead </w:t>
      </w:r>
      <w:r>
        <w:rPr>
          <w:rStyle w:val="Strong"/>
          <w:sz w:val="32"/>
          <w:szCs w:val="32"/>
        </w:rPr>
        <w:t xml:space="preserve">/ </w:t>
      </w:r>
      <w:r>
        <w:rPr>
          <w:rStyle w:val="Strong"/>
          <w:b w:val="false"/>
          <w:bCs w:val="false"/>
          <w:sz w:val="32"/>
          <w:szCs w:val="32"/>
        </w:rPr>
        <w:t>Strategy</w:t>
      </w:r>
      <w:r>
        <w:rPr>
          <w:rStyle w:val="Strong"/>
          <w:sz w:val="32"/>
          <w:szCs w:val="32"/>
        </w:rPr>
        <w:t xml:space="preserve"> / </w:t>
      </w:r>
      <w:r>
        <w:rPr>
          <w:rStyle w:val="Strong"/>
          <w:b w:val="false"/>
          <w:bCs w:val="false"/>
          <w:sz w:val="32"/>
          <w:szCs w:val="32"/>
        </w:rPr>
        <w:t>Dataiku</w:t>
      </w:r>
      <w:r>
        <w:rPr>
          <w:rStyle w:val="Strong"/>
          <w:sz w:val="32"/>
          <w:szCs w:val="32"/>
        </w:rPr>
        <w:t xml:space="preserve"> /</w:t>
      </w:r>
      <w:r>
        <w:rPr>
          <w:rStyle w:val="Strong"/>
          <w:b w:val="false"/>
          <w:bCs w:val="false"/>
          <w:sz w:val="32"/>
          <w:szCs w:val="32"/>
        </w:rPr>
        <w:t xml:space="preserve"> Snowflake / DBT / Python / SQL</w:t>
      </w:r>
    </w:p>
    <w:p>
      <w:pPr>
        <w:pStyle w:val="Heading3"/>
        <w:spacing w:before="55" w:after="283"/>
        <w:ind w:end="1134"/>
        <w:rPr>
          <w:rStyle w:val="Strong"/>
          <w:rFonts w:ascii="Arial MT" w:hAnsi="Arial MT" w:eastAsia="Arial MT" w:cs="Arial MT"/>
          <w:b/>
          <w:bCs/>
          <w:sz w:val="22"/>
          <w:szCs w:val="22"/>
        </w:rPr>
      </w:pPr>
      <w:r>
        <w:rPr>
          <w:rFonts w:eastAsia="Arial MT" w:cs="Arial MT" w:ascii="Arial MT" w:hAnsi="Arial MT"/>
          <w:b/>
          <w:bCs/>
          <w:sz w:val="22"/>
          <w:szCs w:val="22"/>
        </w:rPr>
      </w:r>
    </w:p>
    <w:p>
      <w:pPr>
        <w:pStyle w:val="Heading3"/>
        <w:spacing w:before="55" w:after="283"/>
        <w:ind w:end="1134"/>
        <w:rPr>
          <w:rStyle w:val="Strong"/>
          <w:rFonts w:ascii="Arial MT" w:hAnsi="Arial MT" w:eastAsia="Arial MT" w:cs="Arial MT"/>
          <w:b w:val="false"/>
          <w:bCs w:val="false"/>
          <w:sz w:val="32"/>
          <w:szCs w:val="32"/>
        </w:rPr>
      </w:pPr>
      <w:r>
        <w:rPr>
          <w:rStyle w:val="Strong"/>
          <w:rFonts w:eastAsia="Arial MT" w:cs="Arial MT" w:ascii="Arial MT" w:hAnsi="Arial MT"/>
          <w:b/>
          <w:bCs/>
          <w:sz w:val="32"/>
          <w:szCs w:val="32"/>
        </w:rPr>
        <w:t xml:space="preserve">Executive Summary </w:t>
      </w:r>
      <w:r>
        <w:rPr>
          <w:rStyle w:val="Strong"/>
          <w:rFonts w:eastAsia="Arial MT" w:cs="Arial MT" w:ascii="Arial MT" w:hAnsi="Arial MT"/>
          <w:b w:val="false"/>
          <w:bCs w:val="false"/>
          <w:sz w:val="32"/>
          <w:szCs w:val="32"/>
        </w:rPr>
        <w:t>`</w:t>
      </w:r>
    </w:p>
    <w:p>
      <w:pPr>
        <w:pStyle w:val="BodyText"/>
        <w:spacing w:before="55" w:after="283"/>
        <w:ind w:end="1134"/>
        <w:rPr/>
      </w:pPr>
      <w:r>
        <w:rPr/>
        <w:t>PRG est Tech Lead avec 20 ans d’expérience, dont 9 années spécialisé dans l’analyse de données, la visualisation, la gouvernance applicative et la transformation data, notamment au sein de Saint Gobain (Tech Lead Data/BI – près de 4 ans CDI), Autodistribution, Crédit Agricole, FNAC, Société Générale, en environnement international.</w:t>
      </w:r>
    </w:p>
    <w:p>
      <w:pPr>
        <w:pStyle w:val="BodyText"/>
        <w:spacing w:before="55" w:after="283"/>
        <w:ind w:end="1134"/>
        <w:rPr/>
      </w:pPr>
      <w:r>
        <w:rPr/>
        <w:t>Il a une expérience significative dans la conception, l’audit et la sécurisation de solutions data complexes, avec une forte orientation vers les architectures distribuées, les pipelines data et les environnements cloud (AWS, Azure).</w:t>
      </w:r>
    </w:p>
    <w:p>
      <w:pPr>
        <w:pStyle w:val="BodyText"/>
        <w:spacing w:before="55" w:after="283"/>
        <w:ind w:end="1134"/>
        <w:rPr/>
      </w:pPr>
      <w:r>
        <w:rPr/>
        <w:t>Il a piloté notamment un projet au sein de Saint Gobain (Distribution France) en contexte de Legacy endetté techniquement devant migrer vers une cible Cloud pour lesquels devaient être benchmarkées plusieurs solutions (PAAS, IAAS) et mis en place des POCs pour évaluer les performances, couts et délais de migrations, incluant la conduite du changement auprès des Métiers (Finance, Commerce, MarkCom, SCM).</w:t>
      </w:r>
    </w:p>
    <w:p>
      <w:pPr>
        <w:pStyle w:val="BodyText"/>
        <w:numPr>
          <w:ilvl w:val="0"/>
          <w:numId w:val="1"/>
        </w:numPr>
        <w:tabs>
          <w:tab w:val="clear" w:pos="720"/>
          <w:tab w:val="left" w:pos="0" w:leader="none"/>
        </w:tabs>
        <w:spacing w:before="55" w:after="0"/>
        <w:ind w:hanging="283" w:start="709" w:end="1134"/>
        <w:rPr/>
      </w:pPr>
      <w:r>
        <w:rPr>
          <w:rStyle w:val="Strong"/>
        </w:rPr>
        <w:t>Orchestration transverse</w:t>
      </w:r>
      <w:r>
        <w:rPr/>
        <w:t xml:space="preserve"> : Capacité à aligner les équipes techniques, data et métiers autour d’objectifs communs, en garantissant la qualité, la performance et la conformité des solutions. </w:t>
      </w:r>
    </w:p>
    <w:p>
      <w:pPr>
        <w:pStyle w:val="BodyText"/>
        <w:numPr>
          <w:ilvl w:val="0"/>
          <w:numId w:val="1"/>
        </w:numPr>
        <w:tabs>
          <w:tab w:val="clear" w:pos="720"/>
          <w:tab w:val="left" w:pos="0" w:leader="none"/>
        </w:tabs>
        <w:spacing w:before="55" w:after="0"/>
        <w:ind w:hanging="283" w:start="709" w:end="1134"/>
        <w:rPr/>
      </w:pPr>
      <w:r>
        <w:rPr>
          <w:rStyle w:val="Strong"/>
        </w:rPr>
        <w:t>Leadership technique</w:t>
      </w:r>
      <w:r>
        <w:rPr/>
        <w:t xml:space="preserve"> : Expérience dans l’encadrement d’équipes pluridisciplinaires, la résolution de problèmes critiques et la mise en place de bonnes pratiques (ITIL, Agile, CI/CD). </w:t>
      </w:r>
    </w:p>
    <w:p>
      <w:pPr>
        <w:pStyle w:val="BodyText"/>
        <w:numPr>
          <w:ilvl w:val="0"/>
          <w:numId w:val="1"/>
        </w:numPr>
        <w:tabs>
          <w:tab w:val="clear" w:pos="720"/>
          <w:tab w:val="left" w:pos="0" w:leader="none"/>
        </w:tabs>
        <w:spacing w:before="55" w:after="0"/>
        <w:ind w:hanging="283" w:start="709" w:end="1134"/>
        <w:rPr/>
      </w:pPr>
      <w:r>
        <w:rPr>
          <w:rStyle w:val="Strong"/>
        </w:rPr>
        <w:t>Expertise data</w:t>
      </w:r>
      <w:r>
        <w:rPr/>
        <w:t xml:space="preserve"> : Maîtrise des outils Snowflake, DBT, SQL avancé, Python, et des méthodologies de transformation data (ingestion, modélisation, exposition) </w:t>
      </w:r>
      <w:r>
        <w:rPr/>
        <w:t>et de Machine Learning (Dataiku)</w:t>
      </w:r>
    </w:p>
    <w:p>
      <w:pPr>
        <w:pStyle w:val="BodyText"/>
        <w:numPr>
          <w:ilvl w:val="0"/>
          <w:numId w:val="1"/>
        </w:numPr>
        <w:tabs>
          <w:tab w:val="clear" w:pos="720"/>
          <w:tab w:val="left" w:pos="0" w:leader="none"/>
        </w:tabs>
        <w:spacing w:before="55" w:after="283"/>
        <w:ind w:hanging="283" w:start="709" w:end="1134"/>
        <w:rPr/>
      </w:pPr>
      <w:r>
        <w:rPr>
          <w:rStyle w:val="Strong"/>
        </w:rPr>
        <w:t>Approche pragmatique</w:t>
      </w:r>
      <w:r>
        <w:rPr/>
        <w:t xml:space="preserve"> : Capacité à identifier les écarts entre spécifications, implémentation et résultats observés, et à proposer des solutions court et long terme. </w:t>
      </w:r>
    </w:p>
    <w:p>
      <w:pPr>
        <w:pStyle w:val="BodyText"/>
        <w:spacing w:before="55" w:after="283"/>
        <w:ind w:end="1134"/>
        <w:rPr/>
      </w:pPr>
      <w:r>
        <w:rPr/>
        <w:t xml:space="preserve">Chez Saint Gobain, il a </w:t>
      </w:r>
      <w:r>
        <w:rPr>
          <w:shd w:fill="FFFFFF" w:val="clear"/>
        </w:rPr>
        <w:t xml:space="preserve">Managé une équipe de 6 ETP (4 Dev Dataviz et SQL et 2 en Offshore Inde), piloté la stabilité quotidienne de la plateforme (monitoring, prévention des incidents et capacity planning), les montées en version et déploiement </w:t>
      </w:r>
      <w:r>
        <w:rPr/>
        <w:t>(MicroStrategy) et de migration technologique (On Premise → Cloud) via la supervision des travaux en collaboration avec des PO, Business et Ops.</w:t>
      </w:r>
    </w:p>
    <w:p>
      <w:pPr>
        <w:pStyle w:val="BodyText"/>
        <w:spacing w:before="55" w:after="0"/>
        <w:ind w:end="1134"/>
        <w:rPr/>
      </w:pPr>
      <w:r>
        <w:rPr/>
      </w:r>
    </w:p>
    <w:p>
      <w:pPr>
        <w:pStyle w:val="BodyText"/>
        <w:spacing w:before="55" w:after="0"/>
        <w:ind w:end="1134"/>
        <w:rPr/>
      </w:pPr>
      <w:r>
        <w:rPr/>
      </w:r>
    </w:p>
    <w:p>
      <w:pPr>
        <w:pStyle w:val="Heading3"/>
        <w:spacing w:before="0" w:after="0"/>
        <w:ind w:end="1134"/>
        <w:rPr>
          <w:rStyle w:val="Strong"/>
          <w:rFonts w:ascii="Arial MT" w:hAnsi="Arial MT" w:eastAsia="Arial MT" w:cs="Arial MT"/>
          <w:b/>
          <w:bCs/>
          <w:sz w:val="32"/>
          <w:szCs w:val="32"/>
        </w:rPr>
      </w:pPr>
      <w:r>
        <w:rPr>
          <w:rStyle w:val="Strong"/>
          <w:rFonts w:eastAsia="Arial MT" w:cs="Arial MT" w:ascii="Arial MT" w:hAnsi="Arial MT"/>
          <w:b/>
          <w:bCs/>
          <w:sz w:val="32"/>
          <w:szCs w:val="32"/>
        </w:rPr>
        <w:t>Compétences Métiers</w:t>
      </w:r>
    </w:p>
    <w:p>
      <w:pPr>
        <w:pStyle w:val="BodyText"/>
        <w:rPr>
          <w:sz w:val="8"/>
          <w:szCs w:val="8"/>
        </w:rPr>
      </w:pPr>
      <w:r>
        <w:rPr>
          <w:sz w:val="8"/>
          <w:szCs w:val="8"/>
        </w:rPr>
      </w:r>
    </w:p>
    <w:p>
      <w:pPr>
        <w:pStyle w:val="BodyText"/>
        <w:numPr>
          <w:ilvl w:val="0"/>
          <w:numId w:val="2"/>
        </w:numPr>
        <w:tabs>
          <w:tab w:val="clear" w:pos="720"/>
          <w:tab w:val="left" w:pos="0" w:leader="none"/>
        </w:tabs>
        <w:spacing w:before="55" w:after="0"/>
        <w:ind w:hanging="283" w:start="709" w:end="1134"/>
        <w:rPr/>
      </w:pPr>
      <w:r>
        <w:rPr>
          <w:rStyle w:val="Strong"/>
        </w:rPr>
        <w:t>Migration technologique BI</w:t>
      </w:r>
      <w:r>
        <w:rPr/>
        <w:t xml:space="preserve"> : Move to Cloud, rationalisation des couches sémantiques, optimisation des performances et des coûts. </w:t>
      </w:r>
    </w:p>
    <w:p>
      <w:pPr>
        <w:pStyle w:val="BodyText"/>
        <w:numPr>
          <w:ilvl w:val="0"/>
          <w:numId w:val="2"/>
        </w:numPr>
        <w:tabs>
          <w:tab w:val="clear" w:pos="720"/>
          <w:tab w:val="left" w:pos="0" w:leader="none"/>
        </w:tabs>
        <w:spacing w:before="55" w:after="0"/>
        <w:ind w:hanging="283" w:start="709" w:end="1134"/>
        <w:rPr/>
      </w:pPr>
      <w:r>
        <w:rPr>
          <w:rStyle w:val="Strong"/>
        </w:rPr>
        <w:t>Stabilité technique et qualité des données</w:t>
      </w:r>
      <w:r>
        <w:rPr/>
        <w:t xml:space="preserve"> : Mise en place de procédures de sécurité, de monitoring et de conformité (RGPD, ITIL). Assurance de la traçabilité de la donnée.</w:t>
      </w:r>
    </w:p>
    <w:p>
      <w:pPr>
        <w:pStyle w:val="BodyText"/>
        <w:numPr>
          <w:ilvl w:val="0"/>
          <w:numId w:val="2"/>
        </w:numPr>
        <w:tabs>
          <w:tab w:val="clear" w:pos="720"/>
          <w:tab w:val="left" w:pos="0" w:leader="none"/>
        </w:tabs>
        <w:spacing w:before="55" w:after="0"/>
        <w:ind w:hanging="283" w:start="709" w:end="1134"/>
        <w:rPr/>
      </w:pPr>
      <w:r>
        <w:rPr>
          <w:rStyle w:val="Strong"/>
        </w:rPr>
        <w:t>Collaboration transverse</w:t>
      </w:r>
      <w:r>
        <w:rPr/>
        <w:t xml:space="preserve"> : Dialogue avec les équipes métiers, data, et techniques pour garantir la cohérence des solutions. </w:t>
      </w:r>
    </w:p>
    <w:p>
      <w:pPr>
        <w:pStyle w:val="BodyText"/>
        <w:numPr>
          <w:ilvl w:val="0"/>
          <w:numId w:val="2"/>
        </w:numPr>
        <w:tabs>
          <w:tab w:val="clear" w:pos="720"/>
          <w:tab w:val="left" w:pos="0" w:leader="none"/>
        </w:tabs>
        <w:spacing w:before="55" w:after="283"/>
        <w:ind w:hanging="283" w:start="709" w:end="1134"/>
        <w:rPr/>
      </w:pPr>
      <w:r>
        <w:rPr>
          <w:rStyle w:val="Strong"/>
        </w:rPr>
        <w:t>Résolution de problèmes</w:t>
      </w:r>
      <w:r>
        <w:rPr/>
        <w:t xml:space="preserve"> : Analyse factuelle, identification des causes racines et proposition de correctifs adaptés. </w:t>
      </w:r>
    </w:p>
    <w:p>
      <w:pPr>
        <w:pStyle w:val="Heading3"/>
        <w:spacing w:before="55" w:after="283"/>
        <w:ind w:end="1134"/>
        <w:rPr>
          <w:rStyle w:val="Strong"/>
          <w:rFonts w:ascii="Arial MT" w:hAnsi="Arial MT" w:eastAsia="Arial MT" w:cs="Arial MT"/>
          <w:b w:val="false"/>
          <w:bCs w:val="false"/>
          <w:sz w:val="32"/>
          <w:szCs w:val="32"/>
        </w:rPr>
      </w:pPr>
      <w:r>
        <w:rPr>
          <w:rStyle w:val="Strong"/>
          <w:rFonts w:eastAsia="Arial MT" w:cs="Arial MT" w:ascii="Arial MT" w:hAnsi="Arial MT"/>
          <w:b/>
          <w:bCs/>
          <w:sz w:val="32"/>
          <w:szCs w:val="32"/>
        </w:rPr>
        <w:t>Compétences Fonctionnelles &amp; Techniques</w:t>
      </w:r>
    </w:p>
    <w:p>
      <w:pPr>
        <w:pStyle w:val="Heading4"/>
        <w:spacing w:before="55" w:after="283"/>
        <w:ind w:end="1134"/>
        <w:rPr/>
      </w:pPr>
      <w:r>
        <w:rPr>
          <w:rStyle w:val="Strong"/>
          <w:rFonts w:eastAsia="Arial MT" w:cs="Arial MT" w:ascii="Arial MT" w:hAnsi="Arial MT"/>
          <w:b/>
          <w:bCs/>
          <w:sz w:val="22"/>
          <w:szCs w:val="22"/>
        </w:rPr>
        <w:t>Architecture &amp; Data</w:t>
      </w:r>
    </w:p>
    <w:p>
      <w:pPr>
        <w:pStyle w:val="BodyText"/>
        <w:numPr>
          <w:ilvl w:val="0"/>
          <w:numId w:val="3"/>
        </w:numPr>
        <w:tabs>
          <w:tab w:val="clear" w:pos="720"/>
          <w:tab w:val="left" w:pos="0" w:leader="none"/>
        </w:tabs>
        <w:spacing w:before="55" w:after="0"/>
        <w:ind w:hanging="283" w:start="709" w:end="1134"/>
        <w:rPr/>
      </w:pPr>
      <w:r>
        <w:rPr/>
        <w:t xml:space="preserve">Conception et lecture de </w:t>
      </w:r>
      <w:r>
        <w:rPr>
          <w:b/>
          <w:bCs/>
        </w:rPr>
        <w:t>pipelines data</w:t>
      </w:r>
      <w:r>
        <w:rPr/>
        <w:t xml:space="preserve"> (ingestion via des appels </w:t>
      </w:r>
      <w:r>
        <w:rPr>
          <w:b/>
          <w:bCs/>
        </w:rPr>
        <w:t>Rest API</w:t>
      </w:r>
      <w:r>
        <w:rPr/>
        <w:t xml:space="preserve">, mise en place d’une </w:t>
      </w:r>
      <w:r>
        <w:rPr>
          <w:b/>
          <w:bCs/>
        </w:rPr>
        <w:t>architecture médaillon</w:t>
      </w:r>
      <w:r>
        <w:rPr/>
        <w:t xml:space="preserve">, exposition de la base gold au décisionnel). </w:t>
      </w:r>
    </w:p>
    <w:p>
      <w:pPr>
        <w:pStyle w:val="BodyText"/>
        <w:numPr>
          <w:ilvl w:val="0"/>
          <w:numId w:val="3"/>
        </w:numPr>
        <w:tabs>
          <w:tab w:val="clear" w:pos="720"/>
          <w:tab w:val="left" w:pos="0" w:leader="none"/>
        </w:tabs>
        <w:spacing w:before="55" w:after="0"/>
        <w:ind w:hanging="283" w:start="709" w:end="1134"/>
        <w:rPr/>
      </w:pPr>
      <w:r>
        <w:rPr>
          <w:b/>
          <w:bCs/>
        </w:rPr>
        <w:t>Machine Learning</w:t>
      </w:r>
      <w:r>
        <w:rPr/>
        <w:t xml:space="preserve"> : préparation imputation, optimisations des données, entrainement et scoring d’indicateurs sur </w:t>
      </w:r>
      <w:r>
        <w:rPr>
          <w:b/>
          <w:bCs/>
        </w:rPr>
        <w:t>Dataiku</w:t>
      </w:r>
    </w:p>
    <w:p>
      <w:pPr>
        <w:pStyle w:val="BodyText"/>
        <w:numPr>
          <w:ilvl w:val="0"/>
          <w:numId w:val="3"/>
        </w:numPr>
        <w:tabs>
          <w:tab w:val="clear" w:pos="720"/>
          <w:tab w:val="left" w:pos="0" w:leader="none"/>
        </w:tabs>
        <w:spacing w:before="55" w:after="0"/>
        <w:ind w:hanging="283" w:start="709" w:end="1134"/>
        <w:rPr/>
      </w:pPr>
      <w:r>
        <w:rPr/>
        <w:t>Modélisation de données (transactionnelle et analytique) et compréhension des enjeux de cohérence inter-systèmes.</w:t>
      </w:r>
    </w:p>
    <w:p>
      <w:pPr>
        <w:pStyle w:val="BodyText"/>
        <w:numPr>
          <w:ilvl w:val="0"/>
          <w:numId w:val="3"/>
        </w:numPr>
        <w:tabs>
          <w:tab w:val="clear" w:pos="720"/>
          <w:tab w:val="left" w:pos="0" w:leader="none"/>
        </w:tabs>
        <w:spacing w:before="55" w:after="0"/>
        <w:ind w:hanging="283" w:start="709" w:end="1134"/>
        <w:rPr/>
      </w:pPr>
      <w:r>
        <w:rPr/>
        <w:t xml:space="preserve">Maîtrise des outils et langages : </w:t>
      </w:r>
      <w:r>
        <w:rPr>
          <w:rStyle w:val="Strong"/>
        </w:rPr>
        <w:t>Snowflake</w:t>
      </w:r>
      <w:r>
        <w:rPr/>
        <w:t xml:space="preserve">, </w:t>
      </w:r>
      <w:r>
        <w:rPr>
          <w:rStyle w:val="Strong"/>
        </w:rPr>
        <w:t>DBT</w:t>
      </w:r>
      <w:r>
        <w:rPr/>
        <w:t xml:space="preserve">, </w:t>
      </w:r>
      <w:r>
        <w:rPr>
          <w:rStyle w:val="Strong"/>
        </w:rPr>
        <w:t>Python</w:t>
      </w:r>
      <w:r>
        <w:rPr/>
        <w:t xml:space="preserve">, </w:t>
      </w:r>
      <w:r>
        <w:rPr>
          <w:rStyle w:val="Strong"/>
        </w:rPr>
        <w:t>SQL Server, PostGre SQL</w:t>
      </w:r>
      <w:r>
        <w:rPr/>
        <w:t xml:space="preserve">, </w:t>
      </w:r>
      <w:r>
        <w:rPr>
          <w:rStyle w:val="Strong"/>
        </w:rPr>
        <w:t>Power BI</w:t>
      </w:r>
      <w:r>
        <w:rPr/>
        <w:t xml:space="preserve">, </w:t>
      </w:r>
      <w:r>
        <w:rPr>
          <w:rStyle w:val="Strong"/>
        </w:rPr>
        <w:t>MicroStrategy</w:t>
      </w:r>
      <w:r>
        <w:rPr/>
        <w:t xml:space="preserve">, </w:t>
      </w:r>
      <w:r>
        <w:rPr>
          <w:rStyle w:val="Strong"/>
        </w:rPr>
        <w:t>Looker Studio</w:t>
      </w:r>
      <w:r>
        <w:rPr/>
        <w:t xml:space="preserve">. </w:t>
      </w:r>
    </w:p>
    <w:p>
      <w:pPr>
        <w:pStyle w:val="BodyText"/>
        <w:numPr>
          <w:ilvl w:val="0"/>
          <w:numId w:val="3"/>
        </w:numPr>
        <w:tabs>
          <w:tab w:val="clear" w:pos="720"/>
          <w:tab w:val="left" w:pos="0" w:leader="none"/>
        </w:tabs>
        <w:spacing w:before="55" w:after="283"/>
        <w:ind w:hanging="283" w:start="709" w:end="1134"/>
        <w:rPr/>
      </w:pPr>
      <w:r>
        <w:rPr/>
        <w:t xml:space="preserve">Environnements cloud : </w:t>
      </w:r>
      <w:r>
        <w:rPr>
          <w:rStyle w:val="Strong"/>
        </w:rPr>
        <w:t>AWS</w:t>
      </w:r>
      <w:r>
        <w:rPr/>
        <w:t xml:space="preserve">, </w:t>
      </w:r>
      <w:r>
        <w:rPr>
          <w:rStyle w:val="Strong"/>
        </w:rPr>
        <w:t>Azure</w:t>
      </w:r>
      <w:r>
        <w:rPr/>
        <w:t xml:space="preserve">. </w:t>
      </w:r>
    </w:p>
    <w:p>
      <w:pPr>
        <w:pStyle w:val="Heading4"/>
        <w:spacing w:before="55" w:after="283"/>
        <w:ind w:end="1134"/>
        <w:rPr/>
      </w:pPr>
      <w:r>
        <w:rPr>
          <w:rStyle w:val="Strong"/>
          <w:rFonts w:eastAsia="Arial MT" w:cs="Arial MT" w:ascii="Arial MT" w:hAnsi="Arial MT"/>
          <w:b/>
          <w:bCs/>
          <w:sz w:val="22"/>
          <w:szCs w:val="22"/>
        </w:rPr>
        <w:t>Delivery &amp; Gouvernance</w:t>
      </w:r>
    </w:p>
    <w:p>
      <w:pPr>
        <w:pStyle w:val="BodyText"/>
        <w:numPr>
          <w:ilvl w:val="0"/>
          <w:numId w:val="4"/>
        </w:numPr>
        <w:tabs>
          <w:tab w:val="clear" w:pos="720"/>
          <w:tab w:val="left" w:pos="0" w:leader="none"/>
        </w:tabs>
        <w:spacing w:before="55" w:after="0"/>
        <w:ind w:hanging="283" w:start="709" w:end="1134"/>
        <w:rPr/>
      </w:pPr>
      <w:r>
        <w:rPr/>
        <w:t>Gestion de versions (</w:t>
      </w:r>
      <w:r>
        <w:rPr>
          <w:b/>
          <w:bCs/>
        </w:rPr>
        <w:t>Git</w:t>
      </w:r>
      <w:r>
        <w:rPr/>
        <w:t>), documentation technique (</w:t>
      </w:r>
      <w:r>
        <w:rPr>
          <w:b/>
          <w:bCs/>
        </w:rPr>
        <w:t>Confluence</w:t>
      </w:r>
      <w:r>
        <w:rPr/>
        <w:t xml:space="preserve"> et </w:t>
      </w:r>
      <w:r>
        <w:rPr>
          <w:b/>
          <w:bCs/>
        </w:rPr>
        <w:t>linéage DBT</w:t>
      </w:r>
      <w:r>
        <w:rPr/>
        <w:t>), suivi des incidents (</w:t>
      </w:r>
      <w:r>
        <w:rPr>
          <w:b/>
          <w:bCs/>
        </w:rPr>
        <w:t>Jira</w:t>
      </w:r>
      <w:r>
        <w:rPr/>
        <w:t xml:space="preserve">, </w:t>
      </w:r>
      <w:r>
        <w:rPr>
          <w:b/>
          <w:bCs/>
        </w:rPr>
        <w:t>ServiceNow</w:t>
      </w:r>
      <w:r>
        <w:rPr/>
        <w:t xml:space="preserve">). </w:t>
      </w:r>
    </w:p>
    <w:p>
      <w:pPr>
        <w:pStyle w:val="BodyText"/>
        <w:numPr>
          <w:ilvl w:val="0"/>
          <w:numId w:val="4"/>
        </w:numPr>
        <w:tabs>
          <w:tab w:val="clear" w:pos="720"/>
          <w:tab w:val="left" w:pos="0" w:leader="none"/>
        </w:tabs>
        <w:spacing w:before="55" w:after="0"/>
        <w:ind w:hanging="283" w:start="709" w:end="1134"/>
        <w:rPr/>
      </w:pPr>
      <w:r>
        <w:rPr/>
        <w:t xml:space="preserve">Documentation et validations des tests – </w:t>
      </w:r>
      <w:r>
        <w:rPr>
          <w:b/>
          <w:bCs/>
        </w:rPr>
        <w:t>CI/CD</w:t>
      </w:r>
      <w:r>
        <w:rPr/>
        <w:t xml:space="preserve"> géré via </w:t>
      </w:r>
      <w:r>
        <w:rPr>
          <w:b/>
          <w:bCs/>
        </w:rPr>
        <w:t>DBT</w:t>
      </w:r>
    </w:p>
    <w:p>
      <w:pPr>
        <w:pStyle w:val="BodyText"/>
        <w:numPr>
          <w:ilvl w:val="0"/>
          <w:numId w:val="4"/>
        </w:numPr>
        <w:tabs>
          <w:tab w:val="clear" w:pos="720"/>
          <w:tab w:val="left" w:pos="0" w:leader="none"/>
        </w:tabs>
        <w:spacing w:before="57" w:after="0"/>
        <w:rPr/>
      </w:pPr>
      <w:r>
        <w:rPr>
          <w:b/>
          <w:bCs/>
        </w:rPr>
        <w:t>Incident Management </w:t>
      </w:r>
      <w:r>
        <w:rPr/>
        <w:t xml:space="preserve">: qualification des incidents (bugs, Problème connu, mauvaise conception). solution palliative instantanée ou très court terme, solutions curatives / résolution dettes techniques via des Problem / </w:t>
      </w:r>
      <w:r>
        <w:rPr>
          <w:b/>
          <w:bCs/>
        </w:rPr>
        <w:t>Change Advisory Boa</w:t>
      </w:r>
      <w:r>
        <w:rPr>
          <w:b/>
          <w:bCs/>
        </w:rPr>
        <w:t>r</w:t>
      </w:r>
      <w:r>
        <w:rPr>
          <w:b/>
          <w:bCs/>
        </w:rPr>
        <w:t>d</w:t>
      </w:r>
      <w:r>
        <w:rPr/>
        <w:t>, communication régulière aux métiers et à la SI, post mortem et documentation.</w:t>
      </w:r>
    </w:p>
    <w:p>
      <w:pPr>
        <w:pStyle w:val="BodyText"/>
        <w:numPr>
          <w:ilvl w:val="0"/>
          <w:numId w:val="4"/>
        </w:numPr>
        <w:tabs>
          <w:tab w:val="clear" w:pos="720"/>
          <w:tab w:val="left" w:pos="0" w:leader="none"/>
        </w:tabs>
        <w:spacing w:before="57" w:after="0"/>
        <w:rPr/>
      </w:pPr>
      <w:r>
        <w:rPr/>
        <w:t xml:space="preserve">Monitoring technique : Analyse de logs (avec </w:t>
      </w:r>
      <w:r>
        <w:rPr>
          <w:b/>
          <w:bCs/>
        </w:rPr>
        <w:t>Elastic Search</w:t>
      </w:r>
      <w:r>
        <w:rPr/>
        <w:t>), seuil d’alerte et prévention d’incidents techniques (perfs ou bugs applicatifs)</w:t>
      </w:r>
    </w:p>
    <w:p>
      <w:pPr>
        <w:pStyle w:val="BodyText"/>
        <w:tabs>
          <w:tab w:val="clear" w:pos="720"/>
          <w:tab w:val="left" w:pos="0" w:leader="none"/>
        </w:tabs>
        <w:spacing w:before="57" w:after="0"/>
        <w:ind w:start="709"/>
        <w:rPr/>
      </w:pPr>
      <w:r>
        <w:rPr/>
      </w:r>
    </w:p>
    <w:p>
      <w:pPr>
        <w:pStyle w:val="Heading4"/>
        <w:spacing w:before="55" w:after="283"/>
        <w:ind w:end="1134"/>
        <w:rPr/>
      </w:pPr>
      <w:r>
        <w:rPr>
          <w:rStyle w:val="Strong"/>
          <w:rFonts w:eastAsia="Arial MT" w:cs="Arial MT" w:ascii="Arial MT" w:hAnsi="Arial MT"/>
          <w:b/>
          <w:bCs/>
          <w:sz w:val="22"/>
          <w:szCs w:val="22"/>
        </w:rPr>
        <w:t>Soft Skills</w:t>
      </w:r>
    </w:p>
    <w:p>
      <w:pPr>
        <w:pStyle w:val="BodyText"/>
        <w:numPr>
          <w:ilvl w:val="0"/>
          <w:numId w:val="5"/>
        </w:numPr>
        <w:tabs>
          <w:tab w:val="clear" w:pos="720"/>
          <w:tab w:val="left" w:pos="0" w:leader="none"/>
        </w:tabs>
        <w:spacing w:before="55" w:after="0"/>
        <w:ind w:hanging="283" w:start="709" w:end="1134"/>
        <w:rPr/>
      </w:pPr>
      <w:r>
        <w:rPr>
          <w:b/>
          <w:bCs/>
        </w:rPr>
        <w:t xml:space="preserve">Leadership de médiation </w:t>
      </w:r>
      <w:r>
        <w:rPr/>
        <w:t>et persuasion sur des résultats démontrables.</w:t>
      </w:r>
    </w:p>
    <w:p>
      <w:pPr>
        <w:pStyle w:val="BodyText"/>
        <w:numPr>
          <w:ilvl w:val="0"/>
          <w:numId w:val="5"/>
        </w:numPr>
        <w:tabs>
          <w:tab w:val="clear" w:pos="720"/>
          <w:tab w:val="left" w:pos="0" w:leader="none"/>
        </w:tabs>
        <w:spacing w:before="55" w:after="0"/>
        <w:ind w:hanging="283" w:start="709" w:end="1134"/>
        <w:rPr/>
      </w:pPr>
      <w:r>
        <w:rPr>
          <w:b/>
          <w:bCs/>
        </w:rPr>
        <w:t xml:space="preserve">Vulgarisation technique </w:t>
      </w:r>
      <w:r>
        <w:rPr/>
        <w:t xml:space="preserve">et communication claire avec les parties prenantes. </w:t>
      </w:r>
    </w:p>
    <w:p>
      <w:pPr>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1275" w:right="141" w:gutter="0" w:header="126" w:top="1240" w:footer="494" w:bottom="680"/>
          <w:pgNumType w:fmt="decimal"/>
          <w:formProt w:val="false"/>
          <w:textDirection w:val="lrTb"/>
          <w:docGrid w:type="default" w:linePitch="100" w:charSpace="0"/>
        </w:sectPr>
        <w:pStyle w:val="BodyText"/>
        <w:numPr>
          <w:ilvl w:val="0"/>
          <w:numId w:val="5"/>
        </w:numPr>
        <w:tabs>
          <w:tab w:val="clear" w:pos="720"/>
          <w:tab w:val="left" w:pos="0" w:leader="none"/>
        </w:tabs>
        <w:spacing w:before="55" w:after="283"/>
        <w:ind w:hanging="283" w:start="709" w:end="1134"/>
        <w:rPr/>
      </w:pPr>
      <w:r>
        <w:rPr>
          <w:b/>
          <w:bCs/>
        </w:rPr>
        <w:t>Esprit de synthèse</w:t>
      </w:r>
      <w:r>
        <w:rPr/>
        <w:t>, priorisation dans l’incertitude et gestion des phases critiques (</w:t>
      </w:r>
      <w:r>
        <w:rPr>
          <w:b/>
          <w:bCs/>
        </w:rPr>
        <w:t>cutover, hypercare</w:t>
      </w:r>
      <w:r>
        <w:rPr/>
        <w:t>).</w:t>
      </w:r>
      <w:r>
        <w:rPr>
          <w:spacing w:val="-2"/>
          <w:sz w:val="28"/>
          <w:u w:val="single"/>
        </w:rPr>
        <w:t xml:space="preserve"> </w:t>
      </w:r>
    </w:p>
    <w:p>
      <w:pPr>
        <w:pStyle w:val="Normal"/>
        <w:rPr>
          <w:rFonts w:ascii="Arial" w:hAnsi="Arial"/>
          <w:b/>
          <w:color w:val="033067"/>
          <w:spacing w:val="-10"/>
          <w:sz w:val="8"/>
          <w:szCs w:val="8"/>
        </w:rPr>
      </w:pPr>
      <w:r>
        <w:rPr>
          <w:rFonts w:ascii="Arial" w:hAnsi="Arial"/>
          <w:b/>
          <w:color w:val="033067"/>
          <w:spacing w:val="-10"/>
          <w:sz w:val="28"/>
        </w:rPr>
        <w:t>Parcours détaillé :</w:t>
        <w:br/>
      </w:r>
    </w:p>
    <w:tbl>
      <w:tblPr>
        <w:tblStyle w:val="TableNormal"/>
        <w:tblW w:w="15024" w:type="dxa"/>
        <w:jc w:val="start"/>
        <w:tblInd w:w="-2" w:type="dxa"/>
        <w:tblLayout w:type="fixed"/>
        <w:tblCellMar>
          <w:top w:w="0" w:type="dxa"/>
          <w:start w:w="5" w:type="dxa"/>
          <w:bottom w:w="0" w:type="dxa"/>
          <w:end w:w="0" w:type="dxa"/>
        </w:tblCellMar>
        <w:tblLook w:val="01e0" w:noVBand="0" w:noHBand="0" w:lastColumn="1" w:firstColumn="1" w:lastRow="1" w:firstRow="1"/>
      </w:tblPr>
      <w:tblGrid>
        <w:gridCol w:w="1989"/>
        <w:gridCol w:w="1550"/>
        <w:gridCol w:w="11485"/>
      </w:tblGrid>
      <w:tr>
        <w:trPr>
          <w:trHeight w:val="587" w:hRule="atLeast"/>
        </w:trPr>
        <w:tc>
          <w:tcPr>
            <w:tcW w:w="1989" w:type="dxa"/>
            <w:tcBorders>
              <w:top w:val="single" w:sz="4" w:space="0" w:color="000000"/>
              <w:start w:val="single" w:sz="4" w:space="0" w:color="000000"/>
              <w:bottom w:val="single" w:sz="4" w:space="0" w:color="000000"/>
            </w:tcBorders>
            <w:shd w:color="auto" w:fill="4F81BC" w:val="clear"/>
          </w:tcPr>
          <w:p>
            <w:pPr>
              <w:pStyle w:val="TableParagraph"/>
              <w:widowControl w:val="false"/>
              <w:suppressAutoHyphens w:val="true"/>
              <w:bidi w:val="0"/>
              <w:spacing w:before="114" w:after="114"/>
              <w:jc w:val="center"/>
              <w:rPr>
                <w:rFonts w:ascii="Arial" w:hAnsi="Arial" w:eastAsia="Arial MT" w:cs="Arial MT"/>
                <w:b/>
                <w:spacing w:val="-2"/>
                <w:kern w:val="0"/>
                <w:sz w:val="24"/>
                <w:szCs w:val="22"/>
                <w:lang w:val="fr-FR" w:eastAsia="en-US" w:bidi="ar-SA"/>
              </w:rPr>
            </w:pPr>
            <w:r>
              <w:rPr>
                <w:rFonts w:eastAsia="Arial MT" w:cs="Arial MT" w:ascii="Arial" w:hAnsi="Arial"/>
                <w:b/>
                <w:spacing w:val="-2"/>
                <w:kern w:val="0"/>
                <w:sz w:val="24"/>
                <w:szCs w:val="22"/>
                <w:lang w:val="fr-FR" w:eastAsia="en-US" w:bidi="ar-SA"/>
              </w:rPr>
              <w:t>Société</w:t>
            </w:r>
          </w:p>
        </w:tc>
        <w:tc>
          <w:tcPr>
            <w:tcW w:w="1550" w:type="dxa"/>
            <w:tcBorders>
              <w:top w:val="single" w:sz="4" w:space="0" w:color="000000"/>
              <w:bottom w:val="single" w:sz="4" w:space="0" w:color="000000"/>
            </w:tcBorders>
            <w:shd w:color="auto" w:fill="4F81BC" w:val="clear"/>
          </w:tcPr>
          <w:p>
            <w:pPr>
              <w:pStyle w:val="TableParagraph"/>
              <w:widowControl w:val="false"/>
              <w:suppressAutoHyphens w:val="true"/>
              <w:bidi w:val="0"/>
              <w:spacing w:before="114" w:after="114"/>
              <w:jc w:val="center"/>
              <w:rPr>
                <w:rFonts w:ascii="Arial" w:hAnsi="Arial" w:eastAsia="Arial MT" w:cs="Arial MT"/>
                <w:b/>
                <w:spacing w:val="-2"/>
                <w:kern w:val="0"/>
                <w:sz w:val="24"/>
                <w:szCs w:val="22"/>
                <w:lang w:val="fr-FR" w:eastAsia="en-US" w:bidi="ar-SA"/>
              </w:rPr>
            </w:pPr>
            <w:r>
              <w:rPr>
                <w:rFonts w:eastAsia="Arial MT" w:cs="Arial MT" w:ascii="Arial" w:hAnsi="Arial"/>
                <w:b/>
                <w:spacing w:val="-2"/>
                <w:kern w:val="0"/>
                <w:sz w:val="24"/>
                <w:szCs w:val="22"/>
                <w:lang w:val="fr-FR" w:eastAsia="en-US" w:bidi="ar-SA"/>
              </w:rPr>
              <w:t>Position</w:t>
            </w:r>
          </w:p>
        </w:tc>
        <w:tc>
          <w:tcPr>
            <w:tcW w:w="11485" w:type="dxa"/>
            <w:tcBorders>
              <w:top w:val="single" w:sz="4" w:space="0" w:color="000000"/>
              <w:bottom w:val="single" w:sz="4" w:space="0" w:color="000000"/>
              <w:end w:val="single" w:sz="4" w:space="0" w:color="000000"/>
            </w:tcBorders>
            <w:shd w:color="auto" w:fill="4F81BC" w:val="clear"/>
          </w:tcPr>
          <w:p>
            <w:pPr>
              <w:pStyle w:val="TableParagraph"/>
              <w:widowControl w:val="false"/>
              <w:suppressAutoHyphens w:val="true"/>
              <w:bidi w:val="0"/>
              <w:spacing w:before="114" w:after="114"/>
              <w:jc w:val="center"/>
              <w:rPr>
                <w:rFonts w:ascii="Arial" w:hAnsi="Arial" w:eastAsia="Arial MT" w:cs="Arial MT"/>
                <w:b/>
                <w:spacing w:val="-2"/>
                <w:kern w:val="0"/>
                <w:sz w:val="24"/>
                <w:szCs w:val="22"/>
                <w:lang w:val="fr-FR" w:eastAsia="en-US" w:bidi="ar-SA"/>
              </w:rPr>
            </w:pPr>
            <w:r>
              <w:rPr>
                <w:rFonts w:eastAsia="Arial MT" w:cs="Arial MT" w:ascii="Arial" w:hAnsi="Arial"/>
                <w:b/>
                <w:spacing w:val="-2"/>
                <w:kern w:val="0"/>
                <w:sz w:val="24"/>
                <w:szCs w:val="22"/>
                <w:lang w:val="fr-FR" w:eastAsia="en-US" w:bidi="ar-SA"/>
              </w:rPr>
              <w:t>Description</w:t>
            </w:r>
          </w:p>
        </w:tc>
      </w:tr>
      <w:tr>
        <w:trPr>
          <w:trHeight w:val="2429" w:hRule="atLeast"/>
        </w:trPr>
        <w:tc>
          <w:tcPr>
            <w:tcW w:w="1989"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Normal"/>
              <w:tabs>
                <w:tab w:val="clear" w:pos="720"/>
                <w:tab w:val="left" w:pos="8202" w:leader="none"/>
              </w:tabs>
              <w:suppressAutoHyphens w:val="true"/>
              <w:spacing w:before="1" w:after="0"/>
              <w:ind w:start="141"/>
              <w:jc w:val="start"/>
              <w:rPr>
                <w:rFonts w:ascii="Arial" w:hAnsi="Arial"/>
                <w:b/>
                <w:color w:val="005091"/>
                <w:spacing w:val="-2"/>
                <w:sz w:val="28"/>
                <w:szCs w:val="28"/>
              </w:rPr>
            </w:pPr>
            <w:r>
              <w:rPr>
                <w:rFonts w:ascii="Arial" w:hAnsi="Arial"/>
                <w:b/>
                <w:color w:val="005091"/>
                <w:spacing w:val="-2"/>
                <w:kern w:val="0"/>
                <w:position w:val="-5"/>
                <w:sz w:val="28"/>
                <w:szCs w:val="28"/>
                <w:lang w:eastAsia="en-US" w:bidi="ar-SA"/>
              </w:rPr>
              <w:t>Jedha</w:t>
            </w:r>
          </w:p>
          <w:p>
            <w:pPr>
              <w:pStyle w:val="Normal"/>
              <w:tabs>
                <w:tab w:val="clear" w:pos="720"/>
                <w:tab w:val="left" w:pos="8202" w:leader="none"/>
              </w:tabs>
              <w:suppressAutoHyphens w:val="true"/>
              <w:spacing w:before="1" w:after="0"/>
              <w:ind w:start="141"/>
              <w:jc w:val="start"/>
              <w:rPr>
                <w:b/>
              </w:rPr>
            </w:pPr>
            <w:r>
              <w:rPr>
                <w:rFonts w:ascii="Arial" w:hAnsi="Arial"/>
                <w:color w:val="005091"/>
                <w:spacing w:val="-2"/>
                <w:kern w:val="0"/>
                <w:position w:val="-4"/>
                <w:sz w:val="22"/>
                <w:szCs w:val="22"/>
                <w:lang w:eastAsia="en-US" w:bidi="ar-SA"/>
              </w:rPr>
              <w:t>Data Analysis FullStack    Jedha – 08/2025 - 12/2025</w:t>
            </w:r>
          </w:p>
        </w:tc>
        <w:tc>
          <w:tcPr>
            <w:tcW w:w="1550"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TableParagraph"/>
              <w:suppressAutoHyphens w:val="true"/>
              <w:spacing w:before="0" w:after="0"/>
              <w:jc w:val="start"/>
              <w:rPr>
                <w:rFonts w:ascii="Arial" w:hAnsi="Arial"/>
                <w:b/>
                <w:color w:val="005091"/>
                <w:spacing w:val="-2"/>
                <w:sz w:val="20"/>
              </w:rPr>
            </w:pPr>
            <w:r>
              <w:rPr>
                <w:rFonts w:ascii="Arial" w:hAnsi="Arial"/>
                <w:b/>
                <w:color w:val="005091"/>
                <w:spacing w:val="-2"/>
                <w:sz w:val="20"/>
              </w:rPr>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kern w:val="0"/>
                <w:sz w:val="20"/>
                <w:szCs w:val="22"/>
                <w:lang w:eastAsia="en-US" w:bidi="ar-SA"/>
              </w:rPr>
              <w:t>Tech Lead</w:t>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kern w:val="0"/>
                <w:sz w:val="20"/>
                <w:szCs w:val="22"/>
                <w:lang w:eastAsia="en-US" w:bidi="ar-SA"/>
              </w:rPr>
              <w:t xml:space="preserve">Data </w:t>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kern w:val="0"/>
                <w:sz w:val="20"/>
                <w:szCs w:val="22"/>
                <w:lang w:eastAsia="en-US" w:bidi="ar-SA"/>
              </w:rPr>
              <w:t>PO</w:t>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kern w:val="0"/>
                <w:sz w:val="20"/>
                <w:szCs w:val="22"/>
                <w:lang w:eastAsia="en-US" w:bidi="ar-SA"/>
              </w:rPr>
              <w:t>Analytics Engineer</w:t>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sz w:val="20"/>
              </w:rPr>
            </w:r>
          </w:p>
        </w:tc>
        <w:tc>
          <w:tcPr>
            <w:tcW w:w="11485"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BodyText"/>
              <w:suppressAutoHyphens w:val="true"/>
              <w:spacing w:lineRule="auto" w:line="276" w:before="0" w:after="0"/>
              <w:ind w:end="275"/>
              <w:jc w:val="start"/>
              <w:rPr>
                <w:sz w:val="20"/>
                <w:szCs w:val="20"/>
              </w:rPr>
            </w:pPr>
            <w:r>
              <w:rPr>
                <w:sz w:val="20"/>
                <w:szCs w:val="20"/>
              </w:rPr>
            </w:r>
          </w:p>
          <w:p>
            <w:pPr>
              <w:pStyle w:val="BodyText"/>
              <w:suppressAutoHyphens w:val="true"/>
              <w:spacing w:lineRule="auto" w:line="276" w:before="0" w:after="0"/>
              <w:ind w:end="275"/>
              <w:jc w:val="start"/>
              <w:rPr>
                <w:sz w:val="20"/>
                <w:szCs w:val="20"/>
              </w:rPr>
            </w:pPr>
            <w:r>
              <w:rPr>
                <w:b/>
                <w:kern w:val="0"/>
                <w:sz w:val="20"/>
                <w:szCs w:val="20"/>
                <w:lang w:eastAsia="en-US" w:bidi="ar-SA"/>
              </w:rPr>
              <w:t xml:space="preserve">Donnée prédictive Dataiku : </w:t>
            </w:r>
            <w:r>
              <w:rPr>
                <w:b w:val="false"/>
                <w:bCs w:val="false"/>
                <w:kern w:val="0"/>
                <w:sz w:val="20"/>
                <w:szCs w:val="20"/>
                <w:lang w:eastAsia="en-US" w:bidi="ar-SA"/>
              </w:rPr>
              <w:t>Sur la base d'une BDD qualifiant le style des photos et leurs date et heures de publication, prédire la viralité d'une photo à l'aide de Dataiku avant de la publier sur les réseaux sociaux.</w:t>
            </w:r>
          </w:p>
          <w:p>
            <w:pPr>
              <w:pStyle w:val="BodyText"/>
              <w:suppressAutoHyphens w:val="true"/>
              <w:spacing w:lineRule="auto" w:line="276" w:before="0" w:after="0"/>
              <w:ind w:end="275"/>
              <w:jc w:val="start"/>
              <w:rPr>
                <w:sz w:val="20"/>
                <w:szCs w:val="20"/>
              </w:rPr>
            </w:pPr>
            <w:r>
              <w:rPr>
                <w:sz w:val="20"/>
                <w:szCs w:val="20"/>
              </w:rPr>
            </w:r>
          </w:p>
          <w:p>
            <w:pPr>
              <w:pStyle w:val="BodyText"/>
              <w:suppressAutoHyphens w:val="true"/>
              <w:spacing w:lineRule="auto" w:line="276" w:before="0" w:after="0"/>
              <w:ind w:end="275"/>
              <w:jc w:val="start"/>
              <w:rPr>
                <w:sz w:val="20"/>
                <w:szCs w:val="20"/>
              </w:rPr>
            </w:pPr>
            <w:r>
              <w:rPr>
                <w:b/>
                <w:kern w:val="0"/>
                <w:sz w:val="20"/>
                <w:szCs w:val="20"/>
                <w:lang w:eastAsia="en-US" w:bidi="ar-SA"/>
              </w:rPr>
              <w:t xml:space="preserve">Audit Netflix </w:t>
            </w:r>
            <w:r>
              <w:rPr>
                <w:b/>
                <w:spacing w:val="-2"/>
                <w:kern w:val="0"/>
                <w:sz w:val="20"/>
                <w:szCs w:val="20"/>
                <w:lang w:eastAsia="en-US" w:bidi="ar-SA"/>
              </w:rPr>
              <w:t xml:space="preserve"> </w:t>
            </w:r>
            <w:r>
              <w:rPr>
                <w:b/>
                <w:kern w:val="0"/>
                <w:sz w:val="20"/>
                <w:szCs w:val="20"/>
                <w:lang w:eastAsia="en-US" w:bidi="ar-SA"/>
              </w:rPr>
              <w:t>:</w:t>
            </w:r>
            <w:r>
              <w:rPr>
                <w:b/>
                <w:spacing w:val="-2"/>
                <w:kern w:val="0"/>
                <w:sz w:val="20"/>
                <w:szCs w:val="20"/>
                <w:lang w:eastAsia="en-US" w:bidi="ar-SA"/>
              </w:rPr>
              <w:t xml:space="preserve">  </w:t>
            </w:r>
            <w:r>
              <w:rPr>
                <w:bCs/>
                <w:spacing w:val="-2"/>
                <w:kern w:val="0"/>
                <w:sz w:val="20"/>
                <w:szCs w:val="20"/>
                <w:lang w:eastAsia="en-US" w:bidi="ar-SA"/>
              </w:rPr>
              <w:t>Etude des tendances de sorites des films et de séries via la segmentation par pays et par continent</w:t>
            </w:r>
          </w:p>
          <w:p>
            <w:pPr>
              <w:pStyle w:val="BodyText"/>
              <w:numPr>
                <w:ilvl w:val="0"/>
                <w:numId w:val="6"/>
              </w:numPr>
              <w:suppressAutoHyphens w:val="true"/>
              <w:spacing w:lineRule="auto" w:line="276" w:before="0" w:after="0"/>
              <w:ind w:hanging="360" w:start="141" w:end="275"/>
              <w:jc w:val="start"/>
              <w:rPr>
                <w:sz w:val="20"/>
                <w:szCs w:val="20"/>
              </w:rPr>
            </w:pPr>
            <w:r>
              <w:rPr>
                <w:b/>
                <w:kern w:val="0"/>
                <w:sz w:val="20"/>
                <w:szCs w:val="20"/>
                <w:lang w:eastAsia="en-US" w:bidi="ar-SA"/>
              </w:rPr>
              <w:t>Technologies :</w:t>
            </w:r>
            <w:r>
              <w:rPr>
                <w:b/>
                <w:spacing w:val="-2"/>
                <w:kern w:val="0"/>
                <w:sz w:val="20"/>
                <w:szCs w:val="20"/>
                <w:lang w:eastAsia="en-US" w:bidi="ar-SA"/>
              </w:rPr>
              <w:t xml:space="preserve"> </w:t>
            </w:r>
            <w:r>
              <w:rPr>
                <w:spacing w:val="-2"/>
                <w:kern w:val="0"/>
                <w:sz w:val="20"/>
                <w:szCs w:val="20"/>
                <w:lang w:eastAsia="en-US" w:bidi="ar-SA"/>
              </w:rPr>
              <w:t>DAX, PowerQuery</w:t>
            </w:r>
            <w:r>
              <w:rPr>
                <w:bCs/>
                <w:spacing w:val="-2"/>
                <w:kern w:val="0"/>
                <w:sz w:val="20"/>
                <w:szCs w:val="20"/>
                <w:lang w:eastAsia="en-US" w:bidi="ar-SA"/>
              </w:rPr>
              <w:t>, PowerBI</w:t>
            </w:r>
            <w:r>
              <w:rPr>
                <w:b/>
                <w:spacing w:val="-2"/>
                <w:kern w:val="0"/>
                <w:sz w:val="20"/>
                <w:szCs w:val="20"/>
                <w:lang w:eastAsia="en-US" w:bidi="ar-SA"/>
              </w:rPr>
              <w:t xml:space="preserve">       Livrables : </w:t>
            </w:r>
            <w:r>
              <w:rPr>
                <w:bCs/>
                <w:spacing w:val="-2"/>
                <w:kern w:val="0"/>
                <w:sz w:val="20"/>
                <w:szCs w:val="20"/>
                <w:lang w:eastAsia="en-US" w:bidi="ar-SA"/>
              </w:rPr>
              <w:t xml:space="preserve">Dashboard PowerBI  </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Extraction des bases intermédiaires sur SQL server (hébergé sur Docker)</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Schématiser la base décisionnelle sous Power Query</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Concevoir les KPIs à l'aide de DAX</w:t>
            </w:r>
          </w:p>
          <w:p>
            <w:pPr>
              <w:pStyle w:val="BodyText"/>
              <w:numPr>
                <w:ilvl w:val="0"/>
                <w:numId w:val="6"/>
              </w:numPr>
              <w:suppressAutoHyphens w:val="true"/>
              <w:spacing w:lineRule="auto" w:line="276" w:before="0" w:after="0"/>
              <w:ind w:hanging="360" w:start="141" w:end="275"/>
              <w:jc w:val="start"/>
              <w:rPr>
                <w:b/>
                <w:sz w:val="20"/>
                <w:szCs w:val="20"/>
              </w:rPr>
            </w:pPr>
            <w:r>
              <w:rPr>
                <w:b/>
                <w:sz w:val="20"/>
                <w:szCs w:val="20"/>
              </w:rPr>
            </w:r>
          </w:p>
          <w:p>
            <w:pPr>
              <w:pStyle w:val="BodyText"/>
              <w:numPr>
                <w:ilvl w:val="0"/>
                <w:numId w:val="6"/>
              </w:numPr>
              <w:suppressAutoHyphens w:val="true"/>
              <w:spacing w:lineRule="auto" w:line="276" w:before="0" w:after="0"/>
              <w:ind w:hanging="360" w:start="141" w:end="275"/>
              <w:jc w:val="start"/>
              <w:rPr>
                <w:sz w:val="20"/>
                <w:szCs w:val="20"/>
              </w:rPr>
            </w:pPr>
            <w:r>
              <w:rPr>
                <w:b/>
                <w:kern w:val="0"/>
                <w:sz w:val="20"/>
                <w:szCs w:val="20"/>
                <w:lang w:eastAsia="en-US" w:bidi="ar-SA"/>
              </w:rPr>
              <w:t xml:space="preserve">Audit Aircraft  </w:t>
            </w:r>
            <w:r>
              <w:rPr>
                <w:bCs/>
                <w:kern w:val="0"/>
                <w:sz w:val="20"/>
                <w:szCs w:val="20"/>
                <w:lang w:eastAsia="en-US" w:bidi="ar-SA"/>
              </w:rPr>
              <w:t>:</w:t>
            </w:r>
            <w:r>
              <w:rPr>
                <w:bCs/>
                <w:spacing w:val="-2"/>
                <w:kern w:val="0"/>
                <w:sz w:val="20"/>
                <w:szCs w:val="20"/>
                <w:lang w:eastAsia="en-US" w:bidi="ar-SA"/>
              </w:rPr>
              <w:t xml:space="preserve">  Etudes des données d’aéroports : trafic des passagers par aéroport et par revenu </w:t>
            </w:r>
          </w:p>
          <w:p>
            <w:pPr>
              <w:pStyle w:val="BodyText"/>
              <w:numPr>
                <w:ilvl w:val="0"/>
                <w:numId w:val="6"/>
              </w:numPr>
              <w:suppressAutoHyphens w:val="true"/>
              <w:spacing w:lineRule="auto" w:line="276" w:before="0" w:after="0"/>
              <w:ind w:hanging="360" w:start="141" w:end="275"/>
              <w:jc w:val="start"/>
              <w:rPr>
                <w:sz w:val="20"/>
                <w:szCs w:val="20"/>
              </w:rPr>
            </w:pPr>
            <w:r>
              <w:rPr>
                <w:b/>
                <w:kern w:val="0"/>
                <w:sz w:val="20"/>
                <w:szCs w:val="20"/>
                <w:lang w:eastAsia="en-US" w:bidi="ar-SA"/>
              </w:rPr>
              <w:t>Technologies :</w:t>
            </w:r>
            <w:r>
              <w:rPr>
                <w:b/>
                <w:spacing w:val="-2"/>
                <w:kern w:val="0"/>
                <w:sz w:val="20"/>
                <w:szCs w:val="20"/>
                <w:lang w:eastAsia="en-US" w:bidi="ar-SA"/>
              </w:rPr>
              <w:t xml:space="preserve"> </w:t>
            </w:r>
            <w:r>
              <w:rPr>
                <w:spacing w:val="-2"/>
                <w:kern w:val="0"/>
                <w:sz w:val="20"/>
                <w:szCs w:val="20"/>
                <w:lang w:eastAsia="en-US" w:bidi="ar-SA"/>
              </w:rPr>
              <w:t>Snowflake</w:t>
            </w:r>
            <w:r>
              <w:rPr>
                <w:bCs/>
                <w:spacing w:val="-2"/>
                <w:kern w:val="0"/>
                <w:sz w:val="20"/>
                <w:szCs w:val="20"/>
                <w:lang w:eastAsia="en-US" w:bidi="ar-SA"/>
              </w:rPr>
              <w:t xml:space="preserve">, DBT, Deepnote   </w:t>
            </w:r>
            <w:r>
              <w:rPr>
                <w:b/>
                <w:spacing w:val="-2"/>
                <w:kern w:val="0"/>
                <w:sz w:val="20"/>
                <w:szCs w:val="20"/>
                <w:lang w:eastAsia="en-US" w:bidi="ar-SA"/>
              </w:rPr>
              <w:t>Livrables :</w:t>
            </w:r>
            <w:r>
              <w:rPr>
                <w:spacing w:val="-2"/>
                <w:kern w:val="0"/>
                <w:sz w:val="20"/>
                <w:szCs w:val="20"/>
                <w:lang w:eastAsia="en-US" w:bidi="ar-SA"/>
              </w:rPr>
              <w:t xml:space="preserve">  Schéma de base de données, Pipelines de données dashboard sur Deepnote</w:t>
              <w:br/>
              <w:t xml:space="preserve">      ◦ Extraction des bases de données bruts depuis Snwoflake et chargement sous DBT</w:t>
            </w:r>
          </w:p>
          <w:p>
            <w:pPr>
              <w:pStyle w:val="BodyText"/>
              <w:numPr>
                <w:ilvl w:val="0"/>
                <w:numId w:val="6"/>
              </w:numPr>
              <w:suppressAutoHyphens w:val="true"/>
              <w:spacing w:lineRule="auto" w:line="276" w:before="0" w:after="0"/>
              <w:ind w:hanging="360" w:start="141" w:end="275"/>
              <w:jc w:val="start"/>
              <w:rPr>
                <w:spacing w:val="-2"/>
                <w:sz w:val="20"/>
                <w:szCs w:val="20"/>
              </w:rPr>
            </w:pPr>
            <w:r>
              <w:rPr>
                <w:spacing w:val="-2"/>
                <w:kern w:val="0"/>
                <w:sz w:val="20"/>
                <w:szCs w:val="20"/>
                <w:lang w:eastAsia="en-US" w:bidi="ar-SA"/>
              </w:rPr>
              <w:t xml:space="preserve">        ◦ </w:t>
            </w:r>
            <w:r>
              <w:rPr>
                <w:spacing w:val="-2"/>
                <w:kern w:val="0"/>
                <w:sz w:val="20"/>
                <w:szCs w:val="20"/>
                <w:lang w:eastAsia="en-US" w:bidi="ar-SA"/>
              </w:rPr>
              <w:t>Transformation DBT en utilisant des requêtes SQL temporaires (CTE), Robustesse des bases</w:t>
            </w:r>
          </w:p>
          <w:p>
            <w:pPr>
              <w:pStyle w:val="BodyText"/>
              <w:numPr>
                <w:ilvl w:val="0"/>
                <w:numId w:val="6"/>
              </w:numPr>
              <w:suppressAutoHyphens w:val="true"/>
              <w:spacing w:lineRule="auto" w:line="276" w:before="0" w:after="0"/>
              <w:ind w:hanging="360" w:start="141" w:end="275"/>
              <w:jc w:val="start"/>
              <w:rPr>
                <w:spacing w:val="-2"/>
                <w:sz w:val="20"/>
                <w:szCs w:val="20"/>
              </w:rPr>
            </w:pPr>
            <w:r>
              <w:rPr>
                <w:spacing w:val="-2"/>
                <w:kern w:val="0"/>
                <w:sz w:val="20"/>
                <w:szCs w:val="20"/>
                <w:lang w:eastAsia="en-US" w:bidi="ar-SA"/>
              </w:rPr>
              <w:t xml:space="preserve">        ◦ </w:t>
            </w:r>
            <w:r>
              <w:rPr>
                <w:spacing w:val="-2"/>
                <w:kern w:val="0"/>
                <w:sz w:val="20"/>
                <w:szCs w:val="20"/>
                <w:lang w:eastAsia="en-US" w:bidi="ar-SA"/>
              </w:rPr>
              <w:t>Réalisation sous DBT des KPI via les tables de dimensions</w:t>
            </w:r>
          </w:p>
          <w:p>
            <w:pPr>
              <w:pStyle w:val="BodyText"/>
              <w:numPr>
                <w:ilvl w:val="0"/>
                <w:numId w:val="6"/>
              </w:numPr>
              <w:suppressAutoHyphens w:val="true"/>
              <w:spacing w:lineRule="auto" w:line="276" w:before="0" w:after="0"/>
              <w:ind w:hanging="360" w:start="141" w:end="275"/>
              <w:jc w:val="start"/>
              <w:rPr>
                <w:spacing w:val="-2"/>
                <w:sz w:val="20"/>
                <w:szCs w:val="20"/>
              </w:rPr>
            </w:pPr>
            <w:r>
              <w:rPr>
                <w:spacing w:val="-2"/>
                <w:kern w:val="0"/>
                <w:sz w:val="20"/>
                <w:szCs w:val="20"/>
                <w:lang w:eastAsia="en-US" w:bidi="ar-SA"/>
              </w:rPr>
              <w:t xml:space="preserve">        ◦ </w:t>
            </w:r>
            <w:r>
              <w:rPr>
                <w:spacing w:val="-2"/>
                <w:kern w:val="0"/>
                <w:sz w:val="20"/>
                <w:szCs w:val="20"/>
                <w:lang w:eastAsia="en-US" w:bidi="ar-SA"/>
              </w:rPr>
              <w:t>Chargement des tables décisionnels et de leurs KPI dans snowflake</w:t>
            </w:r>
          </w:p>
          <w:p>
            <w:pPr>
              <w:pStyle w:val="BodyText"/>
              <w:numPr>
                <w:ilvl w:val="0"/>
                <w:numId w:val="6"/>
              </w:numPr>
              <w:suppressAutoHyphens w:val="true"/>
              <w:spacing w:lineRule="auto" w:line="276" w:before="0" w:after="0"/>
              <w:ind w:hanging="360" w:start="141" w:end="275"/>
              <w:jc w:val="start"/>
              <w:rPr>
                <w:spacing w:val="-2"/>
                <w:sz w:val="20"/>
                <w:szCs w:val="20"/>
              </w:rPr>
            </w:pPr>
            <w:r>
              <w:rPr>
                <w:spacing w:val="-2"/>
                <w:kern w:val="0"/>
                <w:sz w:val="20"/>
                <w:szCs w:val="20"/>
                <w:lang w:eastAsia="en-US" w:bidi="ar-SA"/>
              </w:rPr>
              <w:t xml:space="preserve">        ◦ </w:t>
            </w:r>
            <w:r>
              <w:rPr>
                <w:spacing w:val="-2"/>
                <w:kern w:val="0"/>
                <w:sz w:val="20"/>
                <w:szCs w:val="20"/>
                <w:lang w:eastAsia="en-US" w:bidi="ar-SA"/>
              </w:rPr>
              <w:t>Réalisations de dashboards decisionnels sur Deepnote</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sz w:val="20"/>
                <w:szCs w:val="20"/>
              </w:rPr>
            </w:r>
          </w:p>
          <w:p>
            <w:pPr>
              <w:pStyle w:val="BodyText"/>
              <w:numPr>
                <w:ilvl w:val="0"/>
                <w:numId w:val="6"/>
              </w:numPr>
              <w:suppressAutoHyphens w:val="true"/>
              <w:spacing w:lineRule="auto" w:line="276" w:before="0" w:after="0"/>
              <w:ind w:hanging="360" w:start="141" w:end="275"/>
              <w:jc w:val="start"/>
              <w:rPr>
                <w:sz w:val="20"/>
                <w:szCs w:val="20"/>
              </w:rPr>
            </w:pPr>
            <w:r>
              <w:rPr>
                <w:b/>
                <w:kern w:val="0"/>
                <w:sz w:val="20"/>
                <w:szCs w:val="20"/>
                <w:lang w:eastAsia="en-US" w:bidi="ar-SA"/>
              </w:rPr>
              <w:t xml:space="preserve">Audit Tinder  </w:t>
            </w:r>
            <w:r>
              <w:rPr>
                <w:bCs/>
                <w:kern w:val="0"/>
                <w:sz w:val="20"/>
                <w:szCs w:val="20"/>
                <w:lang w:eastAsia="en-US" w:bidi="ar-SA"/>
              </w:rPr>
              <w:t>: Corrélation entre données récoltées lors de sondages et utilisation de la plateforme</w:t>
            </w:r>
            <w:r>
              <w:rPr>
                <w:bCs/>
                <w:spacing w:val="-2"/>
                <w:kern w:val="0"/>
                <w:sz w:val="20"/>
                <w:szCs w:val="20"/>
                <w:lang w:eastAsia="en-US" w:bidi="ar-SA"/>
              </w:rPr>
              <w:t xml:space="preserve">  </w:t>
            </w:r>
          </w:p>
          <w:p>
            <w:pPr>
              <w:pStyle w:val="BodyText"/>
              <w:numPr>
                <w:ilvl w:val="0"/>
                <w:numId w:val="6"/>
              </w:numPr>
              <w:suppressAutoHyphens w:val="true"/>
              <w:spacing w:lineRule="auto" w:line="276" w:before="0" w:after="0"/>
              <w:ind w:hanging="360" w:start="141" w:end="275"/>
              <w:jc w:val="start"/>
              <w:rPr>
                <w:sz w:val="20"/>
                <w:szCs w:val="20"/>
              </w:rPr>
            </w:pPr>
            <w:r>
              <w:rPr>
                <w:b/>
                <w:kern w:val="0"/>
                <w:sz w:val="20"/>
                <w:szCs w:val="20"/>
                <w:lang w:eastAsia="en-US" w:bidi="ar-SA"/>
              </w:rPr>
              <w:t>Technologies :</w:t>
            </w:r>
            <w:r>
              <w:rPr>
                <w:spacing w:val="-2"/>
                <w:kern w:val="0"/>
                <w:sz w:val="20"/>
                <w:szCs w:val="20"/>
                <w:lang w:eastAsia="en-US" w:bidi="ar-SA"/>
              </w:rPr>
              <w:t xml:space="preserve"> Python, Seaborn, Matplotlib  - </w:t>
            </w:r>
            <w:r>
              <w:rPr>
                <w:b/>
                <w:kern w:val="0"/>
                <w:sz w:val="20"/>
                <w:szCs w:val="20"/>
                <w:lang w:eastAsia="en-US" w:bidi="ar-SA"/>
              </w:rPr>
              <w:t>Livrables :</w:t>
            </w:r>
            <w:r>
              <w:rPr>
                <w:kern w:val="0"/>
                <w:sz w:val="20"/>
                <w:szCs w:val="20"/>
                <w:lang w:eastAsia="en-US" w:bidi="ar-SA"/>
              </w:rPr>
              <w:t xml:space="preserve"> Dossier de synthèse livrant des insights sur les indicateurs favorisant une fréquentation plus forte de la plateforme </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Exploration, analyse de la qualité puis choix des indicateurs pertinents sous Python</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Vérification de la qualité des données (complétude, distribution) et renormalisation si nécessaire</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Transformation de colonnes pour rendre les reportings plus lisibles</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Etude des corrélations entre des indicateurs et le nombre de matchs</w:t>
            </w:r>
          </w:p>
          <w:p>
            <w:pPr>
              <w:pStyle w:val="BodyText"/>
              <w:suppressAutoHyphens w:val="true"/>
              <w:spacing w:lineRule="auto" w:line="276" w:before="0" w:after="0"/>
              <w:ind w:hanging="360" w:start="141" w:end="275"/>
              <w:jc w:val="start"/>
              <w:rPr>
                <w:bCs/>
                <w:spacing w:val="-2"/>
                <w:sz w:val="20"/>
                <w:szCs w:val="20"/>
              </w:rPr>
            </w:pPr>
            <w:r>
              <w:rPr>
                <w:bCs/>
                <w:spacing w:val="-2"/>
                <w:sz w:val="20"/>
                <w:szCs w:val="20"/>
              </w:rPr>
            </w:r>
          </w:p>
          <w:p>
            <w:pPr>
              <w:pStyle w:val="BodyText"/>
              <w:suppressAutoHyphens w:val="true"/>
              <w:spacing w:lineRule="auto" w:line="276" w:before="0" w:after="0"/>
              <w:ind w:hanging="0" w:start="-219" w:end="275"/>
              <w:jc w:val="start"/>
              <w:rPr>
                <w:bCs/>
                <w:spacing w:val="-2"/>
                <w:sz w:val="20"/>
                <w:szCs w:val="20"/>
              </w:rPr>
            </w:pPr>
            <w:r>
              <w:rPr>
                <w:bCs/>
                <w:spacing w:val="-2"/>
                <w:sz w:val="20"/>
                <w:szCs w:val="20"/>
              </w:rPr>
            </w:r>
          </w:p>
          <w:p>
            <w:pPr>
              <w:pStyle w:val="BodyText"/>
              <w:suppressAutoHyphens w:val="true"/>
              <w:spacing w:lineRule="auto" w:line="276" w:before="0" w:after="0"/>
              <w:ind w:hanging="0" w:start="-219" w:end="275"/>
              <w:jc w:val="start"/>
              <w:rPr>
                <w:bCs/>
                <w:spacing w:val="-2"/>
                <w:sz w:val="20"/>
                <w:szCs w:val="20"/>
              </w:rPr>
            </w:pPr>
            <w:r>
              <w:rPr>
                <w:bCs/>
                <w:spacing w:val="-2"/>
                <w:sz w:val="20"/>
                <w:szCs w:val="20"/>
              </w:rPr>
            </w:r>
          </w:p>
        </w:tc>
      </w:tr>
      <w:tr>
        <w:trPr>
          <w:trHeight w:val="3662" w:hRule="atLeast"/>
        </w:trPr>
        <w:tc>
          <w:tcPr>
            <w:tcW w:w="1989"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1"/>
              <w:suppressAutoHyphens w:val="true"/>
              <w:spacing w:before="0" w:after="0"/>
              <w:jc w:val="start"/>
              <w:rPr>
                <w:color w:val="005091"/>
                <w:spacing w:val="-13"/>
              </w:rPr>
            </w:pPr>
            <w:r>
              <w:rPr>
                <w:color w:val="005091"/>
                <w:kern w:val="0"/>
                <w:lang w:eastAsia="en-US" w:bidi="ar-SA"/>
              </w:rPr>
              <w:t>Saint</w:t>
            </w:r>
            <w:r>
              <w:rPr>
                <w:color w:val="005091"/>
                <w:spacing w:val="-13"/>
                <w:kern w:val="0"/>
                <w:lang w:eastAsia="en-US" w:bidi="ar-SA"/>
              </w:rPr>
              <w:t xml:space="preserve"> </w:t>
            </w:r>
            <w:r>
              <w:rPr>
                <w:color w:val="005091"/>
                <w:kern w:val="0"/>
                <w:lang w:eastAsia="en-US" w:bidi="ar-SA"/>
              </w:rPr>
              <w:t>Gobain</w:t>
            </w:r>
            <w:r>
              <w:rPr>
                <w:color w:val="005091"/>
                <w:spacing w:val="-13"/>
                <w:kern w:val="0"/>
                <w:lang w:eastAsia="en-US" w:bidi="ar-SA"/>
              </w:rPr>
              <w:t xml:space="preserve"> </w:t>
            </w:r>
          </w:p>
          <w:p>
            <w:pPr>
              <w:pStyle w:val="Heading1"/>
              <w:suppressAutoHyphens w:val="true"/>
              <w:spacing w:before="0" w:after="0"/>
              <w:jc w:val="start"/>
              <w:rPr>
                <w:color w:val="005091"/>
                <w:spacing w:val="-13"/>
                <w:sz w:val="12"/>
                <w:szCs w:val="12"/>
              </w:rPr>
            </w:pPr>
            <w:r>
              <w:rPr>
                <w:color w:val="005091"/>
                <w:spacing w:val="-13"/>
                <w:sz w:val="12"/>
                <w:szCs w:val="12"/>
              </w:rPr>
            </w:r>
          </w:p>
          <w:p>
            <w:pPr>
              <w:pStyle w:val="Heading1"/>
              <w:suppressAutoHyphens w:val="true"/>
              <w:spacing w:before="0" w:after="0"/>
              <w:jc w:val="start"/>
              <w:rPr>
                <w:kern w:val="0"/>
                <w:lang w:eastAsia="en-US" w:bidi="ar-SA"/>
              </w:rPr>
            </w:pPr>
            <w:r>
              <w:rPr>
                <w:color w:val="005091"/>
                <w:kern w:val="0"/>
                <w:lang w:eastAsia="en-US" w:bidi="ar-SA"/>
              </w:rPr>
              <w:t>Distribution</w:t>
            </w:r>
          </w:p>
          <w:p>
            <w:pPr>
              <w:pStyle w:val="Heading1"/>
              <w:suppressAutoHyphens w:val="true"/>
              <w:spacing w:before="0" w:after="0"/>
              <w:jc w:val="start"/>
              <w:rPr>
                <w:color w:val="005091"/>
                <w:sz w:val="24"/>
                <w:szCs w:val="24"/>
              </w:rPr>
            </w:pPr>
            <w:r>
              <w:rPr>
                <w:color w:val="005091"/>
                <w:kern w:val="0"/>
                <w:lang w:eastAsia="en-US" w:bidi="ar-SA"/>
              </w:rPr>
              <w:t>Bâtiment France</w:t>
            </w:r>
            <w:r>
              <w:rPr>
                <w:color w:val="005091"/>
                <w:kern w:val="0"/>
                <w:sz w:val="24"/>
                <w:szCs w:val="24"/>
                <w:lang w:eastAsia="en-US" w:bidi="ar-SA"/>
              </w:rPr>
              <w:t xml:space="preserve"> </w:t>
            </w:r>
          </w:p>
          <w:p>
            <w:pPr>
              <w:pStyle w:val="Heading1"/>
              <w:suppressAutoHyphens w:val="true"/>
              <w:spacing w:before="0" w:after="0"/>
              <w:jc w:val="start"/>
              <w:rPr>
                <w:kern w:val="0"/>
                <w:lang w:eastAsia="en-US" w:bidi="ar-SA"/>
              </w:rPr>
            </w:pPr>
            <w:r>
              <w:rPr>
                <w:color w:val="005091"/>
                <w:kern w:val="0"/>
                <w:sz w:val="24"/>
                <w:szCs w:val="24"/>
                <w:lang w:eastAsia="en-US" w:bidi="ar-SA"/>
              </w:rPr>
              <w:t>(CDI-interne)</w:t>
            </w:r>
          </w:p>
          <w:p>
            <w:pPr>
              <w:pStyle w:val="Normal"/>
              <w:suppressAutoHyphens w:val="true"/>
              <w:spacing w:before="119" w:after="0"/>
              <w:jc w:val="start"/>
              <w:rPr>
                <w:rFonts w:ascii="Arial" w:hAnsi="Arial"/>
                <w:b/>
                <w:color w:val="005091"/>
                <w:spacing w:val="-2"/>
                <w:sz w:val="20"/>
              </w:rPr>
            </w:pPr>
            <w:r>
              <w:rPr>
                <w:rFonts w:ascii="Arial" w:hAnsi="Arial"/>
                <w:b/>
                <w:color w:val="005091"/>
                <w:spacing w:val="-2"/>
                <w:sz w:val="20"/>
              </w:rPr>
            </w:r>
          </w:p>
          <w:p>
            <w:pPr>
              <w:pStyle w:val="Normal"/>
              <w:suppressAutoHyphens w:val="true"/>
              <w:spacing w:before="130" w:after="0"/>
              <w:ind w:start="141"/>
              <w:jc w:val="start"/>
              <w:rPr>
                <w:sz w:val="16"/>
              </w:rPr>
            </w:pPr>
            <w:r>
              <w:rPr>
                <w:rFonts w:ascii="Arial" w:hAnsi="Arial"/>
                <w:b/>
                <w:color w:val="005091"/>
                <w:spacing w:val="-2"/>
                <w:kern w:val="0"/>
                <w:sz w:val="20"/>
                <w:szCs w:val="22"/>
                <w:lang w:eastAsia="en-US" w:bidi="ar-SA"/>
              </w:rPr>
              <w:t>12/2021</w:t>
            </w:r>
            <w:r>
              <w:rPr>
                <w:rFonts w:ascii="Arial" w:hAnsi="Arial"/>
                <w:b/>
                <w:color w:val="005091"/>
                <w:spacing w:val="-3"/>
                <w:kern w:val="0"/>
                <w:sz w:val="20"/>
                <w:szCs w:val="22"/>
                <w:lang w:eastAsia="en-US" w:bidi="ar-SA"/>
              </w:rPr>
              <w:t xml:space="preserve"> </w:t>
            </w:r>
            <w:r>
              <w:rPr>
                <w:rFonts w:ascii="Arial" w:hAnsi="Arial"/>
                <w:b/>
                <w:color w:val="005091"/>
                <w:spacing w:val="-2"/>
                <w:kern w:val="0"/>
                <w:sz w:val="20"/>
                <w:szCs w:val="22"/>
                <w:lang w:eastAsia="en-US" w:bidi="ar-SA"/>
              </w:rPr>
              <w:t>-</w:t>
            </w:r>
            <w:r>
              <w:rPr>
                <w:rFonts w:ascii="Arial" w:hAnsi="Arial"/>
                <w:b/>
                <w:color w:val="005091"/>
                <w:spacing w:val="-3"/>
                <w:kern w:val="0"/>
                <w:sz w:val="20"/>
                <w:szCs w:val="22"/>
                <w:lang w:eastAsia="en-US" w:bidi="ar-SA"/>
              </w:rPr>
              <w:t xml:space="preserve"> </w:t>
            </w:r>
            <w:r>
              <w:rPr>
                <w:rFonts w:ascii="Arial" w:hAnsi="Arial"/>
                <w:b/>
                <w:color w:val="005091"/>
                <w:spacing w:val="-2"/>
                <w:kern w:val="0"/>
                <w:sz w:val="20"/>
                <w:szCs w:val="22"/>
                <w:lang w:eastAsia="en-US" w:bidi="ar-SA"/>
              </w:rPr>
              <w:t>04/2025</w:t>
            </w:r>
          </w:p>
        </w:tc>
        <w:tc>
          <w:tcPr>
            <w:tcW w:w="1550"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Normal"/>
              <w:suppressAutoHyphens w:val="true"/>
              <w:spacing w:before="0" w:after="0"/>
              <w:jc w:val="start"/>
              <w:rPr>
                <w:rFonts w:ascii="Arial" w:hAnsi="Arial"/>
                <w:b/>
                <w:color w:val="005091"/>
                <w:spacing w:val="-5"/>
                <w:sz w:val="20"/>
                <w:szCs w:val="20"/>
              </w:rPr>
            </w:pPr>
            <w:r>
              <w:rPr>
                <w:rFonts w:ascii="Arial" w:hAnsi="Arial"/>
                <w:b/>
                <w:color w:val="005091"/>
                <w:spacing w:val="-2"/>
                <w:kern w:val="0"/>
                <w:sz w:val="20"/>
                <w:szCs w:val="20"/>
                <w:lang w:eastAsia="en-US" w:bidi="ar-SA"/>
              </w:rPr>
              <w:t>Tech</w:t>
            </w:r>
            <w:r>
              <w:rPr>
                <w:rFonts w:ascii="Arial" w:hAnsi="Arial"/>
                <w:b/>
                <w:color w:val="005091"/>
                <w:spacing w:val="-5"/>
                <w:kern w:val="0"/>
                <w:sz w:val="20"/>
                <w:szCs w:val="20"/>
                <w:lang w:eastAsia="en-US" w:bidi="ar-SA"/>
              </w:rPr>
              <w:t xml:space="preserve"> </w:t>
            </w:r>
            <w:r>
              <w:rPr>
                <w:rFonts w:ascii="Arial" w:hAnsi="Arial"/>
                <w:b/>
                <w:color w:val="005091"/>
                <w:spacing w:val="-2"/>
                <w:kern w:val="0"/>
                <w:sz w:val="20"/>
                <w:szCs w:val="20"/>
                <w:lang w:eastAsia="en-US" w:bidi="ar-SA"/>
              </w:rPr>
              <w:t>lead</w:t>
            </w:r>
            <w:r>
              <w:rPr>
                <w:rFonts w:ascii="Arial" w:hAnsi="Arial"/>
                <w:b/>
                <w:color w:val="005091"/>
                <w:spacing w:val="-5"/>
                <w:kern w:val="0"/>
                <w:sz w:val="20"/>
                <w:szCs w:val="20"/>
                <w:lang w:eastAsia="en-US" w:bidi="ar-SA"/>
              </w:rPr>
              <w:t xml:space="preserve"> </w:t>
            </w:r>
          </w:p>
          <w:p>
            <w:pPr>
              <w:pStyle w:val="Normal"/>
              <w:suppressAutoHyphens w:val="true"/>
              <w:spacing w:before="0" w:after="0"/>
              <w:jc w:val="start"/>
              <w:rPr>
                <w:sz w:val="20"/>
                <w:szCs w:val="20"/>
              </w:rPr>
            </w:pPr>
            <w:r>
              <w:rPr>
                <w:rFonts w:ascii="Arial" w:hAnsi="Arial"/>
                <w:b/>
                <w:color w:val="005091"/>
                <w:spacing w:val="-5"/>
                <w:kern w:val="0"/>
                <w:sz w:val="20"/>
                <w:szCs w:val="20"/>
                <w:lang w:eastAsia="en-US" w:bidi="ar-SA"/>
              </w:rPr>
              <w:t>Data / BI</w:t>
            </w:r>
          </w:p>
          <w:p>
            <w:pPr>
              <w:pStyle w:val="Normal"/>
              <w:suppressAutoHyphens w:val="true"/>
              <w:spacing w:before="0" w:after="0"/>
              <w:ind w:start="141"/>
              <w:jc w:val="start"/>
              <w:rPr>
                <w:rFonts w:ascii="Arial" w:hAnsi="Arial"/>
                <w:b/>
                <w:color w:val="005091"/>
                <w:spacing w:val="-5"/>
                <w:sz w:val="20"/>
                <w:szCs w:val="20"/>
              </w:rPr>
            </w:pPr>
            <w:r>
              <w:rPr>
                <w:rFonts w:ascii="Arial" w:hAnsi="Arial"/>
                <w:b/>
                <w:color w:val="005091"/>
                <w:spacing w:val="-5"/>
                <w:sz w:val="20"/>
                <w:szCs w:val="20"/>
              </w:rPr>
            </w:r>
          </w:p>
          <w:p>
            <w:pPr>
              <w:pStyle w:val="Normal"/>
              <w:suppressAutoHyphens w:val="true"/>
              <w:spacing w:before="0" w:after="0"/>
              <w:jc w:val="start"/>
              <w:rPr>
                <w:rFonts w:ascii="Arial" w:hAnsi="Arial"/>
                <w:b/>
                <w:color w:val="005091"/>
                <w:spacing w:val="-2"/>
                <w:sz w:val="20"/>
                <w:szCs w:val="20"/>
              </w:rPr>
            </w:pPr>
            <w:r>
              <w:rPr>
                <w:rFonts w:ascii="Arial" w:hAnsi="Arial"/>
                <w:b/>
                <w:color w:val="005091"/>
                <w:spacing w:val="-2"/>
                <w:kern w:val="0"/>
                <w:sz w:val="20"/>
                <w:szCs w:val="20"/>
                <w:lang w:eastAsia="en-US" w:bidi="ar-SA"/>
              </w:rPr>
              <w:t>Diffusion quotidienne de rapports décisionnels (DATA / BI)</w:t>
            </w:r>
          </w:p>
          <w:p>
            <w:pPr>
              <w:pStyle w:val="Normal"/>
              <w:suppressAutoHyphens w:val="true"/>
              <w:spacing w:before="0" w:after="0"/>
              <w:jc w:val="start"/>
              <w:rPr>
                <w:rFonts w:ascii="Arial" w:hAnsi="Arial"/>
                <w:b/>
                <w:color w:val="005091"/>
                <w:spacing w:val="-2"/>
                <w:sz w:val="20"/>
                <w:szCs w:val="20"/>
              </w:rPr>
            </w:pPr>
            <w:r>
              <w:rPr>
                <w:rFonts w:ascii="Arial" w:hAnsi="Arial"/>
                <w:b/>
                <w:color w:val="005091"/>
                <w:spacing w:val="-2"/>
                <w:kern w:val="0"/>
                <w:sz w:val="20"/>
                <w:szCs w:val="20"/>
                <w:lang w:eastAsia="en-US" w:bidi="ar-SA"/>
              </w:rPr>
              <w:t>aux sales, financiers et au marketing de plus de +2000 points de vente</w:t>
            </w:r>
          </w:p>
          <w:p>
            <w:pPr>
              <w:pStyle w:val="Normal"/>
              <w:suppressAutoHyphens w:val="true"/>
              <w:spacing w:before="0" w:after="0"/>
              <w:ind w:start="141"/>
              <w:jc w:val="start"/>
              <w:rPr>
                <w:rFonts w:ascii="Arial" w:hAnsi="Arial"/>
                <w:b/>
                <w:color w:val="005091"/>
                <w:spacing w:val="-2"/>
              </w:rPr>
            </w:pPr>
            <w:r>
              <w:rPr>
                <w:rFonts w:ascii="Arial" w:hAnsi="Arial"/>
                <w:b/>
                <w:color w:val="005091"/>
                <w:spacing w:val="-2"/>
              </w:rPr>
            </w:r>
          </w:p>
          <w:p>
            <w:pPr>
              <w:pStyle w:val="TableParagraph"/>
              <w:suppressAutoHyphens w:val="true"/>
              <w:spacing w:before="0" w:after="0"/>
              <w:ind w:start="100"/>
              <w:jc w:val="start"/>
              <w:rPr>
                <w:rFonts w:ascii="Arial" w:hAnsi="Arial"/>
                <w:b/>
                <w:sz w:val="20"/>
              </w:rPr>
            </w:pPr>
            <w:r>
              <w:rPr>
                <w:rFonts w:ascii="Arial" w:hAnsi="Arial"/>
                <w:b/>
                <w:sz w:val="20"/>
              </w:rPr>
            </w:r>
          </w:p>
        </w:tc>
        <w:tc>
          <w:tcPr>
            <w:tcW w:w="11485"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TableParagraph"/>
              <w:tabs>
                <w:tab w:val="clear" w:pos="720"/>
                <w:tab w:val="left" w:pos="468" w:leader="none"/>
              </w:tabs>
              <w:suppressAutoHyphens w:val="true"/>
              <w:spacing w:lineRule="auto" w:line="276" w:before="0" w:after="0"/>
              <w:jc w:val="start"/>
              <w:rPr>
                <w:kern w:val="0"/>
                <w:sz w:val="22"/>
                <w:szCs w:val="22"/>
                <w:lang w:eastAsia="en-US" w:bidi="ar-SA"/>
              </w:rPr>
            </w:pPr>
            <w:r>
              <w:rPr>
                <w:kern w:val="0"/>
                <w:sz w:val="22"/>
                <w:szCs w:val="22"/>
                <w:lang w:eastAsia="en-US" w:bidi="ar-SA"/>
              </w:rPr>
            </w:r>
          </w:p>
          <w:p>
            <w:pPr>
              <w:pStyle w:val="NormalWeb"/>
              <w:numPr>
                <w:ilvl w:val="0"/>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Tech Lead Data / BI  applicatif Dataviz MicroStrategy </w:t>
            </w:r>
            <w:r>
              <w:rPr>
                <w:rFonts w:cs="Arial" w:ascii="Arial" w:hAnsi="Arial"/>
                <w:kern w:val="0"/>
                <w:sz w:val="20"/>
                <w:szCs w:val="20"/>
                <w:lang w:eastAsia="en-US" w:bidi="ar-SA"/>
              </w:rPr>
              <w:t>(Strategy)</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Supervision des bonnes pratiques</w:t>
            </w:r>
            <w:r>
              <w:rPr>
                <w:rFonts w:cs="Arial" w:ascii="Arial" w:hAnsi="Arial"/>
                <w:kern w:val="0"/>
                <w:sz w:val="20"/>
                <w:szCs w:val="20"/>
                <w:lang w:eastAsia="en-US" w:bidi="ar-SA"/>
              </w:rPr>
              <w:t xml:space="preserve"> SQL et dashboarding : alerting sur les requêtes couteuses, partage des recommandations SQL et dataviz, tests et validations en préprod</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Déploiement des </w:t>
            </w:r>
            <w:r>
              <w:rPr>
                <w:rFonts w:cs="Arial" w:ascii="Arial" w:hAnsi="Arial"/>
                <w:b/>
                <w:bCs/>
                <w:kern w:val="0"/>
                <w:sz w:val="20"/>
                <w:szCs w:val="20"/>
                <w:lang w:eastAsia="en-US" w:bidi="ar-SA"/>
              </w:rPr>
              <w:t xml:space="preserve">nouvelles fonctionnalités BI et Data </w:t>
            </w:r>
            <w:r>
              <w:rPr>
                <w:rFonts w:cs="Arial" w:ascii="Arial" w:hAnsi="Arial"/>
                <w:kern w:val="0"/>
                <w:sz w:val="20"/>
                <w:szCs w:val="20"/>
                <w:lang w:eastAsia="en-US" w:bidi="ar-SA"/>
              </w:rPr>
              <w:t xml:space="preserve">Strategy (import management, cartes ESRI, interface multi projet). </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Préversion mobile </w:t>
            </w:r>
            <w:r>
              <w:rPr>
                <w:rFonts w:cs="Arial" w:ascii="Arial" w:hAnsi="Arial"/>
                <w:kern w:val="0"/>
                <w:sz w:val="20"/>
                <w:szCs w:val="20"/>
                <w:lang w:eastAsia="en-US" w:bidi="ar-SA"/>
              </w:rPr>
              <w:t>de Strategy (déploiement appli BI sur le store de Saint Gobain et suivi des dashboards responsive associés)</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Mise en place de Pocs </w:t>
            </w:r>
            <w:r>
              <w:rPr>
                <w:rFonts w:cs="Arial" w:ascii="Arial" w:hAnsi="Arial"/>
                <w:kern w:val="0"/>
                <w:sz w:val="20"/>
                <w:szCs w:val="20"/>
                <w:lang w:eastAsia="en-US" w:bidi="ar-SA"/>
              </w:rPr>
              <w:t>: installation d’instances de POC avec en entrée la base GOLD et en sortie les requêtes décisionnelles, mesures des perfs sur machines Strategy Cloud</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Supervision du</w:t>
            </w:r>
            <w:r>
              <w:rPr>
                <w:rFonts w:cs="Arial" w:ascii="Arial" w:hAnsi="Arial"/>
                <w:b/>
                <w:bCs/>
                <w:kern w:val="0"/>
                <w:sz w:val="20"/>
                <w:szCs w:val="20"/>
                <w:lang w:eastAsia="en-US" w:bidi="ar-SA"/>
              </w:rPr>
              <w:t xml:space="preserve"> Move to Cloud vers Azure</w:t>
            </w:r>
            <w:r>
              <w:rPr>
                <w:rFonts w:cs="Arial" w:ascii="Arial" w:hAnsi="Arial"/>
                <w:kern w:val="0"/>
                <w:sz w:val="20"/>
                <w:szCs w:val="20"/>
                <w:lang w:eastAsia="en-US" w:bidi="ar-SA"/>
              </w:rPr>
              <w:t xml:space="preserve"> en collaboration avec les équipes Métiers, Ops et Projets) : benchmark et SWOT des solutions existantes (PAAS, IAAS), plan budgétisé sur 2 ans</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Conduite du changements </w:t>
            </w:r>
            <w:r>
              <w:rPr>
                <w:rFonts w:cs="Arial" w:ascii="Arial" w:hAnsi="Arial"/>
                <w:kern w:val="0"/>
                <w:sz w:val="20"/>
                <w:szCs w:val="20"/>
                <w:lang w:eastAsia="en-US" w:bidi="ar-SA"/>
              </w:rPr>
              <w:t>vers Library, plugin Office 360 : changements de technologie (de IIS à Tomcat) et fonctionnels (nouvelles IHM)</w:t>
            </w:r>
          </w:p>
          <w:p>
            <w:pPr>
              <w:pStyle w:val="NormalWeb"/>
              <w:numPr>
                <w:ilvl w:val="1"/>
                <w:numId w:val="6"/>
              </w:numPr>
              <w:suppressAutoHyphens w:val="true"/>
              <w:spacing w:before="0" w:after="0"/>
              <w:jc w:val="start"/>
              <w:rPr>
                <w:rFonts w:ascii="Arial" w:hAnsi="Arial" w:cs="Arial"/>
                <w:b/>
                <w:bCs/>
                <w:sz w:val="20"/>
                <w:szCs w:val="20"/>
              </w:rPr>
            </w:pPr>
            <w:r>
              <w:rPr>
                <w:rFonts w:cs="Arial" w:ascii="Arial" w:hAnsi="Arial"/>
                <w:b/>
                <w:bCs/>
                <w:kern w:val="0"/>
                <w:sz w:val="20"/>
                <w:szCs w:val="20"/>
                <w:lang w:eastAsia="en-US" w:bidi="ar-SA"/>
              </w:rPr>
              <w:t>Incident Manager </w:t>
            </w:r>
            <w:r>
              <w:rPr>
                <w:rFonts w:cs="Arial" w:ascii="Arial" w:hAnsi="Arial"/>
                <w:kern w:val="0"/>
                <w:sz w:val="20"/>
                <w:szCs w:val="20"/>
                <w:lang w:eastAsia="en-US" w:bidi="ar-SA"/>
              </w:rPr>
              <w:t>quand</w:t>
            </w:r>
            <w:r>
              <w:rPr>
                <w:rFonts w:cs="Arial" w:ascii="Arial" w:hAnsi="Arial"/>
                <w:b/>
                <w:bCs/>
                <w:kern w:val="0"/>
                <w:sz w:val="20"/>
                <w:szCs w:val="20"/>
                <w:lang w:eastAsia="en-US" w:bidi="ar-SA"/>
              </w:rPr>
              <w:t xml:space="preserve"> </w:t>
            </w:r>
            <w:r>
              <w:rPr>
                <w:rFonts w:cs="Arial" w:ascii="Arial" w:hAnsi="Arial"/>
                <w:kern w:val="0"/>
                <w:sz w:val="20"/>
                <w:szCs w:val="20"/>
                <w:lang w:eastAsia="en-US" w:bidi="ar-SA"/>
              </w:rPr>
              <w:t>survenance d’incidents P1 ou P2 : communications vers le Métiers, recherche et applications de contournements, post mortem – Problem Advisory Board</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Supervision et monitoring de l' infra </w:t>
            </w:r>
            <w:r>
              <w:rPr>
                <w:rFonts w:cs="Arial" w:ascii="Arial" w:hAnsi="Arial"/>
                <w:kern w:val="0"/>
                <w:sz w:val="20"/>
                <w:szCs w:val="20"/>
                <w:lang w:eastAsia="en-US" w:bidi="ar-SA"/>
              </w:rPr>
              <w:t>: dashboards Elastic Search en temps réels, compliance sécurité et obsolescence</w:t>
            </w:r>
          </w:p>
          <w:p>
            <w:pPr>
              <w:pStyle w:val="NormalWeb"/>
              <w:numPr>
                <w:ilvl w:val="0"/>
                <w:numId w:val="6"/>
              </w:numPr>
              <w:suppressAutoHyphens w:val="true"/>
              <w:spacing w:before="0" w:after="0"/>
              <w:jc w:val="start"/>
              <w:rPr>
                <w:rFonts w:ascii="Arial" w:hAnsi="Arial" w:cs="Arial"/>
                <w:b/>
                <w:bCs/>
                <w:sz w:val="20"/>
                <w:szCs w:val="20"/>
              </w:rPr>
            </w:pPr>
            <w:r>
              <w:rPr>
                <w:rFonts w:cs="Arial" w:ascii="Arial" w:hAnsi="Arial"/>
                <w:b/>
                <w:bCs/>
                <w:kern w:val="0"/>
                <w:sz w:val="20"/>
                <w:szCs w:val="20"/>
                <w:lang w:eastAsia="en-US" w:bidi="ar-SA"/>
              </w:rPr>
              <w:t>Manager d'équipe Support</w:t>
            </w:r>
          </w:p>
          <w:p>
            <w:pPr>
              <w:pStyle w:val="NormalWeb"/>
              <w:numPr>
                <w:ilvl w:val="1"/>
                <w:numId w:val="6"/>
              </w:numPr>
              <w:suppressAutoHyphens w:val="true"/>
              <w:spacing w:before="0" w:after="0"/>
              <w:jc w:val="start"/>
              <w:rPr>
                <w:rFonts w:ascii="Arial" w:hAnsi="Arial" w:cs="Arial"/>
                <w:b/>
                <w:bCs/>
                <w:sz w:val="20"/>
                <w:szCs w:val="20"/>
              </w:rPr>
            </w:pPr>
            <w:r>
              <w:rPr>
                <w:rFonts w:cs="Arial" w:ascii="Arial" w:hAnsi="Arial"/>
                <w:b/>
                <w:bCs/>
                <w:kern w:val="0"/>
                <w:sz w:val="20"/>
                <w:szCs w:val="20"/>
                <w:lang w:eastAsia="en-US" w:bidi="ar-SA"/>
              </w:rPr>
              <w:t xml:space="preserve">Chef d’équipe </w:t>
            </w:r>
            <w:r>
              <w:rPr>
                <w:rFonts w:cs="Arial" w:ascii="Arial" w:hAnsi="Arial"/>
                <w:kern w:val="0"/>
                <w:sz w:val="20"/>
                <w:szCs w:val="20"/>
                <w:lang w:eastAsia="en-US" w:bidi="ar-SA"/>
              </w:rPr>
              <w:t>(4 internes intervenant en support N2, 2 offshore en Inde en support N1, tous développeurs dataviz / SQL)</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Réorganisation</w:t>
            </w:r>
            <w:r>
              <w:rPr>
                <w:rFonts w:cs="Arial" w:ascii="Arial" w:hAnsi="Arial"/>
                <w:kern w:val="0"/>
                <w:sz w:val="20"/>
                <w:szCs w:val="20"/>
                <w:lang w:eastAsia="en-US" w:bidi="ar-SA"/>
              </w:rPr>
              <w:t xml:space="preserve"> de l'équipe en pôle de compétences, délégation de responsabilité auprès du Métier à chaque membre par pôle (Supply Chain, Commerce, Finance)</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Supervision</w:t>
            </w:r>
            <w:r>
              <w:rPr>
                <w:rFonts w:cs="Arial" w:ascii="Arial" w:hAnsi="Arial"/>
                <w:kern w:val="0"/>
                <w:sz w:val="20"/>
                <w:szCs w:val="20"/>
                <w:lang w:eastAsia="en-US" w:bidi="ar-SA"/>
              </w:rPr>
              <w:t xml:space="preserve"> des </w:t>
            </w:r>
            <w:r>
              <w:rPr>
                <w:rFonts w:cs="Arial" w:ascii="Arial" w:hAnsi="Arial"/>
                <w:b/>
                <w:bCs/>
                <w:kern w:val="0"/>
                <w:sz w:val="20"/>
                <w:szCs w:val="20"/>
                <w:lang w:eastAsia="en-US" w:bidi="ar-SA"/>
              </w:rPr>
              <w:t>gestion de tickets</w:t>
            </w:r>
            <w:r>
              <w:rPr>
                <w:rFonts w:cs="Arial" w:ascii="Arial" w:hAnsi="Arial"/>
                <w:kern w:val="0"/>
                <w:sz w:val="20"/>
                <w:szCs w:val="20"/>
                <w:lang w:eastAsia="en-US" w:bidi="ar-SA"/>
              </w:rPr>
              <w:t xml:space="preserve"> sur Jira : détermination de KPI sur la performance de la gestion des tickets (TTR, TTS, délai de réponse, etc) afin de réduire considérablement le backlog</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Formation internes</w:t>
            </w:r>
            <w:r>
              <w:rPr>
                <w:rFonts w:cs="Arial" w:ascii="Arial" w:hAnsi="Arial"/>
                <w:kern w:val="0"/>
                <w:sz w:val="20"/>
                <w:szCs w:val="20"/>
                <w:lang w:eastAsia="en-US" w:bidi="ar-SA"/>
              </w:rPr>
              <w:t xml:space="preserve"> aux nouvelles fonctionnalités Strategy : Library, Workstation</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Incident Management</w:t>
            </w:r>
            <w:r>
              <w:rPr>
                <w:rFonts w:cs="Arial" w:ascii="Arial" w:hAnsi="Arial"/>
                <w:kern w:val="0"/>
                <w:sz w:val="20"/>
                <w:szCs w:val="20"/>
                <w:lang w:eastAsia="en-US" w:bidi="ar-SA"/>
              </w:rPr>
              <w:t xml:space="preserve"> (application ITIL des problèmes et changements)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Suivi et </w:t>
            </w:r>
            <w:r>
              <w:rPr>
                <w:rFonts w:cs="Arial" w:ascii="Arial" w:hAnsi="Arial"/>
                <w:b/>
                <w:bCs/>
                <w:kern w:val="0"/>
                <w:sz w:val="20"/>
                <w:szCs w:val="20"/>
                <w:lang w:eastAsia="en-US" w:bidi="ar-SA"/>
              </w:rPr>
              <w:t xml:space="preserve">pilotage de l’équipe Offshore </w:t>
            </w:r>
            <w:r>
              <w:rPr>
                <w:rFonts w:cs="Arial" w:ascii="Arial" w:hAnsi="Arial"/>
                <w:kern w:val="0"/>
                <w:sz w:val="20"/>
                <w:szCs w:val="20"/>
                <w:lang w:eastAsia="en-US" w:bidi="ar-SA"/>
              </w:rPr>
              <w:t xml:space="preserve">(Inde) intervenant en Support N1 : détection d’actions récurrentes (correctifs ou intégrations), </w:t>
            </w:r>
            <w:r>
              <w:rPr>
                <w:rFonts w:cs="Arial" w:ascii="Arial" w:hAnsi="Arial"/>
                <w:b/>
                <w:bCs/>
                <w:kern w:val="0"/>
                <w:sz w:val="20"/>
                <w:szCs w:val="20"/>
                <w:lang w:eastAsia="en-US" w:bidi="ar-SA"/>
              </w:rPr>
              <w:t xml:space="preserve">mise en procédure </w:t>
            </w:r>
            <w:r>
              <w:rPr>
                <w:rFonts w:cs="Arial" w:ascii="Arial" w:hAnsi="Arial"/>
                <w:kern w:val="0"/>
                <w:sz w:val="20"/>
                <w:szCs w:val="20"/>
                <w:lang w:eastAsia="en-US" w:bidi="ar-SA"/>
              </w:rPr>
              <w:t>via la doc, automatisation</w:t>
            </w:r>
          </w:p>
          <w:p>
            <w:pPr>
              <w:pStyle w:val="TableParagraph"/>
              <w:tabs>
                <w:tab w:val="clear" w:pos="720"/>
                <w:tab w:val="left" w:pos="468" w:leader="none"/>
              </w:tabs>
              <w:suppressAutoHyphens w:val="true"/>
              <w:spacing w:lineRule="auto" w:line="276" w:before="0" w:after="0"/>
              <w:ind w:start="468" w:end="465"/>
              <w:jc w:val="start"/>
              <w:rPr>
                <w:sz w:val="10"/>
                <w:szCs w:val="10"/>
              </w:rPr>
            </w:pPr>
            <w:r>
              <w:rPr>
                <w:sz w:val="10"/>
                <w:szCs w:val="10"/>
              </w:rPr>
            </w:r>
          </w:p>
        </w:tc>
      </w:tr>
      <w:tr>
        <w:trPr>
          <w:trHeight w:val="1125" w:hRule="atLeast"/>
        </w:trPr>
        <w:tc>
          <w:tcPr>
            <w:tcW w:w="1989"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1"/>
              <w:suppressAutoHyphens w:val="true"/>
              <w:spacing w:before="0" w:after="0"/>
              <w:ind w:start="0"/>
              <w:jc w:val="start"/>
              <w:rPr>
                <w:color w:val="005091"/>
              </w:rPr>
            </w:pPr>
            <w:r>
              <w:rPr>
                <w:color w:val="005091"/>
                <w:kern w:val="0"/>
                <w:lang w:eastAsia="en-US" w:bidi="ar-SA"/>
              </w:rPr>
              <w:t>Auto-</w:t>
            </w:r>
          </w:p>
          <w:p>
            <w:pPr>
              <w:pStyle w:val="Heading1"/>
              <w:suppressAutoHyphens w:val="true"/>
              <w:spacing w:before="0" w:after="0"/>
              <w:ind w:start="0"/>
              <w:jc w:val="start"/>
              <w:rPr>
                <w:color w:val="005091"/>
              </w:rPr>
            </w:pPr>
            <w:r>
              <w:rPr>
                <w:color w:val="005091"/>
                <w:kern w:val="0"/>
                <w:lang w:eastAsia="en-US" w:bidi="ar-SA"/>
              </w:rPr>
              <w:t>Distribution</w:t>
            </w:r>
          </w:p>
          <w:p>
            <w:pPr>
              <w:pStyle w:val="Heading1"/>
              <w:suppressAutoHyphens w:val="true"/>
              <w:spacing w:before="0" w:after="0"/>
              <w:ind w:start="0"/>
              <w:jc w:val="start"/>
              <w:rPr>
                <w:kern w:val="0"/>
                <w:lang w:eastAsia="en-US" w:bidi="ar-SA"/>
              </w:rPr>
            </w:pPr>
            <w:r>
              <w:rPr>
                <w:color w:val="005091"/>
                <w:kern w:val="0"/>
                <w:sz w:val="24"/>
                <w:szCs w:val="24"/>
                <w:lang w:eastAsia="en-US" w:bidi="ar-SA"/>
              </w:rPr>
              <w:br/>
            </w:r>
            <w:r>
              <w:rPr>
                <w:color w:val="005091"/>
                <w:spacing w:val="-2"/>
                <w:kern w:val="0"/>
                <w:sz w:val="20"/>
                <w:szCs w:val="24"/>
                <w:lang w:eastAsia="en-US" w:bidi="ar-SA"/>
              </w:rPr>
              <w:t>07/2021</w:t>
            </w:r>
            <w:r>
              <w:rPr>
                <w:color w:val="005091"/>
                <w:spacing w:val="-3"/>
                <w:kern w:val="0"/>
                <w:sz w:val="20"/>
                <w:szCs w:val="24"/>
                <w:lang w:eastAsia="en-US" w:bidi="ar-SA"/>
              </w:rPr>
              <w:t xml:space="preserve"> </w:t>
            </w:r>
            <w:r>
              <w:rPr>
                <w:color w:val="005091"/>
                <w:spacing w:val="-2"/>
                <w:kern w:val="0"/>
                <w:sz w:val="20"/>
                <w:szCs w:val="24"/>
                <w:lang w:eastAsia="en-US" w:bidi="ar-SA"/>
              </w:rPr>
              <w:t>-</w:t>
            </w:r>
            <w:r>
              <w:rPr>
                <w:color w:val="005091"/>
                <w:spacing w:val="-3"/>
                <w:kern w:val="0"/>
                <w:sz w:val="20"/>
                <w:szCs w:val="24"/>
                <w:lang w:eastAsia="en-US" w:bidi="ar-SA"/>
              </w:rPr>
              <w:t xml:space="preserve"> </w:t>
            </w:r>
            <w:r>
              <w:rPr>
                <w:color w:val="005091"/>
                <w:spacing w:val="-2"/>
                <w:kern w:val="0"/>
                <w:sz w:val="20"/>
                <w:szCs w:val="24"/>
                <w:lang w:eastAsia="en-US" w:bidi="ar-SA"/>
              </w:rPr>
              <w:t>11/2021</w:t>
            </w:r>
          </w:p>
        </w:tc>
        <w:tc>
          <w:tcPr>
            <w:tcW w:w="1550"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2"/>
              <w:suppressAutoHyphens w:val="true"/>
              <w:spacing w:before="36" w:after="0"/>
              <w:ind w:start="0"/>
              <w:jc w:val="start"/>
              <w:rPr>
                <w:rFonts w:eastAsia="Arial MT" w:cs="Arial MT"/>
                <w:bCs w:val="false"/>
                <w:color w:val="005091"/>
                <w:spacing w:val="-2"/>
                <w:sz w:val="20"/>
              </w:rPr>
            </w:pPr>
            <w:r>
              <w:rPr>
                <w:rFonts w:eastAsia="Arial MT" w:cs="Arial MT"/>
                <w:bCs w:val="false"/>
                <w:color w:val="005091"/>
                <w:spacing w:val="-2"/>
                <w:kern w:val="0"/>
                <w:sz w:val="20"/>
                <w:szCs w:val="22"/>
                <w:lang w:eastAsia="en-US" w:bidi="ar-SA"/>
              </w:rPr>
              <w:t>Développeur Dataviz</w:t>
            </w:r>
          </w:p>
          <w:p>
            <w:pPr>
              <w:pStyle w:val="Heading2"/>
              <w:suppressAutoHyphens w:val="true"/>
              <w:spacing w:before="36" w:after="0"/>
              <w:ind w:start="0"/>
              <w:jc w:val="start"/>
              <w:rPr>
                <w:rFonts w:eastAsia="Arial MT" w:cs="Arial MT"/>
                <w:bCs w:val="false"/>
                <w:color w:val="005091"/>
                <w:spacing w:val="-2"/>
                <w:sz w:val="20"/>
              </w:rPr>
            </w:pPr>
            <w:r>
              <w:rPr>
                <w:rFonts w:eastAsia="Arial MT" w:cs="Arial MT"/>
                <w:bCs w:val="false"/>
                <w:color w:val="005091"/>
                <w:spacing w:val="-2"/>
                <w:sz w:val="20"/>
              </w:rPr>
            </w:r>
          </w:p>
          <w:p>
            <w:pPr>
              <w:pStyle w:val="Heading2"/>
              <w:suppressAutoHyphens w:val="true"/>
              <w:spacing w:before="36" w:after="0"/>
              <w:ind w:start="0"/>
              <w:jc w:val="start"/>
              <w:rPr>
                <w:sz w:val="20"/>
                <w:szCs w:val="20"/>
              </w:rPr>
            </w:pPr>
            <w:r>
              <w:rPr>
                <w:rFonts w:eastAsia="Arial MT" w:cs="Arial MT"/>
                <w:bCs w:val="false"/>
                <w:color w:val="005091"/>
                <w:spacing w:val="-2"/>
                <w:kern w:val="0"/>
                <w:sz w:val="20"/>
                <w:szCs w:val="20"/>
                <w:lang w:eastAsia="en-US" w:bidi="ar-SA"/>
              </w:rPr>
              <w:t>Dashboards décisionnels clé en main</w:t>
            </w:r>
          </w:p>
        </w:tc>
        <w:tc>
          <w:tcPr>
            <w:tcW w:w="11485"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TableParagraph"/>
              <w:tabs>
                <w:tab w:val="clear" w:pos="720"/>
                <w:tab w:val="left" w:pos="468" w:leader="none"/>
              </w:tabs>
              <w:suppressAutoHyphens w:val="true"/>
              <w:spacing w:before="0" w:after="0"/>
              <w:ind w:end="465"/>
              <w:jc w:val="start"/>
              <w:rPr>
                <w:rFonts w:ascii="Arial" w:hAnsi="Arial"/>
                <w:b/>
                <w:sz w:val="10"/>
                <w:szCs w:val="10"/>
              </w:rPr>
            </w:pPr>
            <w:r>
              <w:rPr>
                <w:rFonts w:ascii="Arial" w:hAnsi="Arial"/>
                <w:b/>
                <w:sz w:val="10"/>
                <w:szCs w:val="10"/>
              </w:rPr>
            </w:r>
          </w:p>
          <w:p>
            <w:pPr>
              <w:pStyle w:val="NormalWeb"/>
              <w:numPr>
                <w:ilvl w:val="1"/>
                <w:numId w:val="6"/>
              </w:numPr>
              <w:suppressAutoHyphens w:val="true"/>
              <w:spacing w:before="0" w:after="0"/>
              <w:jc w:val="start"/>
              <w:rPr>
                <w:rFonts w:ascii="Arial" w:hAnsi="Arial" w:cs="Arial"/>
                <w:b/>
                <w:bCs/>
                <w:sz w:val="20"/>
                <w:szCs w:val="20"/>
              </w:rPr>
            </w:pPr>
            <w:r>
              <w:rPr>
                <w:rFonts w:cs="Arial" w:ascii="Arial" w:hAnsi="Arial"/>
                <w:b/>
                <w:bCs/>
                <w:kern w:val="0"/>
                <w:sz w:val="20"/>
                <w:szCs w:val="20"/>
                <w:lang w:eastAsia="en-US" w:bidi="ar-SA"/>
              </w:rPr>
              <w:t>Développement de dashboards décisionnels sur Strategy</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Prise de brief </w:t>
            </w:r>
            <w:r>
              <w:rPr>
                <w:rFonts w:cs="Arial" w:ascii="Arial" w:hAnsi="Arial"/>
                <w:kern w:val="0"/>
                <w:sz w:val="20"/>
                <w:szCs w:val="20"/>
                <w:lang w:eastAsia="en-US" w:bidi="ar-SA"/>
              </w:rPr>
              <w:t>et études du besoin</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Formalisation de KPIs</w:t>
            </w:r>
            <w:r>
              <w:rPr>
                <w:rFonts w:cs="Arial" w:ascii="Arial" w:hAnsi="Arial"/>
                <w:kern w:val="0"/>
                <w:sz w:val="20"/>
                <w:szCs w:val="20"/>
                <w:lang w:eastAsia="en-US" w:bidi="ar-SA"/>
              </w:rPr>
              <w:t xml:space="preserve"> avec le Métier</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Etude de la base Gold </w:t>
            </w:r>
            <w:r>
              <w:rPr>
                <w:rFonts w:cs="Arial" w:ascii="Arial" w:hAnsi="Arial"/>
                <w:kern w:val="0"/>
                <w:sz w:val="20"/>
                <w:szCs w:val="20"/>
                <w:lang w:eastAsia="en-US" w:bidi="ar-SA"/>
              </w:rPr>
              <w:t>sur snowflake et assurance que les requêtes répondent au besoin</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Construction d'une couche sémantique </w:t>
            </w:r>
            <w:r>
              <w:rPr>
                <w:rFonts w:cs="Arial" w:ascii="Arial" w:hAnsi="Arial"/>
                <w:kern w:val="0"/>
                <w:sz w:val="20"/>
                <w:szCs w:val="20"/>
                <w:lang w:eastAsia="en-US" w:bidi="ar-SA"/>
              </w:rPr>
              <w:t>sur Strategy (colonnes, metrics, dimensions)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Construction de </w:t>
            </w:r>
            <w:r>
              <w:rPr>
                <w:rFonts w:cs="Arial" w:ascii="Arial" w:hAnsi="Arial"/>
                <w:b/>
                <w:bCs/>
                <w:kern w:val="0"/>
                <w:sz w:val="20"/>
                <w:szCs w:val="20"/>
                <w:lang w:eastAsia="en-US" w:bidi="ar-SA"/>
              </w:rPr>
              <w:t>dashboards décisionnels</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Présentation et itérations </w:t>
            </w:r>
            <w:r>
              <w:rPr>
                <w:rFonts w:cs="Arial" w:ascii="Arial" w:hAnsi="Arial"/>
                <w:kern w:val="0"/>
                <w:sz w:val="20"/>
                <w:szCs w:val="20"/>
                <w:lang w:eastAsia="en-US" w:bidi="ar-SA"/>
              </w:rPr>
              <w:t>sur ceux là avec le Métier</w:t>
            </w:r>
          </w:p>
          <w:p>
            <w:pPr>
              <w:pStyle w:val="ListParagraph"/>
              <w:suppressAutoHyphens w:val="true"/>
              <w:spacing w:lineRule="auto" w:line="278" w:before="0" w:after="0"/>
              <w:ind w:hanging="0" w:start="360"/>
              <w:jc w:val="start"/>
              <w:rPr>
                <w:sz w:val="10"/>
                <w:szCs w:val="10"/>
              </w:rPr>
            </w:pPr>
            <w:r>
              <w:rPr>
                <w:sz w:val="10"/>
                <w:szCs w:val="10"/>
              </w:rPr>
            </w:r>
          </w:p>
        </w:tc>
      </w:tr>
      <w:tr>
        <w:trPr>
          <w:trHeight w:val="2397" w:hRule="atLeast"/>
        </w:trPr>
        <w:tc>
          <w:tcPr>
            <w:tcW w:w="1989"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1"/>
              <w:suppressAutoHyphens w:val="true"/>
              <w:spacing w:before="0" w:after="0"/>
              <w:ind w:start="0"/>
              <w:jc w:val="start"/>
              <w:rPr>
                <w:kern w:val="0"/>
                <w:lang w:eastAsia="en-US" w:bidi="ar-SA"/>
              </w:rPr>
            </w:pPr>
            <w:r>
              <w:rPr>
                <w:color w:val="005091"/>
                <w:kern w:val="0"/>
                <w:lang w:eastAsia="en-US" w:bidi="ar-SA"/>
              </w:rPr>
              <w:t>MicroStrategy (Strategy)</w:t>
            </w:r>
          </w:p>
          <w:p>
            <w:pPr>
              <w:pStyle w:val="Heading1"/>
              <w:suppressAutoHyphens w:val="true"/>
              <w:spacing w:before="0" w:after="0"/>
              <w:ind w:start="0"/>
              <w:jc w:val="start"/>
              <w:rPr>
                <w:b w:val="false"/>
                <w:bCs w:val="false"/>
                <w:color w:val="005091"/>
                <w:sz w:val="22"/>
                <w:szCs w:val="22"/>
              </w:rPr>
            </w:pPr>
            <w:r>
              <w:rPr>
                <w:b w:val="false"/>
                <w:bCs w:val="false"/>
                <w:color w:val="005091"/>
                <w:kern w:val="0"/>
                <w:sz w:val="22"/>
                <w:szCs w:val="22"/>
                <w:lang w:eastAsia="en-US" w:bidi="ar-SA"/>
              </w:rPr>
              <w:t xml:space="preserve">Software Vendor </w:t>
            </w:r>
          </w:p>
          <w:p>
            <w:pPr>
              <w:pStyle w:val="Heading1"/>
              <w:suppressAutoHyphens w:val="true"/>
              <w:spacing w:before="0" w:after="0"/>
              <w:ind w:start="0"/>
              <w:jc w:val="start"/>
              <w:rPr>
                <w:b w:val="false"/>
                <w:bCs w:val="false"/>
                <w:color w:val="005091"/>
                <w:sz w:val="8"/>
                <w:szCs w:val="8"/>
              </w:rPr>
            </w:pPr>
            <w:r>
              <w:rPr>
                <w:b w:val="false"/>
                <w:bCs w:val="false"/>
                <w:color w:val="005091"/>
                <w:sz w:val="8"/>
                <w:szCs w:val="8"/>
              </w:rPr>
            </w:r>
          </w:p>
          <w:p>
            <w:pPr>
              <w:pStyle w:val="Heading1"/>
              <w:suppressAutoHyphens w:val="true"/>
              <w:spacing w:before="0" w:after="0"/>
              <w:ind w:start="0"/>
              <w:jc w:val="start"/>
              <w:rPr>
                <w:color w:val="005091"/>
                <w:sz w:val="22"/>
                <w:szCs w:val="22"/>
              </w:rPr>
            </w:pPr>
            <w:r>
              <w:rPr>
                <w:color w:val="005091"/>
                <w:kern w:val="0"/>
                <w:sz w:val="22"/>
                <w:szCs w:val="22"/>
                <w:lang w:eastAsia="en-US" w:bidi="ar-SA"/>
              </w:rPr>
              <w:t xml:space="preserve">Crédit Agricole, Saint Gobain, </w:t>
            </w:r>
          </w:p>
          <w:p>
            <w:pPr>
              <w:pStyle w:val="Heading1"/>
              <w:suppressAutoHyphens w:val="true"/>
              <w:spacing w:before="0" w:after="0"/>
              <w:ind w:start="0"/>
              <w:jc w:val="start"/>
              <w:rPr>
                <w:color w:val="005091"/>
                <w:sz w:val="24"/>
                <w:szCs w:val="24"/>
              </w:rPr>
            </w:pPr>
            <w:r>
              <w:rPr>
                <w:color w:val="005091"/>
                <w:kern w:val="0"/>
                <w:sz w:val="22"/>
                <w:szCs w:val="22"/>
                <w:lang w:eastAsia="en-US" w:bidi="ar-SA"/>
              </w:rPr>
              <w:t>Fnac, SocGen, Editis, Michelin</w:t>
            </w:r>
          </w:p>
          <w:p>
            <w:pPr>
              <w:pStyle w:val="TableParagraph"/>
              <w:suppressAutoHyphens w:val="true"/>
              <w:spacing w:before="0" w:after="0"/>
              <w:jc w:val="start"/>
              <w:rPr>
                <w:rFonts w:ascii="Arial" w:hAnsi="Arial"/>
                <w:b/>
                <w:color w:val="005091"/>
                <w:sz w:val="8"/>
                <w:szCs w:val="8"/>
              </w:rPr>
            </w:pPr>
            <w:r>
              <w:rPr>
                <w:rFonts w:ascii="Arial" w:hAnsi="Arial"/>
                <w:b/>
                <w:color w:val="005091"/>
                <w:sz w:val="8"/>
                <w:szCs w:val="8"/>
              </w:rPr>
            </w:r>
          </w:p>
          <w:p>
            <w:pPr>
              <w:pStyle w:val="Heading2"/>
              <w:suppressAutoHyphens w:val="true"/>
              <w:spacing w:before="0" w:after="0"/>
              <w:ind w:start="0"/>
              <w:jc w:val="start"/>
              <w:rPr>
                <w:kern w:val="0"/>
                <w:sz w:val="22"/>
                <w:szCs w:val="22"/>
                <w:lang w:eastAsia="en-US" w:bidi="ar-SA"/>
              </w:rPr>
            </w:pPr>
            <w:r>
              <w:rPr>
                <w:color w:val="005091"/>
                <w:spacing w:val="-2"/>
                <w:kern w:val="0"/>
                <w:sz w:val="20"/>
                <w:szCs w:val="22"/>
                <w:lang w:eastAsia="en-US" w:bidi="ar-SA"/>
              </w:rPr>
              <w:t>02/2017</w:t>
            </w:r>
            <w:r>
              <w:rPr>
                <w:color w:val="005091"/>
                <w:spacing w:val="-3"/>
                <w:kern w:val="0"/>
                <w:sz w:val="20"/>
                <w:szCs w:val="22"/>
                <w:lang w:eastAsia="en-US" w:bidi="ar-SA"/>
              </w:rPr>
              <w:t xml:space="preserve"> </w:t>
            </w:r>
            <w:r>
              <w:rPr>
                <w:color w:val="005091"/>
                <w:spacing w:val="-2"/>
                <w:kern w:val="0"/>
                <w:sz w:val="20"/>
                <w:szCs w:val="22"/>
                <w:lang w:eastAsia="en-US" w:bidi="ar-SA"/>
              </w:rPr>
              <w:t>–</w:t>
            </w:r>
            <w:r>
              <w:rPr>
                <w:color w:val="005091"/>
                <w:spacing w:val="-3"/>
                <w:kern w:val="0"/>
                <w:sz w:val="20"/>
                <w:szCs w:val="22"/>
                <w:lang w:eastAsia="en-US" w:bidi="ar-SA"/>
              </w:rPr>
              <w:t xml:space="preserve"> </w:t>
            </w:r>
            <w:r>
              <w:rPr>
                <w:color w:val="005091"/>
                <w:spacing w:val="-2"/>
                <w:kern w:val="0"/>
                <w:sz w:val="20"/>
                <w:szCs w:val="22"/>
                <w:lang w:eastAsia="en-US" w:bidi="ar-SA"/>
              </w:rPr>
              <w:t>06/2021</w:t>
            </w:r>
          </w:p>
        </w:tc>
        <w:tc>
          <w:tcPr>
            <w:tcW w:w="1550"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2"/>
              <w:suppressAutoHyphens w:val="true"/>
              <w:spacing w:before="99" w:after="0"/>
              <w:ind w:start="0"/>
              <w:jc w:val="start"/>
              <w:rPr>
                <w:color w:val="005091"/>
                <w:spacing w:val="-2"/>
                <w:sz w:val="20"/>
              </w:rPr>
            </w:pPr>
            <w:r>
              <w:rPr>
                <w:color w:val="005091"/>
                <w:spacing w:val="-2"/>
                <w:kern w:val="0"/>
                <w:sz w:val="20"/>
                <w:szCs w:val="22"/>
                <w:lang w:eastAsia="en-US" w:bidi="ar-SA"/>
              </w:rPr>
              <w:t>Tech Lead Engineer</w:t>
            </w:r>
          </w:p>
          <w:p>
            <w:pPr>
              <w:pStyle w:val="Heading2"/>
              <w:suppressAutoHyphens w:val="true"/>
              <w:spacing w:before="99" w:after="0"/>
              <w:ind w:start="0"/>
              <w:jc w:val="start"/>
              <w:rPr>
                <w:color w:val="005091"/>
                <w:spacing w:val="-2"/>
                <w:sz w:val="20"/>
              </w:rPr>
            </w:pPr>
            <w:r>
              <w:rPr>
                <w:color w:val="005091"/>
                <w:spacing w:val="-2"/>
                <w:kern w:val="0"/>
                <w:sz w:val="20"/>
                <w:szCs w:val="22"/>
                <w:lang w:eastAsia="en-US" w:bidi="ar-SA"/>
              </w:rPr>
              <w:t>Support</w:t>
            </w:r>
          </w:p>
          <w:p>
            <w:pPr>
              <w:pStyle w:val="Heading2"/>
              <w:suppressAutoHyphens w:val="true"/>
              <w:spacing w:before="99" w:after="0"/>
              <w:ind w:hanging="1" w:start="0"/>
              <w:jc w:val="start"/>
              <w:rPr>
                <w:color w:val="005091"/>
                <w:spacing w:val="-2"/>
                <w:sz w:val="20"/>
              </w:rPr>
            </w:pPr>
            <w:r>
              <w:rPr>
                <w:color w:val="005091"/>
                <w:spacing w:val="-2"/>
                <w:kern w:val="0"/>
                <w:sz w:val="20"/>
                <w:szCs w:val="22"/>
                <w:lang w:eastAsia="en-US" w:bidi="ar-SA"/>
              </w:rPr>
              <w:t>Suivi des tickets chez les clients Elite</w:t>
            </w:r>
          </w:p>
          <w:p>
            <w:pPr>
              <w:pStyle w:val="TableParagraph"/>
              <w:suppressAutoHyphens w:val="true"/>
              <w:spacing w:before="0" w:after="0"/>
              <w:jc w:val="start"/>
              <w:rPr>
                <w:rFonts w:ascii="Arial" w:hAnsi="Arial"/>
                <w:b/>
                <w:sz w:val="20"/>
              </w:rPr>
            </w:pPr>
            <w:r>
              <w:rPr>
                <w:rFonts w:ascii="Arial" w:hAnsi="Arial"/>
                <w:b/>
                <w:sz w:val="20"/>
              </w:rPr>
            </w:r>
          </w:p>
          <w:p>
            <w:pPr>
              <w:pStyle w:val="TableParagraph"/>
              <w:suppressAutoHyphens w:val="true"/>
              <w:spacing w:before="0" w:after="0"/>
              <w:ind w:start="100"/>
              <w:jc w:val="start"/>
              <w:rPr>
                <w:rFonts w:ascii="Arial" w:hAnsi="Arial"/>
                <w:b/>
                <w:sz w:val="20"/>
              </w:rPr>
            </w:pPr>
            <w:r>
              <w:rPr>
                <w:rFonts w:ascii="Arial" w:hAnsi="Arial"/>
                <w:b/>
                <w:sz w:val="20"/>
              </w:rPr>
            </w:r>
          </w:p>
          <w:p>
            <w:pPr>
              <w:pStyle w:val="TableParagraph"/>
              <w:suppressAutoHyphens w:val="true"/>
              <w:spacing w:before="0" w:after="0"/>
              <w:jc w:val="start"/>
              <w:rPr>
                <w:rFonts w:ascii="Arial" w:hAnsi="Arial"/>
                <w:b/>
                <w:sz w:val="20"/>
              </w:rPr>
            </w:pPr>
            <w:r>
              <w:rPr>
                <w:rFonts w:ascii="Arial" w:hAnsi="Arial"/>
                <w:b/>
                <w:sz w:val="20"/>
              </w:rPr>
            </w:r>
          </w:p>
        </w:tc>
        <w:tc>
          <w:tcPr>
            <w:tcW w:w="11485"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NormalWeb"/>
              <w:suppressAutoHyphens w:val="true"/>
              <w:spacing w:before="0" w:after="0"/>
              <w:ind w:start="1581"/>
              <w:jc w:val="start"/>
              <w:rPr>
                <w:rFonts w:ascii="Arial" w:hAnsi="Arial" w:cs="Arial"/>
                <w:sz w:val="20"/>
                <w:szCs w:val="20"/>
              </w:rPr>
            </w:pPr>
            <w:r>
              <w:rPr>
                <w:rFonts w:cs="Arial" w:ascii="Arial" w:hAnsi="Arial"/>
                <w:sz w:val="20"/>
                <w:szCs w:val="20"/>
              </w:rPr>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Conduite de </w:t>
            </w:r>
            <w:r>
              <w:rPr>
                <w:rFonts w:cs="Arial" w:ascii="Arial" w:hAnsi="Arial"/>
                <w:b/>
                <w:bCs/>
                <w:kern w:val="0"/>
                <w:sz w:val="20"/>
                <w:szCs w:val="20"/>
                <w:lang w:eastAsia="en-US" w:bidi="ar-SA"/>
              </w:rPr>
              <w:t>réunions de suivi</w:t>
            </w:r>
            <w:r>
              <w:rPr>
                <w:rFonts w:cs="Arial" w:ascii="Arial" w:hAnsi="Arial"/>
                <w:kern w:val="0"/>
                <w:sz w:val="20"/>
                <w:szCs w:val="20"/>
                <w:lang w:eastAsia="en-US" w:bidi="ar-SA"/>
              </w:rPr>
              <w:t xml:space="preserve"> avec les clients Elites</w:t>
            </w:r>
            <w:r>
              <w:rPr>
                <w:rFonts w:cs="Arial" w:ascii="Arial" w:hAnsi="Arial"/>
                <w:b/>
                <w:bCs/>
                <w:kern w:val="0"/>
                <w:sz w:val="20"/>
                <w:szCs w:val="20"/>
                <w:lang w:eastAsia="en-US" w:bidi="ar-SA"/>
              </w:rPr>
              <w:t xml:space="preserve"> </w:t>
            </w:r>
          </w:p>
          <w:p>
            <w:pPr>
              <w:pStyle w:val="NormalWeb"/>
              <w:numPr>
                <w:ilvl w:val="1"/>
                <w:numId w:val="6"/>
              </w:numPr>
              <w:suppressAutoHyphens w:val="true"/>
              <w:spacing w:before="0" w:after="0"/>
              <w:jc w:val="start"/>
              <w:rPr>
                <w:rFonts w:ascii="Arial" w:hAnsi="Arial" w:cs="Arial"/>
                <w:b/>
                <w:bCs/>
                <w:sz w:val="20"/>
                <w:szCs w:val="20"/>
              </w:rPr>
            </w:pPr>
            <w:r>
              <w:rPr>
                <w:rFonts w:cs="Arial" w:ascii="Arial" w:hAnsi="Arial"/>
                <w:b/>
                <w:bCs/>
                <w:kern w:val="0"/>
                <w:sz w:val="20"/>
                <w:szCs w:val="20"/>
                <w:lang w:eastAsia="en-US" w:bidi="ar-SA"/>
              </w:rPr>
              <w:t xml:space="preserve">Centralisation et suivi </w:t>
            </w:r>
            <w:r>
              <w:rPr>
                <w:rFonts w:cs="Arial" w:ascii="Arial" w:hAnsi="Arial"/>
                <w:kern w:val="0"/>
                <w:sz w:val="20"/>
                <w:szCs w:val="20"/>
                <w:lang w:eastAsia="en-US" w:bidi="ar-SA"/>
              </w:rPr>
              <w:t>des demandes de changement et de résolution de bug auprès des développeurs</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Support : mentorat </w:t>
            </w:r>
            <w:r>
              <w:rPr>
                <w:rFonts w:cs="Arial" w:ascii="Arial" w:hAnsi="Arial"/>
                <w:kern w:val="0"/>
                <w:sz w:val="20"/>
                <w:szCs w:val="20"/>
                <w:lang w:eastAsia="en-US" w:bidi="ar-SA"/>
              </w:rPr>
              <w:t xml:space="preserve">des nouveaux arrivants </w:t>
            </w:r>
            <w:r>
              <w:rPr>
                <w:rFonts w:cs="Arial" w:ascii="Arial" w:hAnsi="Arial"/>
                <w:b/>
                <w:bCs/>
                <w:kern w:val="0"/>
                <w:sz w:val="20"/>
                <w:szCs w:val="20"/>
                <w:lang w:eastAsia="en-US" w:bidi="ar-SA"/>
              </w:rPr>
              <w:t>et suivi des KPI</w:t>
            </w:r>
            <w:r>
              <w:rPr>
                <w:rFonts w:cs="Arial" w:ascii="Arial" w:hAnsi="Arial"/>
                <w:kern w:val="0"/>
                <w:sz w:val="20"/>
                <w:szCs w:val="20"/>
                <w:lang w:eastAsia="en-US" w:bidi="ar-SA"/>
              </w:rPr>
              <w:t xml:space="preserve"> de l’équipe sur Sales Force</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Portage de solutions techniques</w:t>
            </w:r>
            <w:r>
              <w:rPr>
                <w:rFonts w:cs="Arial" w:ascii="Arial" w:hAnsi="Arial"/>
                <w:kern w:val="0"/>
                <w:sz w:val="20"/>
                <w:szCs w:val="20"/>
                <w:lang w:eastAsia="en-US" w:bidi="ar-SA"/>
              </w:rPr>
              <w:t xml:space="preserve"> (Déploiement web &amp; Mobile sur Tomcat &amp; IIS)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Gestion d’environnement de </w:t>
            </w:r>
            <w:r>
              <w:rPr>
                <w:rFonts w:cs="Arial" w:ascii="Arial" w:hAnsi="Arial"/>
                <w:b/>
                <w:bCs/>
                <w:kern w:val="0"/>
                <w:sz w:val="20"/>
                <w:szCs w:val="20"/>
                <w:lang w:eastAsia="en-US" w:bidi="ar-SA"/>
              </w:rPr>
              <w:t>tests multi plateforme</w:t>
            </w:r>
            <w:r>
              <w:rPr>
                <w:rFonts w:cs="Arial" w:ascii="Arial" w:hAnsi="Arial"/>
                <w:kern w:val="0"/>
                <w:sz w:val="20"/>
                <w:szCs w:val="20"/>
                <w:lang w:eastAsia="en-US" w:bidi="ar-SA"/>
              </w:rPr>
              <w:t xml:space="preserve"> via des </w:t>
            </w:r>
            <w:r>
              <w:rPr>
                <w:rFonts w:cs="Arial" w:ascii="Arial" w:hAnsi="Arial"/>
                <w:b/>
                <w:bCs/>
                <w:kern w:val="0"/>
                <w:sz w:val="20"/>
                <w:szCs w:val="20"/>
                <w:lang w:eastAsia="en-US" w:bidi="ar-SA"/>
              </w:rPr>
              <w:t>VMs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Intégration en </w:t>
            </w:r>
            <w:r>
              <w:rPr>
                <w:rFonts w:cs="Arial" w:ascii="Arial" w:hAnsi="Arial"/>
                <w:b/>
                <w:bCs/>
                <w:kern w:val="0"/>
                <w:sz w:val="20"/>
                <w:szCs w:val="20"/>
                <w:lang w:eastAsia="en-US" w:bidi="ar-SA"/>
              </w:rPr>
              <w:t>Rest API</w:t>
            </w:r>
            <w:r>
              <w:rPr>
                <w:rFonts w:cs="Arial" w:ascii="Arial" w:hAnsi="Arial"/>
                <w:kern w:val="0"/>
                <w:sz w:val="20"/>
                <w:szCs w:val="20"/>
                <w:lang w:eastAsia="en-US" w:bidi="ar-SA"/>
              </w:rPr>
              <w:t>, mise en place sécurité SSO ou flux SSH</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Mise en place de formulaire </w:t>
            </w:r>
            <w:r>
              <w:rPr>
                <w:rFonts w:cs="Arial" w:ascii="Arial" w:hAnsi="Arial"/>
                <w:b/>
                <w:bCs/>
                <w:kern w:val="0"/>
                <w:sz w:val="20"/>
                <w:szCs w:val="20"/>
                <w:lang w:eastAsia="en-US" w:bidi="ar-SA"/>
              </w:rPr>
              <w:t>Transaction Services</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Priorisation</w:t>
            </w:r>
            <w:r>
              <w:rPr>
                <w:rFonts w:cs="Arial" w:ascii="Arial" w:hAnsi="Arial"/>
                <w:kern w:val="0"/>
                <w:sz w:val="20"/>
                <w:szCs w:val="20"/>
                <w:lang w:eastAsia="en-US" w:bidi="ar-SA"/>
              </w:rPr>
              <w:t xml:space="preserve"> de cas sensibles (hypercare, escalades)</w:t>
            </w:r>
          </w:p>
        </w:tc>
      </w:tr>
      <w:tr>
        <w:trPr>
          <w:trHeight w:val="716" w:hRule="atLeast"/>
        </w:trPr>
        <w:tc>
          <w:tcPr>
            <w:tcW w:w="1989" w:type="dxa"/>
            <w:tcBorders>
              <w:start w:val="single" w:sz="4" w:space="0" w:color="000000"/>
              <w:bottom w:val="single" w:sz="4" w:space="0" w:color="000000"/>
              <w:end w:val="single" w:sz="4" w:space="0" w:color="000000"/>
            </w:tcBorders>
            <w:tcMar>
              <w:end w:w="5" w:type="dxa"/>
            </w:tcMar>
            <w:vAlign w:val="center"/>
          </w:tcPr>
          <w:p>
            <w:pPr>
              <w:pStyle w:val="Heading1"/>
              <w:suppressAutoHyphens w:val="true"/>
              <w:spacing w:before="0" w:after="0"/>
              <w:ind w:start="0"/>
              <w:jc w:val="start"/>
              <w:rPr>
                <w:kern w:val="0"/>
                <w:lang w:eastAsia="en-US" w:bidi="ar-SA"/>
              </w:rPr>
            </w:pPr>
            <w:r>
              <w:rPr>
                <w:color w:val="005091"/>
                <w:kern w:val="0"/>
                <w:lang w:eastAsia="en-US" w:bidi="ar-SA"/>
              </w:rPr>
              <w:t xml:space="preserve">CA Solution – Diebold </w:t>
              <w:br/>
            </w:r>
            <w:r>
              <w:rPr>
                <w:color w:val="005091"/>
                <w:kern w:val="0"/>
                <w:sz w:val="20"/>
                <w:szCs w:val="20"/>
                <w:lang w:eastAsia="en-US" w:bidi="ar-SA"/>
              </w:rPr>
              <w:t>01</w:t>
            </w:r>
            <w:r>
              <w:rPr>
                <w:b/>
                <w:bCs/>
                <w:color w:val="005091"/>
                <w:spacing w:val="-2"/>
                <w:kern w:val="0"/>
                <w:sz w:val="20"/>
                <w:szCs w:val="22"/>
                <w:lang w:eastAsia="en-US" w:bidi="ar-SA"/>
              </w:rPr>
              <w:t>/2015</w:t>
            </w:r>
            <w:r>
              <w:rPr>
                <w:b/>
                <w:bCs/>
                <w:color w:val="005091"/>
                <w:spacing w:val="-3"/>
                <w:kern w:val="0"/>
                <w:sz w:val="20"/>
                <w:szCs w:val="22"/>
                <w:lang w:eastAsia="en-US" w:bidi="ar-SA"/>
              </w:rPr>
              <w:t xml:space="preserve"> </w:t>
            </w:r>
            <w:r>
              <w:rPr>
                <w:b/>
                <w:bCs/>
                <w:color w:val="005091"/>
                <w:spacing w:val="-2"/>
                <w:kern w:val="0"/>
                <w:sz w:val="20"/>
                <w:szCs w:val="22"/>
                <w:lang w:eastAsia="en-US" w:bidi="ar-SA"/>
              </w:rPr>
              <w:t>–</w:t>
            </w:r>
            <w:r>
              <w:rPr>
                <w:b/>
                <w:bCs/>
                <w:color w:val="005091"/>
                <w:spacing w:val="-3"/>
                <w:kern w:val="0"/>
                <w:sz w:val="20"/>
                <w:szCs w:val="22"/>
                <w:lang w:eastAsia="en-US" w:bidi="ar-SA"/>
              </w:rPr>
              <w:t xml:space="preserve"> 12</w:t>
            </w:r>
            <w:r>
              <w:rPr>
                <w:b/>
                <w:bCs/>
                <w:color w:val="005091"/>
                <w:spacing w:val="-2"/>
                <w:kern w:val="0"/>
                <w:sz w:val="20"/>
                <w:szCs w:val="22"/>
                <w:lang w:eastAsia="en-US" w:bidi="ar-SA"/>
              </w:rPr>
              <w:t>/2016</w:t>
            </w:r>
          </w:p>
        </w:tc>
        <w:tc>
          <w:tcPr>
            <w:tcW w:w="1550" w:type="dxa"/>
            <w:tcBorders>
              <w:start w:val="single" w:sz="4" w:space="0" w:color="000000"/>
              <w:bottom w:val="single" w:sz="4" w:space="0" w:color="000000"/>
              <w:end w:val="single" w:sz="4" w:space="0" w:color="000000"/>
            </w:tcBorders>
            <w:tcMar>
              <w:end w:w="5" w:type="dxa"/>
            </w:tcMar>
            <w:vAlign w:val="center"/>
          </w:tcPr>
          <w:p>
            <w:pPr>
              <w:pStyle w:val="Heading2"/>
              <w:suppressAutoHyphens w:val="true"/>
              <w:spacing w:before="99" w:after="0"/>
              <w:ind w:start="0"/>
              <w:jc w:val="start"/>
              <w:rPr>
                <w:color w:val="005091"/>
                <w:spacing w:val="-2"/>
                <w:sz w:val="20"/>
              </w:rPr>
            </w:pPr>
            <w:r>
              <w:rPr>
                <w:color w:val="005091"/>
                <w:spacing w:val="-2"/>
                <w:kern w:val="0"/>
                <w:sz w:val="20"/>
                <w:szCs w:val="22"/>
                <w:lang w:eastAsia="en-US" w:bidi="ar-SA"/>
              </w:rPr>
              <w:t>Chef de Projet Technico Commercial</w:t>
            </w:r>
          </w:p>
        </w:tc>
        <w:tc>
          <w:tcPr>
            <w:tcW w:w="11485" w:type="dxa"/>
            <w:tcBorders>
              <w:start w:val="single" w:sz="4" w:space="0" w:color="000000"/>
              <w:bottom w:val="single" w:sz="4" w:space="0" w:color="000000"/>
              <w:end w:val="single" w:sz="4" w:space="0" w:color="000000"/>
            </w:tcBorders>
            <w:tcMar>
              <w:end w:w="5" w:type="dxa"/>
            </w:tcMar>
            <w:vAlign w:val="center"/>
          </w:tcPr>
          <w:p>
            <w:pPr>
              <w:pStyle w:val="NormalWeb"/>
              <w:numPr>
                <w:ilvl w:val="1"/>
                <w:numId w:val="6"/>
              </w:numPr>
              <w:suppressAutoHyphens w:val="true"/>
              <w:spacing w:before="0" w:after="0"/>
              <w:jc w:val="start"/>
              <w:rPr>
                <w:kern w:val="0"/>
                <w:sz w:val="20"/>
                <w:szCs w:val="20"/>
                <w:lang w:eastAsia="en-US" w:bidi="ar-SA"/>
              </w:rPr>
            </w:pPr>
            <w:r>
              <w:rPr>
                <w:rFonts w:cs="Arial" w:ascii="Arial" w:hAnsi="Arial"/>
                <w:b/>
                <w:bCs/>
                <w:kern w:val="0"/>
                <w:sz w:val="20"/>
                <w:szCs w:val="20"/>
                <w:lang w:eastAsia="en-US" w:bidi="ar-SA"/>
              </w:rPr>
              <w:t xml:space="preserve">CA Solutions : Accompagnement et chiffrages </w:t>
            </w:r>
            <w:r>
              <w:rPr>
                <w:rFonts w:cs="Arial" w:ascii="Arial" w:hAnsi="Arial"/>
                <w:b w:val="false"/>
                <w:bCs w:val="false"/>
                <w:kern w:val="0"/>
                <w:sz w:val="20"/>
                <w:szCs w:val="20"/>
                <w:lang w:eastAsia="en-US" w:bidi="ar-SA"/>
              </w:rPr>
              <w:t>des besoins sur l’utilisation d’un catalogue de e-commerce</w:t>
            </w:r>
          </w:p>
          <w:p>
            <w:pPr>
              <w:pStyle w:val="NormalWeb"/>
              <w:numPr>
                <w:ilvl w:val="1"/>
                <w:numId w:val="6"/>
              </w:numPr>
              <w:suppressAutoHyphens w:val="true"/>
              <w:spacing w:before="0" w:after="0"/>
              <w:jc w:val="start"/>
              <w:rPr>
                <w:rFonts w:ascii="Arial" w:hAnsi="Arial"/>
                <w:b/>
                <w:bCs/>
                <w:kern w:val="0"/>
                <w:sz w:val="20"/>
                <w:szCs w:val="20"/>
                <w:lang w:eastAsia="en-US" w:bidi="ar-SA"/>
              </w:rPr>
            </w:pPr>
            <w:r>
              <w:rPr>
                <w:rFonts w:ascii="Arial" w:hAnsi="Arial"/>
                <w:b/>
                <w:bCs/>
                <w:kern w:val="0"/>
                <w:sz w:val="20"/>
                <w:szCs w:val="20"/>
                <w:lang w:eastAsia="en-US" w:bidi="ar-SA"/>
              </w:rPr>
              <w:t xml:space="preserve">Diebold : Résolution de problèmes techniques </w:t>
            </w:r>
            <w:r>
              <w:rPr>
                <w:rFonts w:ascii="Arial" w:hAnsi="Arial"/>
                <w:b w:val="false"/>
                <w:bCs w:val="false"/>
                <w:kern w:val="0"/>
                <w:sz w:val="20"/>
                <w:szCs w:val="20"/>
                <w:lang w:eastAsia="en-US" w:bidi="ar-SA"/>
              </w:rPr>
              <w:t>sur des Point of Sales en Europe</w:t>
            </w:r>
          </w:p>
        </w:tc>
      </w:tr>
      <w:tr>
        <w:trPr>
          <w:trHeight w:val="3154" w:hRule="atLeast"/>
        </w:trPr>
        <w:tc>
          <w:tcPr>
            <w:tcW w:w="1989"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1"/>
              <w:suppressAutoHyphens w:val="true"/>
              <w:spacing w:before="0" w:after="0"/>
              <w:ind w:start="0"/>
              <w:jc w:val="start"/>
              <w:rPr>
                <w:kern w:val="0"/>
                <w:lang w:eastAsia="en-US" w:bidi="ar-SA"/>
              </w:rPr>
            </w:pPr>
            <w:r>
              <w:rPr>
                <w:color w:val="005091"/>
                <w:kern w:val="0"/>
                <w:lang w:eastAsia="en-US" w:bidi="ar-SA"/>
              </w:rPr>
              <w:t>Cabestan</w:t>
            </w:r>
          </w:p>
          <w:p>
            <w:pPr>
              <w:pStyle w:val="TableParagraph"/>
              <w:suppressAutoHyphens w:val="true"/>
              <w:spacing w:before="0" w:after="0"/>
              <w:jc w:val="start"/>
              <w:rPr>
                <w:rFonts w:ascii="Arial" w:hAnsi="Arial"/>
                <w:bCs/>
                <w:color w:val="005091"/>
              </w:rPr>
            </w:pPr>
            <w:r>
              <w:rPr>
                <w:rFonts w:ascii="Arial" w:hAnsi="Arial"/>
                <w:bCs/>
                <w:color w:val="005091"/>
                <w:kern w:val="0"/>
                <w:sz w:val="22"/>
                <w:szCs w:val="22"/>
                <w:lang w:eastAsia="en-US" w:bidi="ar-SA"/>
              </w:rPr>
              <w:t>Software Vendor</w:t>
            </w:r>
          </w:p>
          <w:p>
            <w:pPr>
              <w:pStyle w:val="TableParagraph"/>
              <w:suppressAutoHyphens w:val="true"/>
              <w:spacing w:before="0" w:after="0"/>
              <w:jc w:val="start"/>
              <w:rPr>
                <w:rFonts w:ascii="Arial" w:hAnsi="Arial"/>
                <w:bCs/>
                <w:color w:val="005091"/>
              </w:rPr>
            </w:pPr>
            <w:r>
              <w:rPr>
                <w:rFonts w:ascii="Arial" w:hAnsi="Arial"/>
                <w:bCs/>
                <w:color w:val="005091"/>
              </w:rPr>
            </w:r>
          </w:p>
          <w:p>
            <w:pPr>
              <w:pStyle w:val="TableParagraph"/>
              <w:suppressAutoHyphens w:val="true"/>
              <w:spacing w:before="0" w:after="0"/>
              <w:jc w:val="start"/>
              <w:rPr>
                <w:rFonts w:ascii="Arial" w:hAnsi="Arial"/>
                <w:b/>
                <w:color w:val="005091"/>
              </w:rPr>
            </w:pPr>
            <w:r>
              <w:rPr>
                <w:rFonts w:ascii="Arial" w:hAnsi="Arial"/>
                <w:b/>
                <w:color w:val="005091"/>
                <w:kern w:val="0"/>
                <w:sz w:val="22"/>
                <w:szCs w:val="22"/>
                <w:lang w:eastAsia="en-US" w:bidi="ar-SA"/>
              </w:rPr>
              <w:t>Kiabi, Yves</w:t>
            </w:r>
            <w:r>
              <w:rPr>
                <w:rFonts w:ascii="Arial" w:hAnsi="Arial"/>
                <w:b/>
                <w:color w:val="005091"/>
                <w:spacing w:val="-9"/>
                <w:kern w:val="0"/>
                <w:sz w:val="22"/>
                <w:szCs w:val="22"/>
                <w:lang w:eastAsia="en-US" w:bidi="ar-SA"/>
              </w:rPr>
              <w:t xml:space="preserve"> </w:t>
            </w:r>
            <w:r>
              <w:rPr>
                <w:rFonts w:ascii="Arial" w:hAnsi="Arial"/>
                <w:b/>
                <w:color w:val="005091"/>
                <w:kern w:val="0"/>
                <w:sz w:val="22"/>
                <w:szCs w:val="22"/>
                <w:lang w:eastAsia="en-US" w:bidi="ar-SA"/>
              </w:rPr>
              <w:t>Rocher,</w:t>
            </w:r>
            <w:r>
              <w:rPr>
                <w:rFonts w:ascii="Arial" w:hAnsi="Arial"/>
                <w:b/>
                <w:color w:val="005091"/>
                <w:spacing w:val="-10"/>
                <w:kern w:val="0"/>
                <w:sz w:val="22"/>
                <w:szCs w:val="22"/>
                <w:lang w:eastAsia="en-US" w:bidi="ar-SA"/>
              </w:rPr>
              <w:t xml:space="preserve"> </w:t>
            </w:r>
            <w:r>
              <w:rPr>
                <w:rFonts w:ascii="Arial" w:hAnsi="Arial"/>
                <w:b/>
                <w:color w:val="005091"/>
                <w:kern w:val="0"/>
                <w:sz w:val="22"/>
                <w:szCs w:val="22"/>
                <w:lang w:eastAsia="en-US" w:bidi="ar-SA"/>
              </w:rPr>
              <w:t>France</w:t>
            </w:r>
            <w:r>
              <w:rPr>
                <w:rFonts w:ascii="Arial" w:hAnsi="Arial"/>
                <w:b/>
                <w:color w:val="005091"/>
                <w:spacing w:val="-9"/>
                <w:kern w:val="0"/>
                <w:sz w:val="22"/>
                <w:szCs w:val="22"/>
                <w:lang w:eastAsia="en-US" w:bidi="ar-SA"/>
              </w:rPr>
              <w:t xml:space="preserve"> </w:t>
            </w:r>
            <w:r>
              <w:rPr>
                <w:rFonts w:ascii="Arial" w:hAnsi="Arial"/>
                <w:b/>
                <w:color w:val="005091"/>
                <w:kern w:val="0"/>
                <w:sz w:val="22"/>
                <w:szCs w:val="22"/>
                <w:lang w:eastAsia="en-US" w:bidi="ar-SA"/>
              </w:rPr>
              <w:t>Telecom,</w:t>
            </w:r>
            <w:r>
              <w:rPr>
                <w:rFonts w:ascii="Arial" w:hAnsi="Arial"/>
                <w:b/>
                <w:color w:val="005091"/>
                <w:spacing w:val="-10"/>
                <w:kern w:val="0"/>
                <w:sz w:val="22"/>
                <w:szCs w:val="22"/>
                <w:lang w:eastAsia="en-US" w:bidi="ar-SA"/>
              </w:rPr>
              <w:t xml:space="preserve"> </w:t>
            </w:r>
            <w:r>
              <w:rPr>
                <w:rFonts w:ascii="Arial" w:hAnsi="Arial"/>
                <w:b/>
                <w:color w:val="005091"/>
                <w:kern w:val="0"/>
                <w:sz w:val="22"/>
                <w:szCs w:val="22"/>
                <w:lang w:eastAsia="en-US" w:bidi="ar-SA"/>
              </w:rPr>
              <w:t xml:space="preserve">GDF, </w:t>
            </w:r>
            <w:r>
              <w:rPr>
                <w:rFonts w:ascii="Arial" w:hAnsi="Arial"/>
                <w:b/>
                <w:color w:val="005091"/>
                <w:spacing w:val="-2"/>
                <w:kern w:val="0"/>
                <w:sz w:val="22"/>
                <w:szCs w:val="22"/>
                <w:lang w:eastAsia="en-US" w:bidi="ar-SA"/>
              </w:rPr>
              <w:t>Blaclacar</w:t>
            </w:r>
          </w:p>
          <w:p>
            <w:pPr>
              <w:pStyle w:val="TableParagraph"/>
              <w:suppressAutoHyphens w:val="true"/>
              <w:spacing w:before="0" w:after="0"/>
              <w:jc w:val="start"/>
              <w:rPr>
                <w:rFonts w:ascii="Arial" w:hAnsi="Arial"/>
                <w:bCs/>
                <w:color w:val="005091"/>
                <w:sz w:val="24"/>
                <w:szCs w:val="24"/>
              </w:rPr>
            </w:pPr>
            <w:r>
              <w:rPr>
                <w:rFonts w:ascii="Arial" w:hAnsi="Arial"/>
                <w:bCs/>
                <w:color w:val="005091"/>
                <w:sz w:val="24"/>
                <w:szCs w:val="24"/>
              </w:rPr>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kern w:val="0"/>
                <w:sz w:val="20"/>
                <w:szCs w:val="22"/>
                <w:lang w:eastAsia="en-US" w:bidi="ar-SA"/>
              </w:rPr>
              <w:t>08/2014</w:t>
            </w:r>
          </w:p>
          <w:p>
            <w:pPr>
              <w:pStyle w:val="TableParagraph"/>
              <w:suppressAutoHyphens w:val="true"/>
              <w:spacing w:before="0" w:after="0"/>
              <w:jc w:val="start"/>
              <w:rPr>
                <w:rFonts w:ascii="Arial" w:hAnsi="Arial"/>
                <w:b/>
                <w:color w:val="005091"/>
                <w:spacing w:val="-3"/>
                <w:sz w:val="20"/>
              </w:rPr>
            </w:pPr>
            <w:r>
              <w:rPr>
                <w:rFonts w:ascii="Arial" w:hAnsi="Arial"/>
                <w:b/>
                <w:color w:val="005091"/>
                <w:kern w:val="0"/>
                <w:sz w:val="20"/>
                <w:szCs w:val="22"/>
                <w:lang w:eastAsia="en-US" w:bidi="ar-SA"/>
              </w:rPr>
              <w:t>09/2007</w:t>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sz w:val="20"/>
              </w:rPr>
            </w:r>
          </w:p>
        </w:tc>
        <w:tc>
          <w:tcPr>
            <w:tcW w:w="1550"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2"/>
              <w:suppressAutoHyphens w:val="true"/>
              <w:spacing w:before="99" w:after="0"/>
              <w:ind w:start="0"/>
              <w:jc w:val="start"/>
              <w:rPr>
                <w:color w:val="005091"/>
                <w:spacing w:val="-2"/>
                <w:sz w:val="20"/>
              </w:rPr>
            </w:pPr>
            <w:r>
              <w:rPr>
                <w:color w:val="005091"/>
                <w:spacing w:val="-2"/>
                <w:kern w:val="0"/>
                <w:sz w:val="20"/>
                <w:szCs w:val="22"/>
                <w:lang w:eastAsia="en-US" w:bidi="ar-SA"/>
              </w:rPr>
              <w:t>Responsable Support / responsable qualité / formateur</w:t>
            </w:r>
          </w:p>
        </w:tc>
        <w:tc>
          <w:tcPr>
            <w:tcW w:w="11485"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NormalWeb"/>
              <w:suppressAutoHyphens w:val="true"/>
              <w:spacing w:before="0" w:after="0"/>
              <w:ind w:start="1581"/>
              <w:jc w:val="start"/>
              <w:rPr>
                <w:rFonts w:ascii="Arial" w:hAnsi="Arial" w:cs="Arial"/>
                <w:sz w:val="8"/>
                <w:szCs w:val="8"/>
              </w:rPr>
            </w:pPr>
            <w:r>
              <w:rPr>
                <w:rFonts w:cs="Arial" w:ascii="Arial" w:hAnsi="Arial"/>
                <w:sz w:val="8"/>
                <w:szCs w:val="8"/>
              </w:rPr>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Etude du brief client de la newsletter</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Conception de la créa au </w:t>
            </w:r>
            <w:r>
              <w:rPr>
                <w:rFonts w:cs="Arial" w:ascii="Arial" w:hAnsi="Arial"/>
                <w:b/>
                <w:bCs/>
                <w:kern w:val="0"/>
                <w:sz w:val="20"/>
                <w:szCs w:val="20"/>
                <w:lang w:eastAsia="en-US" w:bidi="ar-SA"/>
              </w:rPr>
              <w:t>format HTML</w:t>
            </w:r>
            <w:r>
              <w:rPr>
                <w:rFonts w:cs="Arial" w:ascii="Arial" w:hAnsi="Arial"/>
                <w:kern w:val="0"/>
                <w:sz w:val="20"/>
                <w:szCs w:val="20"/>
                <w:lang w:eastAsia="en-US" w:bidi="ar-SA"/>
              </w:rPr>
              <w:t xml:space="preserve"> adapté aux emails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Tests de la </w:t>
            </w:r>
            <w:r>
              <w:rPr>
                <w:rFonts w:cs="Arial" w:ascii="Arial" w:hAnsi="Arial"/>
                <w:b/>
                <w:bCs/>
                <w:kern w:val="0"/>
                <w:sz w:val="20"/>
                <w:szCs w:val="20"/>
                <w:lang w:eastAsia="en-US" w:bidi="ar-SA"/>
              </w:rPr>
              <w:t>délivrabilité des newsletter</w:t>
            </w:r>
            <w:r>
              <w:rPr>
                <w:rFonts w:cs="Arial" w:ascii="Arial" w:hAnsi="Arial"/>
                <w:kern w:val="0"/>
                <w:sz w:val="20"/>
                <w:szCs w:val="20"/>
                <w:lang w:eastAsia="en-US" w:bidi="ar-SA"/>
              </w:rPr>
              <w:t xml:space="preserve"> via des </w:t>
            </w:r>
            <w:r>
              <w:rPr>
                <w:rFonts w:cs="Arial" w:ascii="Arial" w:hAnsi="Arial"/>
                <w:b/>
                <w:bCs/>
                <w:kern w:val="0"/>
                <w:sz w:val="20"/>
                <w:szCs w:val="20"/>
                <w:lang w:eastAsia="en-US" w:bidi="ar-SA"/>
              </w:rPr>
              <w:t>outils de scoring</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Construction de la </w:t>
            </w:r>
            <w:r>
              <w:rPr>
                <w:rFonts w:cs="Arial" w:ascii="Arial" w:hAnsi="Arial"/>
                <w:b/>
                <w:bCs/>
                <w:kern w:val="0"/>
                <w:sz w:val="20"/>
                <w:szCs w:val="20"/>
                <w:lang w:eastAsia="en-US" w:bidi="ar-SA"/>
              </w:rPr>
              <w:t xml:space="preserve">cible des destinataires "optins" </w:t>
            </w:r>
            <w:r>
              <w:rPr>
                <w:rFonts w:cs="Arial" w:ascii="Arial" w:hAnsi="Arial"/>
                <w:kern w:val="0"/>
                <w:sz w:val="20"/>
                <w:szCs w:val="20"/>
                <w:lang w:eastAsia="en-US" w:bidi="ar-SA"/>
              </w:rPr>
              <w:t>en depuis une base Marketing déjà transformée</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Présentation du </w:t>
            </w:r>
            <w:r>
              <w:rPr>
                <w:rFonts w:cs="Arial" w:ascii="Arial" w:hAnsi="Arial"/>
                <w:b/>
                <w:bCs/>
                <w:kern w:val="0"/>
                <w:sz w:val="20"/>
                <w:szCs w:val="20"/>
                <w:lang w:eastAsia="en-US" w:bidi="ar-SA"/>
              </w:rPr>
              <w:t>reporting</w:t>
            </w:r>
            <w:r>
              <w:rPr>
                <w:rFonts w:cs="Arial" w:ascii="Arial" w:hAnsi="Arial"/>
                <w:kern w:val="0"/>
                <w:sz w:val="20"/>
                <w:szCs w:val="20"/>
                <w:lang w:eastAsia="en-US" w:bidi="ar-SA"/>
              </w:rPr>
              <w:t xml:space="preserve"> et</w:t>
            </w:r>
            <w:r>
              <w:rPr>
                <w:rFonts w:cs="Arial" w:ascii="Arial" w:hAnsi="Arial"/>
                <w:b/>
                <w:bCs/>
                <w:kern w:val="0"/>
                <w:sz w:val="20"/>
                <w:szCs w:val="20"/>
                <w:lang w:eastAsia="en-US" w:bidi="ar-SA"/>
              </w:rPr>
              <w:t xml:space="preserve"> suivi des résultats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Prise en charge des </w:t>
            </w:r>
            <w:r>
              <w:rPr>
                <w:rFonts w:cs="Arial" w:ascii="Arial" w:hAnsi="Arial"/>
                <w:b/>
                <w:bCs/>
                <w:kern w:val="0"/>
                <w:sz w:val="20"/>
                <w:szCs w:val="20"/>
                <w:lang w:eastAsia="en-US" w:bidi="ar-SA"/>
              </w:rPr>
              <w:t>tickets entrant</w:t>
            </w:r>
            <w:r>
              <w:rPr>
                <w:rFonts w:cs="Arial" w:ascii="Arial" w:hAnsi="Arial"/>
                <w:kern w:val="0"/>
                <w:sz w:val="20"/>
                <w:szCs w:val="20"/>
                <w:lang w:eastAsia="en-US" w:bidi="ar-SA"/>
              </w:rPr>
              <w:t xml:space="preserve"> (incidents ou demande d'évolution)</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Identification des </w:t>
            </w:r>
            <w:r>
              <w:rPr>
                <w:rFonts w:cs="Arial" w:ascii="Arial" w:hAnsi="Arial"/>
                <w:b/>
                <w:bCs/>
                <w:kern w:val="0"/>
                <w:sz w:val="20"/>
                <w:szCs w:val="20"/>
                <w:lang w:eastAsia="en-US" w:bidi="ar-SA"/>
              </w:rPr>
              <w:t xml:space="preserve">solutions ou assistances </w:t>
            </w:r>
            <w:r>
              <w:rPr>
                <w:rFonts w:cs="Arial" w:ascii="Arial" w:hAnsi="Arial"/>
                <w:kern w:val="0"/>
                <w:sz w:val="20"/>
                <w:szCs w:val="20"/>
                <w:lang w:eastAsia="en-US" w:bidi="ar-SA"/>
              </w:rPr>
              <w:t>à fournir pour les résoudre</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Incident management</w:t>
            </w:r>
            <w:r>
              <w:rPr>
                <w:rFonts w:cs="Arial" w:ascii="Arial" w:hAnsi="Arial"/>
                <w:kern w:val="0"/>
                <w:sz w:val="20"/>
                <w:szCs w:val="20"/>
                <w:lang w:eastAsia="en-US" w:bidi="ar-SA"/>
              </w:rPr>
              <w:t xml:space="preserve"> en cas d'escalade</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Qualité : </w:t>
            </w:r>
            <w:r>
              <w:rPr>
                <w:rFonts w:cs="Arial" w:ascii="Arial" w:hAnsi="Arial"/>
                <w:kern w:val="0"/>
                <w:sz w:val="20"/>
                <w:szCs w:val="20"/>
                <w:lang w:eastAsia="en-US" w:bidi="ar-SA"/>
              </w:rPr>
              <w:t xml:space="preserve"> prise de connaissance des nouveautés auprès des chefs de projet et compréhension fonctionnelle</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Elaboration de </w:t>
            </w:r>
            <w:r>
              <w:rPr>
                <w:rFonts w:cs="Arial" w:ascii="Arial" w:hAnsi="Arial"/>
                <w:b/>
                <w:bCs/>
                <w:kern w:val="0"/>
                <w:sz w:val="20"/>
                <w:szCs w:val="20"/>
                <w:lang w:eastAsia="en-US" w:bidi="ar-SA"/>
              </w:rPr>
              <w:t>cahiers de recette</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Tests techniques et fonctionnels</w:t>
            </w:r>
            <w:r>
              <w:rPr>
                <w:rFonts w:cs="Arial" w:ascii="Arial" w:hAnsi="Arial"/>
                <w:kern w:val="0"/>
                <w:sz w:val="20"/>
                <w:szCs w:val="20"/>
                <w:lang w:eastAsia="en-US" w:bidi="ar-SA"/>
              </w:rPr>
              <w:t xml:space="preserve"> avant montée en version</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Elaboration et </w:t>
            </w:r>
            <w:r>
              <w:rPr>
                <w:rFonts w:cs="Arial" w:ascii="Arial" w:hAnsi="Arial"/>
                <w:b/>
                <w:bCs/>
                <w:kern w:val="0"/>
                <w:sz w:val="20"/>
                <w:szCs w:val="20"/>
                <w:lang w:eastAsia="en-US" w:bidi="ar-SA"/>
              </w:rPr>
              <w:t>rédaction des docs de formation</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Formation à l'outil des nouveaux clients</w:t>
            </w:r>
          </w:p>
        </w:tc>
      </w:tr>
    </w:tbl>
    <w:p>
      <w:pPr>
        <w:pStyle w:val="Normal"/>
        <w:tabs>
          <w:tab w:val="clear" w:pos="720"/>
          <w:tab w:val="left" w:pos="8202" w:leader="none"/>
        </w:tabs>
        <w:spacing w:before="1" w:after="0"/>
        <w:ind w:start="141"/>
        <w:rPr>
          <w:b/>
          <w:sz w:val="8"/>
          <w:szCs w:val="8"/>
        </w:rPr>
      </w:pPr>
      <w:r>
        <w:rPr>
          <w:b/>
          <w:sz w:val="8"/>
          <w:szCs w:val="8"/>
        </w:rPr>
      </w:r>
    </w:p>
    <w:p>
      <w:pPr>
        <w:pStyle w:val="Normal"/>
        <w:rPr>
          <w:rFonts w:ascii="Arial" w:hAnsi="Arial"/>
          <w:b/>
          <w:color w:val="033067"/>
          <w:spacing w:val="-10"/>
          <w:sz w:val="8"/>
          <w:szCs w:val="8"/>
        </w:rPr>
      </w:pPr>
      <w:r>
        <w:rPr>
          <w:rFonts w:ascii="Arial" w:hAnsi="Arial"/>
          <w:b/>
          <w:color w:val="033067"/>
          <w:sz w:val="28"/>
        </w:rPr>
        <w:t>Éducation</w:t>
      </w:r>
      <w:r>
        <w:rPr>
          <w:rFonts w:ascii="Arial" w:hAnsi="Arial"/>
          <w:b/>
          <w:color w:val="033067"/>
          <w:spacing w:val="-7"/>
          <w:sz w:val="28"/>
        </w:rPr>
        <w:t xml:space="preserve"> et </w:t>
      </w:r>
      <w:r>
        <w:rPr>
          <w:rFonts w:ascii="Arial" w:hAnsi="Arial"/>
          <w:b/>
          <w:color w:val="033067"/>
          <w:sz w:val="28"/>
        </w:rPr>
        <w:t xml:space="preserve">formations </w:t>
      </w:r>
      <w:r>
        <w:rPr>
          <w:rFonts w:ascii="Arial" w:hAnsi="Arial"/>
          <w:b/>
          <w:color w:val="033067"/>
          <w:spacing w:val="-10"/>
          <w:sz w:val="28"/>
        </w:rPr>
        <w:t>:</w:t>
        <w:br/>
      </w:r>
    </w:p>
    <w:tbl>
      <w:tblPr>
        <w:tblStyle w:val="TableNormal"/>
        <w:tblW w:w="15168" w:type="dxa"/>
        <w:jc w:val="start"/>
        <w:tblInd w:w="-5" w:type="dxa"/>
        <w:tblLayout w:type="fixed"/>
        <w:tblCellMar>
          <w:top w:w="0" w:type="dxa"/>
          <w:start w:w="5" w:type="dxa"/>
          <w:bottom w:w="0" w:type="dxa"/>
          <w:end w:w="0" w:type="dxa"/>
        </w:tblCellMar>
        <w:tblLook w:val="01e0" w:noVBand="0" w:noHBand="0" w:lastColumn="1" w:firstColumn="1" w:lastRow="1" w:firstRow="1"/>
      </w:tblPr>
      <w:tblGrid>
        <w:gridCol w:w="4200"/>
        <w:gridCol w:w="902"/>
        <w:gridCol w:w="10066"/>
      </w:tblGrid>
      <w:tr>
        <w:trPr>
          <w:trHeight w:val="497" w:hRule="atLeast"/>
        </w:trPr>
        <w:tc>
          <w:tcPr>
            <w:tcW w:w="4200" w:type="dxa"/>
            <w:tcBorders>
              <w:top w:val="single" w:sz="4" w:space="0" w:color="000000"/>
              <w:start w:val="single" w:sz="4" w:space="0" w:color="000000"/>
            </w:tcBorders>
            <w:shd w:color="auto" w:fill="4F81BC" w:val="clear"/>
          </w:tcPr>
          <w:p>
            <w:pPr>
              <w:pStyle w:val="TableParagraph"/>
              <w:suppressAutoHyphens w:val="true"/>
              <w:spacing w:before="114" w:after="114"/>
              <w:jc w:val="center"/>
              <w:rPr>
                <w:kern w:val="0"/>
                <w:sz w:val="22"/>
                <w:szCs w:val="22"/>
                <w:lang w:eastAsia="en-US" w:bidi="ar-SA"/>
              </w:rPr>
            </w:pPr>
            <w:r>
              <w:rPr>
                <w:rFonts w:ascii="Arial" w:hAnsi="Arial"/>
                <w:b/>
                <w:spacing w:val="-2"/>
                <w:kern w:val="0"/>
                <w:sz w:val="24"/>
                <w:szCs w:val="22"/>
                <w:lang w:eastAsia="en-US" w:bidi="ar-SA"/>
              </w:rPr>
              <w:t>Formation</w:t>
            </w:r>
          </w:p>
        </w:tc>
        <w:tc>
          <w:tcPr>
            <w:tcW w:w="902" w:type="dxa"/>
            <w:tcBorders>
              <w:top w:val="single" w:sz="4" w:space="0" w:color="000000"/>
            </w:tcBorders>
            <w:shd w:color="auto" w:fill="4F81BC" w:val="clear"/>
          </w:tcPr>
          <w:p>
            <w:pPr>
              <w:pStyle w:val="TableParagraph"/>
              <w:widowControl w:val="false"/>
              <w:suppressAutoHyphens w:val="true"/>
              <w:bidi w:val="0"/>
              <w:spacing w:before="114" w:after="114"/>
              <w:jc w:val="center"/>
              <w:rPr>
                <w:rFonts w:ascii="Arial" w:hAnsi="Arial" w:eastAsia="Arial MT" w:cs="Arial MT"/>
                <w:b/>
                <w:spacing w:val="-2"/>
                <w:kern w:val="0"/>
                <w:sz w:val="24"/>
                <w:szCs w:val="22"/>
                <w:lang w:val="fr-FR" w:eastAsia="en-US" w:bidi="ar-SA"/>
              </w:rPr>
            </w:pPr>
            <w:r>
              <w:rPr>
                <w:rFonts w:eastAsia="Arial MT" w:cs="Arial MT" w:ascii="Arial" w:hAnsi="Arial"/>
                <w:b/>
                <w:spacing w:val="-2"/>
                <w:kern w:val="0"/>
                <w:sz w:val="24"/>
                <w:szCs w:val="22"/>
                <w:lang w:val="fr-FR" w:eastAsia="en-US" w:bidi="ar-SA"/>
              </w:rPr>
              <w:t>Dates</w:t>
            </w:r>
          </w:p>
        </w:tc>
        <w:tc>
          <w:tcPr>
            <w:tcW w:w="10066" w:type="dxa"/>
            <w:tcBorders>
              <w:top w:val="single" w:sz="4" w:space="0" w:color="000000"/>
              <w:bottom w:val="single" w:sz="4" w:space="0" w:color="000000"/>
              <w:end w:val="single" w:sz="4" w:space="0" w:color="000000"/>
            </w:tcBorders>
            <w:shd w:color="auto" w:fill="4F81BC" w:val="clear"/>
          </w:tcPr>
          <w:p>
            <w:pPr>
              <w:pStyle w:val="TableParagraph"/>
              <w:widowControl w:val="false"/>
              <w:suppressAutoHyphens w:val="true"/>
              <w:bidi w:val="0"/>
              <w:spacing w:before="114" w:after="114"/>
              <w:jc w:val="center"/>
              <w:rPr>
                <w:rFonts w:ascii="Arial" w:hAnsi="Arial" w:eastAsia="Arial MT" w:cs="Arial MT"/>
                <w:b/>
                <w:spacing w:val="-2"/>
                <w:kern w:val="0"/>
                <w:sz w:val="24"/>
                <w:szCs w:val="22"/>
                <w:lang w:val="fr-FR" w:eastAsia="en-US" w:bidi="ar-SA"/>
              </w:rPr>
            </w:pPr>
            <w:r>
              <w:rPr>
                <w:rFonts w:eastAsia="Arial MT" w:cs="Arial MT" w:ascii="Arial" w:hAnsi="Arial"/>
                <w:b/>
                <w:spacing w:val="-2"/>
                <w:kern w:val="0"/>
                <w:sz w:val="24"/>
                <w:szCs w:val="22"/>
                <w:lang w:val="fr-FR" w:eastAsia="en-US" w:bidi="ar-SA"/>
              </w:rPr>
              <w:t>Diplômes</w:t>
            </w:r>
          </w:p>
        </w:tc>
      </w:tr>
      <w:tr>
        <w:trPr>
          <w:trHeight w:val="76" w:hRule="atLeast"/>
        </w:trPr>
        <w:tc>
          <w:tcPr>
            <w:tcW w:w="4200"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before="120" w:after="0"/>
              <w:ind w:start="107"/>
              <w:jc w:val="start"/>
              <w:rPr>
                <w:kern w:val="0"/>
                <w:sz w:val="22"/>
                <w:szCs w:val="22"/>
                <w:lang w:eastAsia="en-US" w:bidi="ar-SA"/>
              </w:rPr>
            </w:pPr>
            <w:r>
              <w:rPr>
                <w:kern w:val="0"/>
                <w:sz w:val="22"/>
                <w:szCs w:val="22"/>
                <w:lang w:eastAsia="en-US" w:bidi="ar-SA"/>
              </w:rPr>
              <w:t>Data analysis Full Stack </w:t>
            </w:r>
          </w:p>
        </w:tc>
        <w:tc>
          <w:tcPr>
            <w:tcW w:w="902"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before="120" w:after="0"/>
              <w:ind w:start="109"/>
              <w:jc w:val="start"/>
              <w:rPr>
                <w:kern w:val="0"/>
                <w:sz w:val="22"/>
                <w:szCs w:val="22"/>
                <w:lang w:eastAsia="en-US" w:bidi="ar-SA"/>
              </w:rPr>
            </w:pPr>
            <w:r>
              <w:rPr>
                <w:spacing w:val="-4"/>
                <w:kern w:val="0"/>
                <w:sz w:val="22"/>
                <w:szCs w:val="22"/>
                <w:lang w:eastAsia="en-US" w:bidi="ar-SA"/>
              </w:rPr>
              <w:t>2026</w:t>
            </w:r>
          </w:p>
        </w:tc>
        <w:tc>
          <w:tcPr>
            <w:tcW w:w="10066"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before="120" w:after="0"/>
              <w:ind w:start="107"/>
              <w:jc w:val="start"/>
              <w:rPr>
                <w:kern w:val="0"/>
                <w:sz w:val="22"/>
                <w:szCs w:val="22"/>
                <w:lang w:eastAsia="en-US" w:bidi="ar-SA"/>
              </w:rPr>
            </w:pPr>
            <w:r>
              <w:rPr>
                <w:kern w:val="0"/>
                <w:sz w:val="22"/>
                <w:szCs w:val="22"/>
                <w:lang w:eastAsia="en-US" w:bidi="ar-SA"/>
              </w:rPr>
              <w:t>Certification « Certification Concepteur développeur en science des données » reconnue par l’Etat</w:t>
            </w:r>
          </w:p>
        </w:tc>
      </w:tr>
      <w:tr>
        <w:trPr>
          <w:trHeight w:val="408" w:hRule="atLeast"/>
        </w:trPr>
        <w:tc>
          <w:tcPr>
            <w:tcW w:w="4200"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before="120" w:after="0"/>
              <w:jc w:val="start"/>
              <w:rPr>
                <w:kern w:val="0"/>
                <w:sz w:val="22"/>
                <w:szCs w:val="22"/>
                <w:lang w:eastAsia="en-US" w:bidi="ar-SA"/>
              </w:rPr>
            </w:pPr>
            <w:r>
              <w:rPr>
                <w:kern w:val="0"/>
                <w:sz w:val="22"/>
                <w:szCs w:val="22"/>
                <w:lang w:eastAsia="en-US" w:bidi="ar-SA"/>
              </w:rPr>
              <w:t xml:space="preserve"> </w:t>
            </w:r>
            <w:r>
              <w:rPr>
                <w:kern w:val="0"/>
                <w:sz w:val="22"/>
                <w:szCs w:val="22"/>
                <w:lang w:eastAsia="en-US" w:bidi="ar-SA"/>
              </w:rPr>
              <w:t>Métiers de la communication multimedia </w:t>
            </w:r>
          </w:p>
        </w:tc>
        <w:tc>
          <w:tcPr>
            <w:tcW w:w="902"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before="120" w:after="0"/>
              <w:ind w:start="109"/>
              <w:jc w:val="start"/>
              <w:rPr>
                <w:kern w:val="0"/>
                <w:sz w:val="22"/>
                <w:szCs w:val="22"/>
                <w:lang w:eastAsia="en-US" w:bidi="ar-SA"/>
              </w:rPr>
            </w:pPr>
            <w:r>
              <w:rPr>
                <w:spacing w:val="-4"/>
                <w:kern w:val="0"/>
                <w:sz w:val="22"/>
                <w:szCs w:val="22"/>
                <w:lang w:eastAsia="en-US" w:bidi="ar-SA"/>
              </w:rPr>
              <w:t>2007</w:t>
            </w:r>
          </w:p>
        </w:tc>
        <w:tc>
          <w:tcPr>
            <w:tcW w:w="10066"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lineRule="auto" w:line="276" w:before="120" w:after="0"/>
              <w:ind w:start="107" w:end="114"/>
              <w:jc w:val="start"/>
              <w:rPr>
                <w:kern w:val="0"/>
                <w:sz w:val="22"/>
                <w:szCs w:val="22"/>
                <w:lang w:eastAsia="en-US" w:bidi="ar-SA"/>
              </w:rPr>
            </w:pPr>
            <w:r>
              <w:rPr>
                <w:kern w:val="0"/>
                <w:sz w:val="22"/>
                <w:szCs w:val="22"/>
                <w:lang w:eastAsia="en-US" w:bidi="ar-SA"/>
              </w:rPr>
              <w:t>Master pro université Grenoble 3</w:t>
            </w:r>
          </w:p>
        </w:tc>
      </w:tr>
    </w:tbl>
    <w:p>
      <w:pPr>
        <w:pStyle w:val="Normal"/>
        <w:tabs>
          <w:tab w:val="clear" w:pos="720"/>
          <w:tab w:val="left" w:pos="861" w:leader="none"/>
        </w:tabs>
        <w:spacing w:before="178" w:after="171"/>
        <w:rPr/>
      </w:pPr>
      <w:r>
        <w:rPr>
          <w:rStyle w:val="Strong"/>
          <w:rFonts w:ascii="Arial" w:hAnsi="Arial"/>
          <w:color w:val="033067"/>
          <w:spacing w:val="-2"/>
          <w:sz w:val="28"/>
        </w:rPr>
        <w:t xml:space="preserve">Langues : </w:t>
      </w:r>
      <w:r>
        <w:rPr>
          <w:rStyle w:val="Strong"/>
          <w:spacing w:val="-2"/>
        </w:rPr>
        <w:t xml:space="preserve">Français, anglais professionnel </w:t>
      </w:r>
    </w:p>
    <w:sectPr>
      <w:headerReference w:type="even" r:id="rId8"/>
      <w:headerReference w:type="default" r:id="rId9"/>
      <w:headerReference w:type="first" r:id="rId10"/>
      <w:footerReference w:type="even" r:id="rId11"/>
      <w:footerReference w:type="default" r:id="rId12"/>
      <w:footerReference w:type="first" r:id="rId13"/>
      <w:type w:val="nextPage"/>
      <w:pgSz w:orient="landscape" w:w="16838" w:h="11906"/>
      <w:pgMar w:left="850" w:right="708" w:gutter="0" w:header="0" w:top="940" w:footer="1809" w:bottom="186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MT">
    <w:charset w:val="01" w:characterSet="utf-8"/>
    <w:family w:val="swiss"/>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Helvetica">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14:anchorId="7ABE5683">
              <wp:simplePos x="0" y="0"/>
              <wp:positionH relativeFrom="page">
                <wp:posOffset>2715260</wp:posOffset>
              </wp:positionH>
              <wp:positionV relativeFrom="page">
                <wp:posOffset>7106920</wp:posOffset>
              </wp:positionV>
              <wp:extent cx="5407660" cy="177800"/>
              <wp:effectExtent l="0" t="0" r="0" b="0"/>
              <wp:wrapNone/>
              <wp:docPr id="3" name="Textbox 6"/>
              <a:graphic xmlns:a="http://schemas.openxmlformats.org/drawingml/2006/main">
                <a:graphicData uri="http://schemas.microsoft.com/office/word/2010/wordprocessingShape">
                  <wps:wsp>
                    <wps:cNvSpPr/>
                    <wps:spPr>
                      <a:xfrm>
                        <a:off x="0" y="0"/>
                        <a:ext cx="5407560" cy="177840"/>
                      </a:xfrm>
                      <a:prstGeom prst="rect">
                        <a:avLst/>
                      </a:prstGeom>
                      <a:noFill/>
                      <a:ln w="0">
                        <a:noFill/>
                      </a:ln>
                    </wps:spPr>
                    <wps:style>
                      <a:lnRef idx="0"/>
                      <a:fillRef idx="0"/>
                      <a:effectRef idx="0"/>
                      <a:fontRef idx="minor"/>
                    </wps:style>
                    <wps:txbx>
                      <w:txbxContent>
                        <w:p>
                          <w:pPr>
                            <w:pStyle w:val="FrameContents"/>
                            <w:spacing w:lineRule="exact" w:line="264"/>
                            <w:ind w:start="20"/>
                            <w:rPr>
                              <w:rFonts w:ascii="Calibri" w:hAnsi="Calibri"/>
                              <w:sz w:val="16"/>
                            </w:rPr>
                          </w:pPr>
                          <w:r>
                            <w:rPr>
                              <w:rFonts w:ascii="Calibri" w:hAnsi="Calibri"/>
                              <w:color w:val="000000"/>
                              <w:sz w:val="16"/>
                            </w:rPr>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13.8pt;margin-top:559.6pt;width:425.75pt;height:13.95pt;mso-wrap-style:none;v-text-anchor:middle;mso-position-horizontal-relative:page;mso-position-vertical-relative:page" wp14:anchorId="7ABE5683">
              <v:fill o:detectmouseclick="t" on="false"/>
              <v:stroke color="#3465a4" joinstyle="round" endcap="flat"/>
              <v:textbox>
                <w:txbxContent>
                  <w:p>
                    <w:pPr>
                      <w:pStyle w:val="FrameContents"/>
                      <w:spacing w:lineRule="exact" w:line="264"/>
                      <w:ind w:start="20"/>
                      <w:rPr>
                        <w:rFonts w:ascii="Calibri" w:hAnsi="Calibri"/>
                        <w:sz w:val="16"/>
                      </w:rPr>
                    </w:pPr>
                    <w:r>
                      <w:rPr>
                        <w:rFonts w:ascii="Calibri" w:hAnsi="Calibri"/>
                        <w:color w:val="000000"/>
                        <w:sz w:val="16"/>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14:anchorId="7ABE5683">
              <wp:simplePos x="0" y="0"/>
              <wp:positionH relativeFrom="page">
                <wp:posOffset>2715260</wp:posOffset>
              </wp:positionH>
              <wp:positionV relativeFrom="page">
                <wp:posOffset>7106920</wp:posOffset>
              </wp:positionV>
              <wp:extent cx="5407660" cy="177800"/>
              <wp:effectExtent l="0" t="0" r="0" b="0"/>
              <wp:wrapNone/>
              <wp:docPr id="4" name="Textbox 6"/>
              <a:graphic xmlns:a="http://schemas.openxmlformats.org/drawingml/2006/main">
                <a:graphicData uri="http://schemas.microsoft.com/office/word/2010/wordprocessingShape">
                  <wps:wsp>
                    <wps:cNvSpPr/>
                    <wps:spPr>
                      <a:xfrm>
                        <a:off x="0" y="0"/>
                        <a:ext cx="5407560" cy="177840"/>
                      </a:xfrm>
                      <a:prstGeom prst="rect">
                        <a:avLst/>
                      </a:prstGeom>
                      <a:noFill/>
                      <a:ln w="0">
                        <a:noFill/>
                      </a:ln>
                    </wps:spPr>
                    <wps:style>
                      <a:lnRef idx="0"/>
                      <a:fillRef idx="0"/>
                      <a:effectRef idx="0"/>
                      <a:fontRef idx="minor"/>
                    </wps:style>
                    <wps:txbx>
                      <w:txbxContent>
                        <w:p>
                          <w:pPr>
                            <w:pStyle w:val="FrameContents"/>
                            <w:spacing w:lineRule="exact" w:line="264"/>
                            <w:ind w:start="20"/>
                            <w:rPr>
                              <w:rFonts w:ascii="Calibri" w:hAnsi="Calibri"/>
                              <w:sz w:val="16"/>
                            </w:rPr>
                          </w:pPr>
                          <w:r>
                            <w:rPr>
                              <w:rFonts w:ascii="Calibri" w:hAnsi="Calibri"/>
                              <w:color w:val="000000"/>
                              <w:sz w:val="16"/>
                            </w:rPr>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13.8pt;margin-top:559.6pt;width:425.75pt;height:13.95pt;mso-wrap-style:none;v-text-anchor:middle;mso-position-horizontal-relative:page;mso-position-vertical-relative:page" wp14:anchorId="7ABE5683">
              <v:fill o:detectmouseclick="t" on="false"/>
              <v:stroke color="#3465a4" joinstyle="round" endcap="flat"/>
              <v:textbox>
                <w:txbxContent>
                  <w:p>
                    <w:pPr>
                      <w:pStyle w:val="FrameContents"/>
                      <w:spacing w:lineRule="exact" w:line="264"/>
                      <w:ind w:start="20"/>
                      <w:rPr>
                        <w:rFonts w:ascii="Calibri" w:hAnsi="Calibri"/>
                        <w:sz w:val="16"/>
                      </w:rPr>
                    </w:pPr>
                    <w:r>
                      <w:rPr>
                        <w:rFonts w:ascii="Calibri" w:hAnsi="Calibri"/>
                        <w:color w:val="000000"/>
                        <w:sz w:val="16"/>
                      </w:rPr>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14" wp14:anchorId="0CA26264">
              <wp:simplePos x="0" y="0"/>
              <wp:positionH relativeFrom="page">
                <wp:posOffset>643255</wp:posOffset>
              </wp:positionH>
              <wp:positionV relativeFrom="page">
                <wp:posOffset>9421495</wp:posOffset>
              </wp:positionV>
              <wp:extent cx="5519420" cy="1270"/>
              <wp:effectExtent l="5080" t="5080" r="5080" b="3810"/>
              <wp:wrapNone/>
              <wp:docPr id="5" name="Graphic 27"/>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32720 w 3129120"/>
                          <a:gd name="textAreaTop" fmla="*/ 0 h 720"/>
                          <a:gd name="textAreaBottom" fmla="*/ 338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 wp14:anchorId="7D7A4514">
              <wp:simplePos x="0" y="0"/>
              <wp:positionH relativeFrom="page">
                <wp:posOffset>6228080</wp:posOffset>
              </wp:positionH>
              <wp:positionV relativeFrom="page">
                <wp:posOffset>9347835</wp:posOffset>
              </wp:positionV>
              <wp:extent cx="714375" cy="139065"/>
              <wp:effectExtent l="0" t="0" r="0" b="0"/>
              <wp:wrapNone/>
              <wp:docPr id="6" name="Textbox 21"/>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90.4pt;margin-top:736.05pt;width:56.2pt;height:10.9pt;mso-wrap-style:square;v-text-anchor:top;mso-position-horizontal-relative:page;mso-position-vertical-relative:page" wp14:anchorId="7D7A4514">
              <v:fill o:detectmouseclick="t" on="false"/>
              <v:stroke color="#3465a4" joinstyle="round" endcap="flat"/>
              <v:textbox>
                <w:txbxContent>
                  <w:p>
                    <w:pPr>
                      <w:pStyle w:val="FrameContentsuser"/>
                      <w:spacing w:before="14" w:after="0"/>
                      <w:ind w:start="20"/>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27" wp14:anchorId="16B66661">
              <wp:simplePos x="0" y="0"/>
              <wp:positionH relativeFrom="page">
                <wp:posOffset>617220</wp:posOffset>
              </wp:positionH>
              <wp:positionV relativeFrom="page">
                <wp:posOffset>9581515</wp:posOffset>
              </wp:positionV>
              <wp:extent cx="974090" cy="139065"/>
              <wp:effectExtent l="0" t="0" r="0" b="0"/>
              <wp:wrapNone/>
              <wp:docPr id="7" name="Textbox 22"/>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8.6pt;margin-top:754.45pt;width:76.65pt;height:10.9pt;mso-wrap-style:square;v-text-anchor:top;mso-position-horizontal-relative:page;mso-position-vertical-relative:page" wp14:anchorId="16B66661">
              <v:fill o:detectmouseclick="t" on="false"/>
              <v:stroke color="#3465a4" joinstyle="round" endcap="flat"/>
              <v:textbox>
                <w:txbxContent>
                  <w:p>
                    <w:pPr>
                      <w:pStyle w:val="FrameContentsuser"/>
                      <w:spacing w:before="14" w:after="0"/>
                      <w:ind w:start="20"/>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34" wp14:anchorId="1753C1D6">
              <wp:simplePos x="0" y="0"/>
              <wp:positionH relativeFrom="page">
                <wp:posOffset>3026410</wp:posOffset>
              </wp:positionH>
              <wp:positionV relativeFrom="page">
                <wp:posOffset>9581515</wp:posOffset>
              </wp:positionV>
              <wp:extent cx="607060" cy="139065"/>
              <wp:effectExtent l="0" t="0" r="0" b="0"/>
              <wp:wrapNone/>
              <wp:docPr id="8" name="Textbox 23"/>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5</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5</w:t>
                          </w:r>
                          <w:r>
                            <w:rPr>
                              <w:sz w:val="16"/>
                              <w:spacing w:val="-10"/>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38.3pt;margin-top:754.45pt;width:47.75pt;height:10.9pt;mso-wrap-style:square;v-text-anchor:top;mso-position-horizontal-relative:page;mso-position-vertical-relative:page" wp14:anchorId="1753C1D6">
              <v:fill o:detectmouseclick="t" on="false"/>
              <v:stroke color="#3465a4" joinstyle="round" endcap="flat"/>
              <v:textbox>
                <w:txbxContent>
                  <w:p>
                    <w:pPr>
                      <w:pStyle w:val="FrameContentsuser"/>
                      <w:spacing w:before="14" w:after="0"/>
                      <w:ind w:start="20"/>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5</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5</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41" wp14:anchorId="470F7669">
              <wp:simplePos x="0" y="0"/>
              <wp:positionH relativeFrom="page">
                <wp:posOffset>6627495</wp:posOffset>
              </wp:positionH>
              <wp:positionV relativeFrom="page">
                <wp:posOffset>9581515</wp:posOffset>
              </wp:positionV>
              <wp:extent cx="629920" cy="139065"/>
              <wp:effectExtent l="0" t="0" r="0" b="0"/>
              <wp:wrapNone/>
              <wp:docPr id="9" name="Textbox 24"/>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21.85pt;margin-top:754.45pt;width:49.55pt;height:10.9pt;mso-wrap-style:square;v-text-anchor:top;mso-position-horizontal-relative:page;mso-position-vertical-relative:page" wp14:anchorId="470F7669">
              <v:fill o:detectmouseclick="t" on="false"/>
              <v:stroke color="#3465a4" joinstyle="round" endcap="flat"/>
              <v:textbox>
                <w:txbxContent>
                  <w:p>
                    <w:pPr>
                      <w:pStyle w:val="FrameContentsuser"/>
                      <w:spacing w:before="14" w:after="0"/>
                      <w:ind w:start="20"/>
                      <w:rPr>
                        <w:sz w:val="16"/>
                      </w:rPr>
                    </w:pPr>
                    <w:r>
                      <w:rPr>
                        <w:color w:val="000000"/>
                        <w:spacing w:val="-2"/>
                        <w:sz w:val="16"/>
                      </w:rPr>
                      <w:t>ALTEN_PGR</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14" wp14:anchorId="0CA26264">
              <wp:simplePos x="0" y="0"/>
              <wp:positionH relativeFrom="page">
                <wp:posOffset>643255</wp:posOffset>
              </wp:positionH>
              <wp:positionV relativeFrom="page">
                <wp:posOffset>9421495</wp:posOffset>
              </wp:positionV>
              <wp:extent cx="5519420" cy="1270"/>
              <wp:effectExtent l="5080" t="5080" r="5080" b="3810"/>
              <wp:wrapNone/>
              <wp:docPr id="10" name="Graphic 27"/>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32720 w 3129120"/>
                          <a:gd name="textAreaTop" fmla="*/ 0 h 720"/>
                          <a:gd name="textAreaBottom" fmla="*/ 3384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 wp14:anchorId="7D7A4514">
              <wp:simplePos x="0" y="0"/>
              <wp:positionH relativeFrom="page">
                <wp:posOffset>6228080</wp:posOffset>
              </wp:positionH>
              <wp:positionV relativeFrom="page">
                <wp:posOffset>9347835</wp:posOffset>
              </wp:positionV>
              <wp:extent cx="714375" cy="139065"/>
              <wp:effectExtent l="0" t="0" r="0" b="0"/>
              <wp:wrapNone/>
              <wp:docPr id="11" name="Textbox 21"/>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90.4pt;margin-top:736.05pt;width:56.2pt;height:10.9pt;mso-wrap-style:square;v-text-anchor:top;mso-position-horizontal-relative:page;mso-position-vertical-relative:page" wp14:anchorId="7D7A4514">
              <v:fill o:detectmouseclick="t" on="false"/>
              <v:stroke color="#3465a4" joinstyle="round" endcap="flat"/>
              <v:textbox>
                <w:txbxContent>
                  <w:p>
                    <w:pPr>
                      <w:pStyle w:val="FrameContentsuser"/>
                      <w:spacing w:before="14" w:after="0"/>
                      <w:ind w:start="20"/>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27" wp14:anchorId="16B66661">
              <wp:simplePos x="0" y="0"/>
              <wp:positionH relativeFrom="page">
                <wp:posOffset>617220</wp:posOffset>
              </wp:positionH>
              <wp:positionV relativeFrom="page">
                <wp:posOffset>9581515</wp:posOffset>
              </wp:positionV>
              <wp:extent cx="974090" cy="139065"/>
              <wp:effectExtent l="0" t="0" r="0" b="0"/>
              <wp:wrapNone/>
              <wp:docPr id="12" name="Textbox 22"/>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8.6pt;margin-top:754.45pt;width:76.65pt;height:10.9pt;mso-wrap-style:square;v-text-anchor:top;mso-position-horizontal-relative:page;mso-position-vertical-relative:page" wp14:anchorId="16B66661">
              <v:fill o:detectmouseclick="t" on="false"/>
              <v:stroke color="#3465a4" joinstyle="round" endcap="flat"/>
              <v:textbox>
                <w:txbxContent>
                  <w:p>
                    <w:pPr>
                      <w:pStyle w:val="FrameContentsuser"/>
                      <w:spacing w:before="14" w:after="0"/>
                      <w:ind w:start="20"/>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34" wp14:anchorId="1753C1D6">
              <wp:simplePos x="0" y="0"/>
              <wp:positionH relativeFrom="page">
                <wp:posOffset>3026410</wp:posOffset>
              </wp:positionH>
              <wp:positionV relativeFrom="page">
                <wp:posOffset>9581515</wp:posOffset>
              </wp:positionV>
              <wp:extent cx="607060" cy="139065"/>
              <wp:effectExtent l="0" t="0" r="0" b="0"/>
              <wp:wrapNone/>
              <wp:docPr id="13" name="Textbox 23"/>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5</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5</w:t>
                          </w:r>
                          <w:r>
                            <w:rPr>
                              <w:sz w:val="16"/>
                              <w:spacing w:val="-10"/>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38.3pt;margin-top:754.45pt;width:47.75pt;height:10.9pt;mso-wrap-style:square;v-text-anchor:top;mso-position-horizontal-relative:page;mso-position-vertical-relative:page" wp14:anchorId="1753C1D6">
              <v:fill o:detectmouseclick="t" on="false"/>
              <v:stroke color="#3465a4" joinstyle="round" endcap="flat"/>
              <v:textbox>
                <w:txbxContent>
                  <w:p>
                    <w:pPr>
                      <w:pStyle w:val="FrameContentsuser"/>
                      <w:spacing w:before="14" w:after="0"/>
                      <w:ind w:start="20"/>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5</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5</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41" wp14:anchorId="470F7669">
              <wp:simplePos x="0" y="0"/>
              <wp:positionH relativeFrom="page">
                <wp:posOffset>6627495</wp:posOffset>
              </wp:positionH>
              <wp:positionV relativeFrom="page">
                <wp:posOffset>9581515</wp:posOffset>
              </wp:positionV>
              <wp:extent cx="629920" cy="139065"/>
              <wp:effectExtent l="0" t="0" r="0" b="0"/>
              <wp:wrapNone/>
              <wp:docPr id="14" name="Textbox 24"/>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21.85pt;margin-top:754.45pt;width:49.55pt;height:10.9pt;mso-wrap-style:square;v-text-anchor:top;mso-position-horizontal-relative:page;mso-position-vertical-relative:page" wp14:anchorId="470F7669">
              <v:fill o:detectmouseclick="t" on="false"/>
              <v:stroke color="#3465a4" joinstyle="round" endcap="flat"/>
              <v:textbox>
                <w:txbxContent>
                  <w:p>
                    <w:pPr>
                      <w:pStyle w:val="FrameContentsuser"/>
                      <w:spacing w:before="14" w:after="0"/>
                      <w:ind w:start="20"/>
                      <w:rPr>
                        <w:sz w:val="16"/>
                      </w:rPr>
                    </w:pPr>
                    <w:r>
                      <w:rPr>
                        <w:color w:val="000000"/>
                        <w:spacing w:val="-2"/>
                        <w:sz w:val="16"/>
                      </w:rPr>
                      <w:t>ALTEN_PGR</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 wp14:anchorId="3152E4B7">
              <wp:simplePos x="0" y="0"/>
              <wp:positionH relativeFrom="page">
                <wp:posOffset>886460</wp:posOffset>
              </wp:positionH>
              <wp:positionV relativeFrom="page">
                <wp:posOffset>582930</wp:posOffset>
              </wp:positionV>
              <wp:extent cx="4345305" cy="224790"/>
              <wp:effectExtent l="0" t="0" r="0" b="0"/>
              <wp:wrapNone/>
              <wp:docPr id="1" name="Textbox 5"/>
              <a:graphic xmlns:a="http://schemas.openxmlformats.org/drawingml/2006/main">
                <a:graphicData uri="http://schemas.microsoft.com/office/word/2010/wordprocessingShape">
                  <wps:wsp>
                    <wps:cNvSpPr/>
                    <wps:spPr>
                      <a:xfrm>
                        <a:off x="0" y="0"/>
                        <a:ext cx="4345200" cy="224640"/>
                      </a:xfrm>
                      <a:prstGeom prst="rect">
                        <a:avLst/>
                      </a:prstGeom>
                      <a:noFill/>
                      <a:ln w="0">
                        <a:noFill/>
                      </a:ln>
                    </wps:spPr>
                    <wps:style>
                      <a:lnRef idx="0"/>
                      <a:fillRef idx="0"/>
                      <a:effectRef idx="0"/>
                      <a:fontRef idx="minor"/>
                    </wps:style>
                    <wps:txbx>
                      <w:txbxContent>
                        <w:p>
                          <w:pPr>
                            <w:pStyle w:val="FrameContents"/>
                            <w:spacing w:before="11" w:after="0"/>
                            <w:rPr>
                              <w:rFonts w:ascii="Arial" w:hAnsi="Arial"/>
                              <w:b/>
                              <w:color w:val="000000"/>
                              <w:sz w:val="28"/>
                            </w:rPr>
                          </w:pPr>
                          <w:r>
                            <w:rPr>
                              <w:rFonts w:ascii="Arial" w:hAnsi="Arial"/>
                              <w:b/>
                              <w:color w:val="000000"/>
                              <w:sz w:val="28"/>
                            </w:rPr>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69.8pt;margin-top:45.9pt;width:342.1pt;height:17.65pt;mso-wrap-style:none;v-text-anchor:middle;mso-position-horizontal-relative:page;mso-position-vertical-relative:page" wp14:anchorId="3152E4B7">
              <v:fill o:detectmouseclick="t" on="false"/>
              <v:stroke color="#3465a4" joinstyle="round" endcap="flat"/>
              <v:textbox>
                <w:txbxContent>
                  <w:p>
                    <w:pPr>
                      <w:pStyle w:val="FrameContents"/>
                      <w:spacing w:before="11" w:after="0"/>
                      <w:rPr>
                        <w:rFonts w:ascii="Arial" w:hAnsi="Arial"/>
                        <w:b/>
                        <w:color w:val="000000"/>
                        <w:sz w:val="28"/>
                      </w:rPr>
                    </w:pPr>
                    <w:r>
                      <w:rPr>
                        <w:rFonts w:ascii="Arial" w:hAnsi="Arial"/>
                        <w:b/>
                        <w:color w:val="000000"/>
                        <w:sz w:val="28"/>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 wp14:anchorId="3152E4B7">
              <wp:simplePos x="0" y="0"/>
              <wp:positionH relativeFrom="page">
                <wp:posOffset>886460</wp:posOffset>
              </wp:positionH>
              <wp:positionV relativeFrom="page">
                <wp:posOffset>582930</wp:posOffset>
              </wp:positionV>
              <wp:extent cx="4345305" cy="224790"/>
              <wp:effectExtent l="0" t="0" r="0" b="0"/>
              <wp:wrapNone/>
              <wp:docPr id="2" name="Textbox 5"/>
              <a:graphic xmlns:a="http://schemas.openxmlformats.org/drawingml/2006/main">
                <a:graphicData uri="http://schemas.microsoft.com/office/word/2010/wordprocessingShape">
                  <wps:wsp>
                    <wps:cNvSpPr/>
                    <wps:spPr>
                      <a:xfrm>
                        <a:off x="0" y="0"/>
                        <a:ext cx="4345200" cy="224640"/>
                      </a:xfrm>
                      <a:prstGeom prst="rect">
                        <a:avLst/>
                      </a:prstGeom>
                      <a:noFill/>
                      <a:ln w="0">
                        <a:noFill/>
                      </a:ln>
                    </wps:spPr>
                    <wps:style>
                      <a:lnRef idx="0"/>
                      <a:fillRef idx="0"/>
                      <a:effectRef idx="0"/>
                      <a:fontRef idx="minor"/>
                    </wps:style>
                    <wps:txbx>
                      <w:txbxContent>
                        <w:p>
                          <w:pPr>
                            <w:pStyle w:val="FrameContents"/>
                            <w:spacing w:before="11" w:after="0"/>
                            <w:rPr>
                              <w:rFonts w:ascii="Arial" w:hAnsi="Arial"/>
                              <w:b/>
                              <w:color w:val="000000"/>
                              <w:sz w:val="28"/>
                            </w:rPr>
                          </w:pPr>
                          <w:r>
                            <w:rPr>
                              <w:rFonts w:ascii="Arial" w:hAnsi="Arial"/>
                              <w:b/>
                              <w:color w:val="000000"/>
                              <w:sz w:val="28"/>
                            </w:rPr>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69.8pt;margin-top:45.9pt;width:342.1pt;height:17.65pt;mso-wrap-style:none;v-text-anchor:middle;mso-position-horizontal-relative:page;mso-position-vertical-relative:page" wp14:anchorId="3152E4B7">
              <v:fill o:detectmouseclick="t" on="false"/>
              <v:stroke color="#3465a4" joinstyle="round" endcap="flat"/>
              <v:textbox>
                <w:txbxContent>
                  <w:p>
                    <w:pPr>
                      <w:pStyle w:val="FrameContents"/>
                      <w:spacing w:before="11" w:after="0"/>
                      <w:rPr>
                        <w:rFonts w:ascii="Arial" w:hAnsi="Arial"/>
                        <w:b/>
                        <w:color w:val="000000"/>
                        <w:sz w:val="28"/>
                      </w:rPr>
                    </w:pPr>
                    <w:r>
                      <w:rPr>
                        <w:rFonts w:ascii="Arial" w:hAnsi="Arial"/>
                        <w:b/>
                        <w:color w:val="000000"/>
                        <w:sz w:val="28"/>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29"/>
        </w:tabs>
        <w:ind w:start="1429" w:hanging="283"/>
      </w:pPr>
      <w:rPr>
        <w:rFonts w:ascii="Symbol" w:hAnsi="Symbol" w:cs="Symbol" w:hint="default"/>
      </w:rPr>
    </w:lvl>
    <w:lvl w:ilvl="1">
      <w:start w:val="1"/>
      <w:numFmt w:val="bullet"/>
      <w:lvlText w:val=""/>
      <w:lvlJc w:val="start"/>
      <w:pPr>
        <w:tabs>
          <w:tab w:val="num" w:pos="2138"/>
        </w:tabs>
        <w:ind w:start="2138" w:hanging="283"/>
      </w:pPr>
      <w:rPr>
        <w:rFonts w:ascii="Symbol" w:hAnsi="Symbol" w:cs="Symbol" w:hint="default"/>
      </w:rPr>
    </w:lvl>
    <w:lvl w:ilvl="2">
      <w:start w:val="1"/>
      <w:numFmt w:val="bullet"/>
      <w:lvlText w:val=""/>
      <w:lvlJc w:val="start"/>
      <w:pPr>
        <w:tabs>
          <w:tab w:val="num" w:pos="2847"/>
        </w:tabs>
        <w:ind w:start="2847" w:hanging="283"/>
      </w:pPr>
      <w:rPr>
        <w:rFonts w:ascii="Symbol" w:hAnsi="Symbol" w:cs="Symbol" w:hint="default"/>
      </w:rPr>
    </w:lvl>
    <w:lvl w:ilvl="3">
      <w:start w:val="1"/>
      <w:numFmt w:val="bullet"/>
      <w:lvlText w:val=""/>
      <w:lvlJc w:val="start"/>
      <w:pPr>
        <w:tabs>
          <w:tab w:val="num" w:pos="3556"/>
        </w:tabs>
        <w:ind w:start="3556" w:hanging="283"/>
      </w:pPr>
      <w:rPr>
        <w:rFonts w:ascii="Symbol" w:hAnsi="Symbol" w:cs="Symbol" w:hint="default"/>
      </w:rPr>
    </w:lvl>
    <w:lvl w:ilvl="4">
      <w:start w:val="1"/>
      <w:numFmt w:val="bullet"/>
      <w:lvlText w:val=""/>
      <w:lvlJc w:val="start"/>
      <w:pPr>
        <w:tabs>
          <w:tab w:val="num" w:pos="4265"/>
        </w:tabs>
        <w:ind w:start="4265" w:hanging="283"/>
      </w:pPr>
      <w:rPr>
        <w:rFonts w:ascii="Symbol" w:hAnsi="Symbol" w:cs="Symbol" w:hint="default"/>
      </w:rPr>
    </w:lvl>
    <w:lvl w:ilvl="5">
      <w:start w:val="1"/>
      <w:numFmt w:val="bullet"/>
      <w:lvlText w:val=""/>
      <w:lvlJc w:val="start"/>
      <w:pPr>
        <w:tabs>
          <w:tab w:val="num" w:pos="4974"/>
        </w:tabs>
        <w:ind w:start="4974" w:hanging="283"/>
      </w:pPr>
      <w:rPr>
        <w:rFonts w:ascii="Symbol" w:hAnsi="Symbol" w:cs="Symbol" w:hint="default"/>
      </w:rPr>
    </w:lvl>
    <w:lvl w:ilvl="6">
      <w:start w:val="1"/>
      <w:numFmt w:val="bullet"/>
      <w:lvlText w:val=""/>
      <w:lvlJc w:val="start"/>
      <w:pPr>
        <w:tabs>
          <w:tab w:val="num" w:pos="5683"/>
        </w:tabs>
        <w:ind w:start="5683" w:hanging="283"/>
      </w:pPr>
      <w:rPr>
        <w:rFonts w:ascii="Symbol" w:hAnsi="Symbol" w:cs="Symbol" w:hint="default"/>
      </w:rPr>
    </w:lvl>
    <w:lvl w:ilvl="7">
      <w:start w:val="1"/>
      <w:numFmt w:val="bullet"/>
      <w:lvlText w:val=""/>
      <w:lvlJc w:val="start"/>
      <w:pPr>
        <w:tabs>
          <w:tab w:val="num" w:pos="6392"/>
        </w:tabs>
        <w:ind w:start="6392" w:hanging="283"/>
      </w:pPr>
      <w:rPr>
        <w:rFonts w:ascii="Symbol" w:hAnsi="Symbol" w:cs="Symbol" w:hint="default"/>
      </w:rPr>
    </w:lvl>
    <w:lvl w:ilvl="8">
      <w:start w:val="1"/>
      <w:numFmt w:val="bullet"/>
      <w:lvlText w:val=""/>
      <w:lvlJc w:val="start"/>
      <w:pPr>
        <w:tabs>
          <w:tab w:val="num" w:pos="7101"/>
        </w:tabs>
        <w:ind w:start="710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861" w:hanging="360"/>
      </w:pPr>
      <w:rPr>
        <w:rFonts w:ascii="Symbol" w:hAnsi="Symbol" w:cs="Symbol" w:hint="default"/>
      </w:rPr>
    </w:lvl>
    <w:lvl w:ilvl="1">
      <w:start w:val="1"/>
      <w:numFmt w:val="bullet"/>
      <w:lvlText w:val="o"/>
      <w:lvlJc w:val="start"/>
      <w:pPr>
        <w:tabs>
          <w:tab w:val="num" w:pos="0"/>
        </w:tabs>
        <w:ind w:start="1581" w:hanging="360"/>
      </w:pPr>
      <w:rPr>
        <w:rFonts w:ascii="Courier New" w:hAnsi="Courier New" w:cs="Courier New" w:hint="default"/>
      </w:rPr>
    </w:lvl>
    <w:lvl w:ilvl="2">
      <w:start w:val="1"/>
      <w:numFmt w:val="bullet"/>
      <w:lvlText w:val=""/>
      <w:lvlJc w:val="start"/>
      <w:pPr>
        <w:tabs>
          <w:tab w:val="num" w:pos="0"/>
        </w:tabs>
        <w:ind w:start="2301" w:hanging="360"/>
      </w:pPr>
      <w:rPr>
        <w:rFonts w:ascii="Wingdings" w:hAnsi="Wingdings" w:cs="Wingdings" w:hint="default"/>
      </w:rPr>
    </w:lvl>
    <w:lvl w:ilvl="3">
      <w:start w:val="1"/>
      <w:numFmt w:val="bullet"/>
      <w:lvlText w:val=""/>
      <w:lvlJc w:val="start"/>
      <w:pPr>
        <w:tabs>
          <w:tab w:val="num" w:pos="0"/>
        </w:tabs>
        <w:ind w:start="3021" w:hanging="360"/>
      </w:pPr>
      <w:rPr>
        <w:rFonts w:ascii="Symbol" w:hAnsi="Symbol" w:cs="Symbol" w:hint="default"/>
      </w:rPr>
    </w:lvl>
    <w:lvl w:ilvl="4">
      <w:start w:val="1"/>
      <w:numFmt w:val="bullet"/>
      <w:lvlText w:val="o"/>
      <w:lvlJc w:val="start"/>
      <w:pPr>
        <w:tabs>
          <w:tab w:val="num" w:pos="0"/>
        </w:tabs>
        <w:ind w:start="3741" w:hanging="360"/>
      </w:pPr>
      <w:rPr>
        <w:rFonts w:ascii="Courier New" w:hAnsi="Courier New" w:cs="Courier New" w:hint="default"/>
      </w:rPr>
    </w:lvl>
    <w:lvl w:ilvl="5">
      <w:start w:val="1"/>
      <w:numFmt w:val="bullet"/>
      <w:lvlText w:val=""/>
      <w:lvlJc w:val="start"/>
      <w:pPr>
        <w:tabs>
          <w:tab w:val="num" w:pos="0"/>
        </w:tabs>
        <w:ind w:start="4461" w:hanging="360"/>
      </w:pPr>
      <w:rPr>
        <w:rFonts w:ascii="Wingdings" w:hAnsi="Wingdings" w:cs="Wingdings" w:hint="default"/>
      </w:rPr>
    </w:lvl>
    <w:lvl w:ilvl="6">
      <w:start w:val="1"/>
      <w:numFmt w:val="bullet"/>
      <w:lvlText w:val=""/>
      <w:lvlJc w:val="start"/>
      <w:pPr>
        <w:tabs>
          <w:tab w:val="num" w:pos="0"/>
        </w:tabs>
        <w:ind w:start="5181" w:hanging="360"/>
      </w:pPr>
      <w:rPr>
        <w:rFonts w:ascii="Symbol" w:hAnsi="Symbol" w:cs="Symbol" w:hint="default"/>
      </w:rPr>
    </w:lvl>
    <w:lvl w:ilvl="7">
      <w:start w:val="1"/>
      <w:numFmt w:val="bullet"/>
      <w:lvlText w:val="o"/>
      <w:lvlJc w:val="start"/>
      <w:pPr>
        <w:tabs>
          <w:tab w:val="num" w:pos="0"/>
        </w:tabs>
        <w:ind w:start="5901" w:hanging="360"/>
      </w:pPr>
      <w:rPr>
        <w:rFonts w:ascii="Courier New" w:hAnsi="Courier New" w:cs="Courier New" w:hint="default"/>
      </w:rPr>
    </w:lvl>
    <w:lvl w:ilvl="8">
      <w:start w:val="1"/>
      <w:numFmt w:val="bullet"/>
      <w:lvlText w:val=""/>
      <w:lvlJc w:val="start"/>
      <w:pPr>
        <w:tabs>
          <w:tab w:val="num" w:pos="0"/>
        </w:tabs>
        <w:ind w:start="6621"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Arial MT" w:hAnsi="Arial MT" w:eastAsia="Arial MT" w:cs="Arial MT"/>
      <w:color w:val="auto"/>
      <w:kern w:val="0"/>
      <w:sz w:val="22"/>
      <w:szCs w:val="22"/>
      <w:lang w:val="fr-FR" w:eastAsia="en-US" w:bidi="ar-SA"/>
    </w:rPr>
  </w:style>
  <w:style w:type="paragraph" w:styleId="Heading1">
    <w:name w:val="heading 1"/>
    <w:basedOn w:val="Normal"/>
    <w:uiPriority w:val="9"/>
    <w:qFormat/>
    <w:pPr>
      <w:ind w:start="140"/>
      <w:outlineLvl w:val="0"/>
    </w:pPr>
    <w:rPr>
      <w:rFonts w:ascii="Arial" w:hAnsi="Arial" w:eastAsia="Arial" w:cs="Arial"/>
      <w:b/>
      <w:bCs/>
      <w:sz w:val="28"/>
      <w:szCs w:val="28"/>
    </w:rPr>
  </w:style>
  <w:style w:type="paragraph" w:styleId="Heading2">
    <w:name w:val="heading 2"/>
    <w:basedOn w:val="Normal"/>
    <w:uiPriority w:val="9"/>
    <w:unhideWhenUsed/>
    <w:qFormat/>
    <w:pPr>
      <w:spacing w:lineRule="exact" w:line="252"/>
      <w:ind w:start="501"/>
      <w:outlineLvl w:val="1"/>
    </w:pPr>
    <w:rPr>
      <w:rFonts w:ascii="Arial" w:hAnsi="Arial" w:eastAsia="Arial" w:cs="Arial"/>
      <w:b/>
      <w:bCs/>
    </w:rPr>
  </w:style>
  <w:style w:type="paragraph" w:styleId="Heading3">
    <w:name w:val="heading 3"/>
    <w:basedOn w:val="Heading"/>
    <w:next w:val="BodyText"/>
    <w:qFormat/>
    <w:pPr>
      <w:spacing w:before="140" w:after="120"/>
      <w:outlineLvl w:val="2"/>
    </w:pPr>
    <w:rPr>
      <w:rFonts w:ascii="Liberation Serif" w:hAnsi="Liberation Serif" w:eastAsia="Tahoma" w:cs="Tahoma"/>
      <w:b/>
      <w:bCs/>
    </w:rPr>
  </w:style>
  <w:style w:type="paragraph" w:styleId="Heading4">
    <w:name w:val="heading 4"/>
    <w:basedOn w:val="Heading"/>
    <w:next w:val="BodyText"/>
    <w:qFormat/>
    <w:pPr>
      <w:spacing w:before="120" w:after="120"/>
      <w:outlineLvl w:val="3"/>
    </w:pPr>
    <w:rPr>
      <w:rFonts w:ascii="Liberation Serif" w:hAnsi="Liberation Serif" w:eastAsia="Tahoma" w:cs="Tahoma"/>
      <w:b/>
      <w:bCs/>
      <w:sz w:val="24"/>
      <w:szCs w:val="24"/>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Header"/>
    <w:uiPriority w:val="99"/>
    <w:qFormat/>
    <w:rsid w:val="00256868"/>
    <w:rPr>
      <w:rFonts w:ascii="Arial MT" w:hAnsi="Arial MT" w:eastAsia="Arial MT" w:cs="Arial MT"/>
      <w:lang w:val="fr-FR"/>
    </w:rPr>
  </w:style>
  <w:style w:type="character" w:styleId="PieddepageCar" w:customStyle="1">
    <w:name w:val="Pied de page Car"/>
    <w:basedOn w:val="DefaultParagraphFont"/>
    <w:link w:val="Footer"/>
    <w:uiPriority w:val="99"/>
    <w:qFormat/>
    <w:rsid w:val="00256868"/>
    <w:rPr>
      <w:rFonts w:ascii="Arial MT" w:hAnsi="Arial MT" w:eastAsia="Arial MT" w:cs="Arial MT"/>
      <w:lang w:val="fr-FR"/>
    </w:rPr>
  </w:style>
  <w:style w:type="character" w:styleId="Strong">
    <w:name w:val="Strong"/>
    <w:basedOn w:val="DefaultParagraphFont"/>
    <w:uiPriority w:val="22"/>
    <w:qFormat/>
    <w:rsid w:val="00242524"/>
    <w:rPr>
      <w:b/>
      <w:bCs/>
    </w:rPr>
  </w:style>
  <w:style w:type="character" w:styleId="Hyperlink">
    <w:name w:val="Hyperlink"/>
    <w:rPr>
      <w:color w:val="000080"/>
      <w:u w:val="single"/>
    </w:rPr>
  </w:style>
  <w:style w:type="character" w:styleId="Bullets" w:customStyle="1">
    <w:name w:val="Bullets"/>
    <w:qFormat/>
    <w:rPr>
      <w:rFonts w:ascii="OpenSymbol" w:hAnsi="OpenSymbol" w:eastAsia="OpenSymbol" w:cs="OpenSymbol"/>
    </w:rPr>
  </w:style>
  <w:style w:type="character" w:styleId="Bulletsuser" w:customStyle="1">
    <w:name w:val="Bullets (user)"/>
    <w:qFormat/>
    <w:rPr>
      <w:rFonts w:ascii="OpenSymbol" w:hAnsi="OpenSymbol" w:eastAsia="OpenSymbol" w:cs="OpenSymbol"/>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uiPriority w:val="1"/>
    <w:qFormat/>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Title">
    <w:name w:val="Title"/>
    <w:basedOn w:val="Normal"/>
    <w:uiPriority w:val="10"/>
    <w:qFormat/>
    <w:pPr>
      <w:ind w:start="4630"/>
    </w:pPr>
    <w:rPr>
      <w:rFonts w:ascii="Arial" w:hAnsi="Arial" w:eastAsia="Arial" w:cs="Arial"/>
      <w:b/>
      <w:bCs/>
      <w:sz w:val="32"/>
      <w:szCs w:val="32"/>
    </w:rPr>
  </w:style>
  <w:style w:type="paragraph" w:styleId="ListParagraph">
    <w:name w:val="List Paragraph"/>
    <w:basedOn w:val="Normal"/>
    <w:uiPriority w:val="1"/>
    <w:qFormat/>
    <w:pPr>
      <w:ind w:hanging="360" w:start="861"/>
    </w:pPr>
    <w:rPr/>
  </w:style>
  <w:style w:type="paragraph" w:styleId="TableParagraph" w:customStyle="1">
    <w:name w:val="Table Paragraph"/>
    <w:basedOn w:val="Normal"/>
    <w:uiPriority w:val="1"/>
    <w:qFormat/>
    <w:pPr/>
    <w:rPr/>
  </w:style>
  <w:style w:type="paragraph" w:styleId="HeaderandFooter" w:customStyle="1">
    <w:name w:val="Header and Footer"/>
    <w:basedOn w:val="Normal"/>
    <w:qFormat/>
    <w:pPr/>
    <w:rPr/>
  </w:style>
  <w:style w:type="paragraph" w:styleId="Header">
    <w:name w:val="header"/>
    <w:basedOn w:val="Normal"/>
    <w:link w:val="En-tteCar"/>
    <w:uiPriority w:val="99"/>
    <w:unhideWhenUsed/>
    <w:rsid w:val="00256868"/>
    <w:pPr>
      <w:tabs>
        <w:tab w:val="clear" w:pos="720"/>
        <w:tab w:val="center" w:pos="4536" w:leader="none"/>
        <w:tab w:val="right" w:pos="9072" w:leader="none"/>
      </w:tabs>
    </w:pPr>
    <w:rPr/>
  </w:style>
  <w:style w:type="paragraph" w:styleId="Footer">
    <w:name w:val="footer"/>
    <w:basedOn w:val="Normal"/>
    <w:link w:val="PieddepageCar"/>
    <w:uiPriority w:val="99"/>
    <w:unhideWhenUsed/>
    <w:rsid w:val="00256868"/>
    <w:pPr>
      <w:tabs>
        <w:tab w:val="clear" w:pos="720"/>
        <w:tab w:val="center" w:pos="4536" w:leader="none"/>
        <w:tab w:val="right" w:pos="9072" w:leader="none"/>
      </w:tabs>
    </w:pPr>
    <w:rPr/>
  </w:style>
  <w:style w:type="paragraph" w:styleId="NormalWeb">
    <w:name w:val="Normal (Web)"/>
    <w:basedOn w:val="Normal"/>
    <w:uiPriority w:val="99"/>
    <w:unhideWhenUsed/>
    <w:qFormat/>
    <w:rsid w:val="00d34f2f"/>
    <w:pPr/>
    <w:rPr>
      <w:rFonts w:ascii="Times New Roman" w:hAnsi="Times New Roman" w:cs="Times New Roman"/>
      <w:sz w:val="24"/>
      <w:szCs w:val="24"/>
    </w:rPr>
  </w:style>
  <w:style w:type="paragraph" w:styleId="p1" w:customStyle="1">
    <w:name w:val="p1"/>
    <w:basedOn w:val="Normal"/>
    <w:qFormat/>
    <w:rsid w:val="00651017"/>
    <w:pPr>
      <w:widowControl/>
    </w:pPr>
    <w:rPr>
      <w:rFonts w:ascii="Helvetica" w:hAnsi="Helvetica" w:eastAsia="Times New Roman" w:cs="Times New Roman"/>
      <w:color w:val="606060"/>
      <w:sz w:val="20"/>
      <w:szCs w:val="17"/>
      <w:lang w:eastAsia="fr-FR"/>
    </w:rPr>
  </w:style>
  <w:style w:type="paragraph" w:styleId="FrameContents" w:customStyle="1">
    <w:name w:val="Frame Contents"/>
    <w:basedOn w:val="Normal"/>
    <w:qFormat/>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FrameContentsuser" w:customStyle="1">
    <w:name w:val="Frame Contents (user)"/>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er5.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6.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6031</TotalTime>
  <Application>LibreOffice/25.8.2.2$MacOSX_AARCH64 LibreOffice_project/d401f2107ccab8f924a8e2df40f573aab7605b6f</Application>
  <AppVersion>15.0000</AppVersion>
  <Pages>5</Pages>
  <Words>1725</Words>
  <Characters>9722</Characters>
  <CharactersWithSpaces>11363</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2025-12-26T11:29:00Z</dcterms:created>
  <dc:creator>Philippe Dubouchet</dc:creator>
  <dc:description/>
  <dc:language>fr-FR</dc:language>
  <cp:lastModifiedBy/>
  <cp:lastPrinted>2026-01-26T10:55:49Z</cp:lastPrinted>
  <dcterms:modified xsi:type="dcterms:W3CDTF">2026-01-26T10:56:31Z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2025-02-04T00:00:00Z</vt:filetime>
  </property>
  <property fmtid="{D5CDD505-2E9C-101B-9397-08002B2CF9AE}" pid="3" name="Creator">
    <vt:lpwstr>Microsoft® Word pour Microsoft 365</vt:lpwstr>
  </property>
  <property fmtid="{D5CDD505-2E9C-101B-9397-08002B2CF9AE}" pid="4" name="LastSaved">
    <vt:filetime>2025-12-12T00:00:00Z</vt:filetime>
  </property>
  <property fmtid="{D5CDD505-2E9C-101B-9397-08002B2CF9AE}" pid="5" name="Producer">
    <vt:lpwstr>Microsoft® Word pour Microsoft 365</vt:lpwstr>
  </property>
</Properties>
</file>