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32"/>
        </w:rPr>
        <w:t>MUTUAL NON-DISCLOSURE AGREEMENT</w:t>
      </w:r>
    </w:p>
    <w:p>
      <w:pPr>
        <w:jc w:val="center"/>
      </w:pPr>
      <w:r>
        <w:rPr>
          <w:i/>
          <w:color w:val="444444"/>
          <w:sz w:val="24"/>
        </w:rPr>
        <w:t>Bilateral Confidentiality Agreement</w:t>
      </w:r>
    </w:p>
    <w:p>
      <w:pPr>
        <w:jc w:val="center"/>
      </w:pPr>
      <w:r>
        <w:rPr>
          <w:sz w:val="22"/>
        </w:rPr>
        <w:t>Effective Date: January 15, 2026</w:t>
      </w:r>
    </w:p>
    <w:p>
      <w:pPr>
        <w:jc w:val="center"/>
      </w:pPr>
      <w:r>
        <w:rPr>
          <w:color w:val="444444"/>
          <w:sz w:val="22"/>
        </w:rPr>
        <w:t>Between: Acme Corporation  ↔  Vertex Solutions, Inc.</w:t>
      </w:r>
    </w:p>
    <w:p/>
    <w:p>
      <w:pPr>
        <w:pBdr>
          <w:bottom w:val="single" w:sz="6" w:space="1" w:color="999999"/>
        </w:pBdr>
      </w:pPr>
    </w:p>
    <w:p/>
    <w:p>
      <w:pPr>
        <w:spacing w:before="280" w:after="80"/>
      </w:pPr>
      <w:r>
        <w:rPr>
          <w:b/>
          <w:color w:val="1F3864"/>
          <w:sz w:val="24"/>
        </w:rPr>
        <w:t>1. Definitions</w:t>
      </w:r>
    </w:p>
    <w:p>
      <w:pPr>
        <w:spacing w:after="80"/>
      </w:pPr>
      <w:r>
        <w:rPr>
          <w:b w:val="0"/>
          <w:i w:val="0"/>
          <w:sz w:val="22"/>
        </w:rPr>
        <w:t>"Confidential Information" means any non-public information disclosed by either party (the "Disclosing Party") to the other party (the "Receiving Party"), in writing, orally, or by inspection of tangible objects, that is designated as confidential or that reasonably should be understood to be confidential given the nature of the information and the circumstances of disclosure.</w:t>
      </w:r>
    </w:p>
    <w:p>
      <w:pPr>
        <w:spacing w:after="80"/>
      </w:pPr>
      <w:r>
        <w:rPr>
          <w:b w:val="0"/>
          <w:i w:val="0"/>
          <w:sz w:val="22"/>
        </w:rPr>
        <w:t>"Representatives" means a party's directors, officers, employees, contractors, attorneys, accountants, and financial advisors who have a need to know the Confidential Information.</w:t>
      </w:r>
    </w:p>
    <w:p>
      <w:pPr>
        <w:spacing w:before="280" w:after="80"/>
      </w:pPr>
      <w:r>
        <w:rPr>
          <w:b/>
          <w:color w:val="1F3864"/>
          <w:sz w:val="24"/>
        </w:rPr>
        <w:t>2. Obligations of Receiving Party</w:t>
      </w:r>
    </w:p>
    <w:p>
      <w:pPr>
        <w:spacing w:after="80"/>
      </w:pPr>
      <w:r>
        <w:rPr>
          <w:b w:val="0"/>
          <w:i w:val="0"/>
          <w:sz w:val="22"/>
        </w:rPr>
        <w:t>Each party agrees to: (i) hold all Confidential Information of the other party in strict confidence; (ii) not disclose any Confidential Information to third parties without prior written consent; (iii) use the Confidential Information solely for evaluating a potential business relationship between the parties; and (iv) protect the Confidential Information with at least the same degree of care used to protect its own confidential information, but no less than reasonable care.</w:t>
      </w:r>
    </w:p>
    <w:p>
      <w:pPr>
        <w:spacing w:before="280" w:after="80"/>
      </w:pPr>
      <w:r>
        <w:rPr>
          <w:b/>
          <w:color w:val="1F3864"/>
          <w:sz w:val="24"/>
        </w:rPr>
        <w:t>3. Exclusions</w:t>
      </w:r>
    </w:p>
    <w:p>
      <w:pPr>
        <w:spacing w:after="80"/>
      </w:pPr>
      <w:r>
        <w:rPr>
          <w:b w:val="0"/>
          <w:i w:val="0"/>
          <w:sz w:val="22"/>
        </w:rPr>
        <w:t>Confidential Information does not include information that:</w:t>
      </w:r>
    </w:p>
    <w:p>
      <w:pPr>
        <w:pStyle w:val="ListBullet"/>
      </w:pPr>
      <w:r>
        <w:rPr>
          <w:sz w:val="22"/>
        </w:rPr>
        <w:t>Is or becomes publicly known through no breach of this Agreement;</w:t>
      </w:r>
    </w:p>
    <w:p>
      <w:pPr>
        <w:pStyle w:val="ListBullet"/>
      </w:pPr>
      <w:r>
        <w:rPr>
          <w:sz w:val="22"/>
        </w:rPr>
        <w:t>Was rightfully in the Receiving Party's possession prior to disclosure;</w:t>
      </w:r>
    </w:p>
    <w:p>
      <w:pPr>
        <w:pStyle w:val="ListBullet"/>
      </w:pPr>
      <w:r>
        <w:rPr>
          <w:sz w:val="22"/>
        </w:rPr>
        <w:t>Is independently developed by the Receiving Party without use of the Confidential Information;</w:t>
      </w:r>
    </w:p>
    <w:p>
      <w:pPr>
        <w:pStyle w:val="ListBullet"/>
      </w:pPr>
      <w:r>
        <w:rPr>
          <w:sz w:val="22"/>
        </w:rPr>
        <w:t>Is received from a third party without restriction; or</w:t>
      </w:r>
    </w:p>
    <w:p>
      <w:pPr>
        <w:pStyle w:val="ListBullet"/>
      </w:pPr>
      <w:r>
        <w:rPr>
          <w:sz w:val="22"/>
        </w:rPr>
        <w:t>Is required to be disclosed by law or court order, provided the Receiving Party gives prompt written notice.</w:t>
      </w:r>
    </w:p>
    <w:p>
      <w:pPr>
        <w:spacing w:before="280" w:after="80"/>
      </w:pPr>
      <w:r>
        <w:rPr>
          <w:b/>
          <w:color w:val="1F3864"/>
          <w:sz w:val="24"/>
        </w:rPr>
        <w:t>4. Term and Termination</w:t>
      </w:r>
    </w:p>
    <w:p>
      <w:pPr>
        <w:spacing w:after="80"/>
      </w:pPr>
      <w:r>
        <w:rPr>
          <w:b w:val="0"/>
          <w:i w:val="0"/>
          <w:sz w:val="22"/>
        </w:rPr>
        <w:t>This Agreement shall remain in effect for a period of two (2) years from the Effective Date. Either party may terminate this Agreement upon thirty (30) days' written notice. Confidentiality obligations survive termination for a period of three (3) years.</w:t>
      </w:r>
    </w:p>
    <w:p>
      <w:pPr>
        <w:spacing w:before="280" w:after="80"/>
      </w:pPr>
      <w:r>
        <w:rPr>
          <w:b/>
          <w:color w:val="1F3864"/>
          <w:sz w:val="24"/>
        </w:rPr>
        <w:t>5. Return of Information</w:t>
      </w:r>
    </w:p>
    <w:p>
      <w:pPr>
        <w:spacing w:after="80"/>
      </w:pPr>
      <w:r>
        <w:rPr>
          <w:b w:val="0"/>
          <w:i w:val="0"/>
          <w:sz w:val="22"/>
        </w:rPr>
        <w:t>Upon request or termination, each Receiving Party shall promptly return or destroy all Confidential Information and certify such destruction in writing.</w:t>
      </w:r>
    </w:p>
    <w:p>
      <w:pPr>
        <w:spacing w:before="280" w:after="80"/>
      </w:pPr>
      <w:r>
        <w:rPr>
          <w:b/>
          <w:color w:val="1F3864"/>
          <w:sz w:val="24"/>
        </w:rPr>
        <w:t>6. No License</w:t>
      </w:r>
    </w:p>
    <w:p>
      <w:pPr>
        <w:spacing w:after="80"/>
      </w:pPr>
      <w:r>
        <w:rPr>
          <w:b w:val="0"/>
          <w:i w:val="0"/>
          <w:sz w:val="22"/>
        </w:rPr>
        <w:t>Nothing in this Agreement grants either party any rights in or to any intellectual property of the other party beyond the limited right to use Confidential Information for evaluation purposes.</w:t>
      </w:r>
    </w:p>
    <w:p>
      <w:pPr>
        <w:spacing w:before="280" w:after="80"/>
      </w:pPr>
      <w:r>
        <w:rPr>
          <w:b/>
          <w:color w:val="1F3864"/>
          <w:sz w:val="24"/>
        </w:rPr>
        <w:t>7. Remedies</w:t>
      </w:r>
    </w:p>
    <w:p>
      <w:pPr>
        <w:spacing w:after="80"/>
      </w:pPr>
      <w:r>
        <w:rPr>
          <w:b w:val="0"/>
          <w:i w:val="0"/>
          <w:sz w:val="22"/>
        </w:rPr>
        <w:t>Each party acknowledges that breach of this Agreement may cause irreparable harm for which monetary damages would be inadequate. Each party is therefore entitled to seek injunctive relief in addition to all other remedies available at law or equity.</w:t>
      </w:r>
    </w:p>
    <w:p>
      <w:pPr>
        <w:spacing w:before="280" w:after="80"/>
      </w:pPr>
      <w:r>
        <w:rPr>
          <w:b/>
          <w:color w:val="1F3864"/>
          <w:sz w:val="24"/>
        </w:rPr>
        <w:t>8. Limitation of Liability</w:t>
      </w:r>
    </w:p>
    <w:p>
      <w:pPr>
        <w:spacing w:after="80"/>
      </w:pPr>
      <w:r>
        <w:rPr>
          <w:b/>
          <w:i w:val="0"/>
          <w:sz w:val="22"/>
        </w:rPr>
        <w:t>IN NO EVENT SHALL EITHER PARTY BE LIABLE FOR ANY INDIRECT, INCIDENTAL, SPECIAL, EXEMPLARY, OR CONSEQUENTIAL DAMAGES. EACH PARTY'S TOTAL LIABILITY UNDER THIS AGREEMENT SHALL NOT EXCEED USD $50,000.</w:t>
      </w:r>
    </w:p>
    <w:p>
      <w:pPr>
        <w:spacing w:before="280" w:after="80"/>
      </w:pPr>
      <w:r>
        <w:rPr>
          <w:b/>
          <w:color w:val="1F3864"/>
          <w:sz w:val="24"/>
        </w:rPr>
        <w:t>9. General Provisions</w:t>
      </w:r>
    </w:p>
    <w:p>
      <w:pPr>
        <w:spacing w:after="80"/>
      </w:pPr>
      <w:r>
        <w:rPr>
          <w:b w:val="0"/>
          <w:i w:val="0"/>
          <w:sz w:val="22"/>
        </w:rPr>
        <w:t>Governing Law: This Agreement shall be governed by the laws of the State of Delaware, without regard to conflict of law principles.</w:t>
      </w:r>
    </w:p>
    <w:p>
      <w:pPr>
        <w:spacing w:after="80"/>
      </w:pPr>
      <w:r>
        <w:rPr>
          <w:b w:val="0"/>
          <w:i w:val="0"/>
          <w:sz w:val="22"/>
        </w:rPr>
        <w:t>Entire Agreement: This Agreement constitutes the entire agreement between the parties with respect to its subject matter and supersedes all prior agreements.</w:t>
      </w:r>
    </w:p>
    <w:p>
      <w:pPr>
        <w:spacing w:after="80"/>
      </w:pPr>
      <w:r>
        <w:rPr>
          <w:b w:val="0"/>
          <w:i w:val="0"/>
          <w:sz w:val="22"/>
        </w:rPr>
        <w:t>Amendment: This Agreement may not be amended except by written instrument signed by both parties.</w:t>
      </w:r>
    </w:p>
    <w:p>
      <w:pPr>
        <w:spacing w:after="80"/>
      </w:pPr>
      <w:r>
        <w:rPr>
          <w:b w:val="0"/>
          <w:i w:val="0"/>
          <w:sz w:val="22"/>
        </w:rPr>
        <w:t>Severability: If any provision is held invalid, the remaining provisions continue in full force.</w:t>
      </w:r>
    </w:p>
    <w:p/>
    <w:p>
      <w:r>
        <w:rPr>
          <w:b/>
          <w:sz w:val="22"/>
        </w:rPr>
        <w:t>IN WITNESS WHEREOF, the parties have executed this Agreement as of the Effective Date.</w:t>
      </w:r>
    </w:p>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880"/>
        <w:gridCol w:w="2880"/>
        <w:gridCol w:w="2880"/>
      </w:tblGrid>
      <w:tr>
        <w:tc>
          <w:tcPr>
            <w:tcW w:type="dxa" w:w="4032"/>
          </w:tcPr>
          <w:p>
            <w:r>
              <w:rPr>
                <w:b/>
                <w:sz w:val="20"/>
              </w:rPr>
              <w:t>ACME CORPORATION</w:t>
            </w:r>
          </w:p>
        </w:tc>
        <w:tc>
          <w:tcPr>
            <w:tcW w:type="dxa" w:w="2880"/>
          </w:tcPr>
          <w:p/>
        </w:tc>
        <w:tc>
          <w:tcPr>
            <w:tcW w:type="dxa" w:w="4032"/>
          </w:tcPr>
          <w:p>
            <w:r>
              <w:rPr>
                <w:b/>
                <w:sz w:val="20"/>
              </w:rPr>
              <w:t>VERTEX SOLUTIONS, INC.</w:t>
            </w:r>
          </w:p>
        </w:tc>
      </w:tr>
      <w:tr>
        <w:tc>
          <w:tcPr>
            <w:tcW w:type="dxa" w:w="4032"/>
          </w:tcPr>
          <w:p>
            <w:r>
              <w:rPr>
                <w:b w:val="0"/>
                <w:sz w:val="20"/>
              </w:rPr>
            </w:r>
          </w:p>
        </w:tc>
        <w:tc>
          <w:tcPr>
            <w:tcW w:type="dxa" w:w="2880"/>
          </w:tcPr>
          <w:p/>
        </w:tc>
        <w:tc>
          <w:tcPr>
            <w:tcW w:type="dxa" w:w="4032"/>
          </w:tcPr>
          <w:p>
            <w:r>
              <w:rPr>
                <w:b w:val="0"/>
                <w:sz w:val="20"/>
              </w:rPr>
            </w:r>
          </w:p>
        </w:tc>
      </w:tr>
      <w:tr>
        <w:tc>
          <w:tcPr>
            <w:tcW w:type="dxa" w:w="4032"/>
            <w:tcBdr>
              <w:top w:val="single" w:sz="4" w:color="000000"/>
            </w:tcBdr>
          </w:tcPr>
          <w:p>
            <w:r>
              <w:rPr>
                <w:b w:val="0"/>
                <w:sz w:val="20"/>
              </w:rPr>
            </w:r>
          </w:p>
        </w:tc>
        <w:tc>
          <w:tcPr>
            <w:tcW w:type="dxa" w:w="2880"/>
          </w:tcPr>
          <w:p/>
        </w:tc>
        <w:tc>
          <w:tcPr>
            <w:tcW w:type="dxa" w:w="4032"/>
            <w:tcBdr>
              <w:top w:val="single" w:sz="4" w:color="000000"/>
            </w:tcBdr>
          </w:tcPr>
          <w:p>
            <w:r>
              <w:rPr>
                <w:b w:val="0"/>
                <w:sz w:val="20"/>
              </w:rPr>
            </w:r>
          </w:p>
        </w:tc>
      </w:tr>
      <w:tr>
        <w:tc>
          <w:tcPr>
            <w:tcW w:type="dxa" w:w="4032"/>
          </w:tcPr>
          <w:p>
            <w:r>
              <w:rPr>
                <w:b w:val="0"/>
                <w:sz w:val="20"/>
              </w:rPr>
              <w:t>Name: ________________________</w:t>
            </w:r>
          </w:p>
        </w:tc>
        <w:tc>
          <w:tcPr>
            <w:tcW w:type="dxa" w:w="2880"/>
          </w:tcPr>
          <w:p/>
        </w:tc>
        <w:tc>
          <w:tcPr>
            <w:tcW w:type="dxa" w:w="4032"/>
          </w:tcPr>
          <w:p>
            <w:r>
              <w:rPr>
                <w:b w:val="0"/>
                <w:sz w:val="20"/>
              </w:rPr>
              <w:t>Name: ________________________</w:t>
            </w:r>
          </w:p>
        </w:tc>
      </w:tr>
      <w:tr>
        <w:tc>
          <w:tcPr>
            <w:tcW w:type="dxa" w:w="4032"/>
          </w:tcPr>
          <w:p>
            <w:r>
              <w:rPr>
                <w:b w:val="0"/>
                <w:sz w:val="20"/>
              </w:rPr>
              <w:t>Title: Chief Executive Officer</w:t>
            </w:r>
          </w:p>
        </w:tc>
        <w:tc>
          <w:tcPr>
            <w:tcW w:type="dxa" w:w="2880"/>
          </w:tcPr>
          <w:p/>
        </w:tc>
        <w:tc>
          <w:tcPr>
            <w:tcW w:type="dxa" w:w="4032"/>
          </w:tcPr>
          <w:p>
            <w:r>
              <w:rPr>
                <w:b w:val="0"/>
                <w:sz w:val="20"/>
              </w:rPr>
              <w:t>Title: President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