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32"/>
        </w:rPr>
        <w:t>CONSTRUCTION SERVICES AGREEMENT</w:t>
      </w:r>
    </w:p>
    <w:p>
      <w:pPr>
        <w:jc w:val="center"/>
      </w:pPr>
      <w:r>
        <w:rPr>
          <w:i/>
          <w:color w:val="444444"/>
          <w:sz w:val="24"/>
        </w:rPr>
        <w:t>Commercial Office Renovation — Phase II</w:t>
      </w:r>
    </w:p>
    <w:p>
      <w:pPr>
        <w:jc w:val="center"/>
      </w:pPr>
      <w:r>
        <w:rPr>
          <w:sz w:val="22"/>
        </w:rPr>
        <w:t>Effective Date: May 1, 2026</w:t>
      </w:r>
    </w:p>
    <w:p>
      <w:pPr>
        <w:jc w:val="center"/>
      </w:pPr>
      <w:r>
        <w:rPr>
          <w:color w:val="444444"/>
          <w:sz w:val="22"/>
        </w:rPr>
        <w:t>Owner: Harbor Point Real Estate Group  ↔  Contractor: Ironclad Build Corp.</w:t>
      </w:r>
    </w:p>
    <w:p/>
    <w:p>
      <w:pPr>
        <w:pBdr>
          <w:bottom w:val="single" w:sz="6" w:space="1" w:color="999999"/>
        </w:pBdr>
      </w:pPr>
    </w:p>
    <w:p/>
    <w:p>
      <w:pPr>
        <w:spacing w:before="280" w:after="80"/>
      </w:pPr>
      <w:r>
        <w:rPr>
          <w:b/>
          <w:color w:val="1F3864"/>
          <w:sz w:val="24"/>
        </w:rPr>
        <w:t>1. Scope of Work</w:t>
      </w:r>
    </w:p>
    <w:p>
      <w:pPr>
        <w:spacing w:after="80"/>
      </w:pPr>
      <w:r>
        <w:rPr>
          <w:b w:val="0"/>
          <w:i w:val="0"/>
          <w:sz w:val="22"/>
        </w:rPr>
        <w:t>Ironclad Build Corp. ("Contractor") shall perform all construction, renovation, and related services for the Harbor Point Tower Phase II commercial office renovation as described in Exhibit A (Scope of Work), Exhibit B (Plans &amp; Specifications), and Exhibit C (Schedule of Values).</w:t>
      </w:r>
    </w:p>
    <w:p>
      <w:pPr>
        <w:spacing w:before="280" w:after="80"/>
      </w:pPr>
      <w:r>
        <w:rPr>
          <w:b/>
          <w:color w:val="1F3864"/>
          <w:sz w:val="24"/>
        </w:rPr>
        <w:t>2. Contract Price and Payment</w:t>
      </w:r>
    </w:p>
    <w:p>
      <w:pPr>
        <w:spacing w:after="80"/>
      </w:pPr>
      <w:r>
        <w:rPr>
          <w:b w:val="0"/>
          <w:i w:val="0"/>
          <w:sz w:val="22"/>
        </w:rPr>
        <w:t>2.1 Fixed Price. The Contract Price is $4,750,000 (Four Million, Seven Hundred Fifty Thousand Dollars), subject to adjustment only via executed Change Orders.</w:t>
      </w:r>
    </w:p>
    <w:p>
      <w:pPr>
        <w:spacing w:after="80"/>
      </w:pPr>
      <w:r>
        <w:rPr>
          <w:b w:val="0"/>
          <w:i w:val="0"/>
          <w:sz w:val="22"/>
        </w:rPr>
        <w:t>2.2 Payment Schedule. Owner shall make progress payments monthly, less a retainage of ten percent (10%).</w:t>
      </w:r>
    </w:p>
    <w:p>
      <w:pPr>
        <w:spacing w:after="80"/>
      </w:pPr>
      <w:r>
        <w:rPr>
          <w:b w:val="0"/>
          <w:i w:val="0"/>
          <w:sz w:val="22"/>
        </w:rPr>
        <w:t>2.3 Final Payment. Retainage released within thirty (30) days of Final Completion.</w:t>
      </w:r>
    </w:p>
    <w:p>
      <w:pPr>
        <w:spacing w:after="80"/>
      </w:pPr>
      <w:r>
        <w:rPr>
          <w:b w:val="0"/>
          <w:i w:val="0"/>
          <w:sz w:val="22"/>
        </w:rPr>
        <w:t>2.4 Disputed Amounts. Owner may withhold payment for defective work, third-party claims, liquidated damages, or reasonable evidence of inability to complete.</w:t>
      </w:r>
    </w:p>
    <w:p>
      <w:pPr>
        <w:spacing w:before="280" w:after="80"/>
      </w:pPr>
      <w:r>
        <w:rPr>
          <w:b/>
          <w:color w:val="1F3864"/>
          <w:sz w:val="24"/>
        </w:rPr>
        <w:t>3. Schedule</w:t>
      </w:r>
    </w:p>
    <w:p>
      <w:pPr>
        <w:spacing w:after="80"/>
      </w:pPr>
      <w:r>
        <w:rPr>
          <w:b w:val="0"/>
          <w:i w:val="0"/>
          <w:sz w:val="22"/>
        </w:rPr>
        <w:t>3.1 Commencement. Contractor shall commence Work within five (5) days of Notice to Proceed.</w:t>
      </w:r>
    </w:p>
    <w:p>
      <w:pPr>
        <w:spacing w:after="80"/>
      </w:pPr>
      <w:r>
        <w:rPr>
          <w:b w:val="0"/>
          <w:i w:val="0"/>
          <w:sz w:val="22"/>
        </w:rPr>
        <w:t>3.2 Substantial Completion. Contractor shall achieve Substantial Completion by October 31, 2026.</w:t>
      </w:r>
    </w:p>
    <w:p>
      <w:pPr>
        <w:spacing w:after="80"/>
      </w:pPr>
      <w:r>
        <w:rPr>
          <w:b w:val="0"/>
          <w:i w:val="0"/>
          <w:sz w:val="22"/>
        </w:rPr>
        <w:t>3.3 Final Completion. No later than thirty (30) days after Substantial Completion.</w:t>
      </w:r>
    </w:p>
    <w:p>
      <w:pPr>
        <w:spacing w:after="80"/>
      </w:pPr>
      <w:r>
        <w:rPr>
          <w:b/>
          <w:i w:val="0"/>
          <w:color w:val="C00000"/>
          <w:sz w:val="22"/>
        </w:rPr>
        <w:t>3.4 Failure to maintain schedule milestones constitutes a material breach.</w:t>
      </w:r>
    </w:p>
    <w:p>
      <w:pPr>
        <w:spacing w:before="280" w:after="80"/>
      </w:pPr>
      <w:r>
        <w:rPr>
          <w:b/>
          <w:color w:val="1F3864"/>
          <w:sz w:val="24"/>
        </w:rPr>
        <w:t>4. Change Orders</w:t>
      </w:r>
    </w:p>
    <w:p>
      <w:pPr>
        <w:spacing w:after="80"/>
      </w:pPr>
      <w:r>
        <w:rPr>
          <w:b w:val="0"/>
          <w:i w:val="0"/>
          <w:sz w:val="22"/>
        </w:rPr>
        <w:t>4.1 All changes require a written Change Order signed by both parties before work proceeds.</w:t>
      </w:r>
    </w:p>
    <w:p>
      <w:pPr>
        <w:spacing w:after="80"/>
      </w:pPr>
      <w:r>
        <w:rPr>
          <w:b w:val="0"/>
          <w:i w:val="0"/>
          <w:color w:val="C00000"/>
          <w:sz w:val="22"/>
        </w:rPr>
        <w:t>4.3 NOTICE WAIVER: Contractor must provide written notice of any alleged constructive change within TEN (10) DAYS of the event or Contractor waives its right to adjustment.</w:t>
      </w:r>
    </w:p>
    <w:p>
      <w:pPr>
        <w:spacing w:before="280" w:after="80"/>
      </w:pPr>
      <w:r>
        <w:rPr>
          <w:b/>
          <w:color w:val="1F3864"/>
          <w:sz w:val="24"/>
        </w:rPr>
        <w:t>5. Warranties</w:t>
      </w:r>
    </w:p>
    <w:p>
      <w:pPr>
        <w:spacing w:after="80"/>
      </w:pPr>
      <w:r>
        <w:rPr>
          <w:b w:val="0"/>
          <w:i w:val="0"/>
          <w:sz w:val="22"/>
        </w:rPr>
        <w:t>Contractor warrants all Work against defects in materials and workmanship for two (2) years from Final Completion.</w:t>
      </w:r>
    </w:p>
    <w:p>
      <w:pPr>
        <w:spacing w:before="280" w:after="80"/>
      </w:pPr>
      <w:r>
        <w:rPr>
          <w:b/>
          <w:color w:val="1F3864"/>
          <w:sz w:val="24"/>
        </w:rPr>
        <w:t>6. Liquidated Damages</w:t>
      </w:r>
    </w:p>
    <w:p>
      <w:pPr>
        <w:spacing w:after="80"/>
      </w:pPr>
      <w:r>
        <w:rPr>
          <w:b/>
          <w:i w:val="0"/>
          <w:color w:val="C00000"/>
          <w:sz w:val="22"/>
        </w:rPr>
        <w:t>⚠ LIQUIDATED DAMAGES: TIME IS OF THE ESSENCE. Failure to achieve Substantial Completion triggers Liquidated Damages of $5,000 PER CALENDAR DAY until Substantial Completion is achieved. Maximum: 15% of original Contract Price ($712,500).</w:t>
      </w:r>
    </w:p>
    <w:p>
      <w:pPr>
        <w:spacing w:before="280" w:after="80"/>
      </w:pPr>
      <w:r>
        <w:rPr>
          <w:b/>
          <w:color w:val="1F3864"/>
          <w:sz w:val="24"/>
        </w:rPr>
        <w:t>7. Performance and Payment Bonds</w:t>
      </w:r>
    </w:p>
    <w:p>
      <w:pPr>
        <w:spacing w:after="80"/>
      </w:pPr>
      <w:r>
        <w:rPr>
          <w:b/>
          <w:i w:val="0"/>
          <w:color w:val="C00000"/>
          <w:sz w:val="22"/>
        </w:rPr>
        <w:t>⚠ BONDS REQUIRED: Within ten (10) days of Contract execution, Contractor shall furnish Performance and Payment Bonds, each in the FULL amount of the Contract Price ($4,750,000). Failure to furnish bonds is grounds for immediate termination.</w:t>
      </w:r>
    </w:p>
    <w:p>
      <w:pPr>
        <w:spacing w:before="280" w:after="80"/>
      </w:pPr>
      <w:r>
        <w:rPr>
          <w:b/>
          <w:color w:val="1F3864"/>
          <w:sz w:val="24"/>
        </w:rPr>
        <w:t>8. Insurance</w:t>
      </w:r>
    </w:p>
    <w:p>
      <w:pPr>
        <w:spacing w:after="80"/>
      </w:pPr>
      <w:r>
        <w:rPr>
          <w:b w:val="0"/>
          <w:i w:val="0"/>
          <w:sz w:val="22"/>
        </w:rPr>
        <w:t>Contractor shall maintain: CGL $2M/$4M aggregate; Workers' Comp statutory limits; Employer's Liability $1M; Auto Liability $1M CSL; Builder's Risk full replacement cost. Owner named as additional insured on all policies.</w:t>
      </w:r>
    </w:p>
    <w:p>
      <w:pPr>
        <w:spacing w:before="280" w:after="80"/>
      </w:pPr>
      <w:r>
        <w:rPr>
          <w:b/>
          <w:color w:val="1F3864"/>
          <w:sz w:val="24"/>
        </w:rPr>
        <w:t>9. Indemnification</w:t>
      </w:r>
    </w:p>
    <w:p>
      <w:pPr>
        <w:spacing w:after="80"/>
      </w:pPr>
      <w:r>
        <w:rPr>
          <w:b w:val="0"/>
          <w:i w:val="0"/>
          <w:sz w:val="22"/>
        </w:rPr>
        <w:t>To the fullest extent permitted by law, Contractor shall indemnify, defend, and hold harmless Owner from any claims arising out of performance of the Work, to the extent caused by the negligent or wrongful acts or omissions of Contractor or its subcontractors.</w:t>
      </w:r>
    </w:p>
    <w:p>
      <w:pPr>
        <w:spacing w:before="280" w:after="80"/>
      </w:pPr>
      <w:r>
        <w:rPr>
          <w:b/>
          <w:color w:val="1F3864"/>
          <w:sz w:val="24"/>
        </w:rPr>
        <w:t>10. Termination</w:t>
      </w:r>
    </w:p>
    <w:p>
      <w:pPr>
        <w:spacing w:after="80"/>
      </w:pPr>
      <w:r>
        <w:rPr>
          <w:b w:val="0"/>
          <w:i w:val="0"/>
          <w:sz w:val="22"/>
        </w:rPr>
        <w:t>10.1 For Cause. Owner may terminate for persistent failure to supply labor or materials, failure to pay subcontractors, or material breach.</w:t>
      </w:r>
    </w:p>
    <w:p>
      <w:pPr>
        <w:spacing w:after="80"/>
      </w:pPr>
      <w:r>
        <w:rPr>
          <w:b w:val="0"/>
          <w:i w:val="0"/>
          <w:color w:val="C00000"/>
          <w:sz w:val="22"/>
        </w:rPr>
        <w:t>10.2 For Convenience. Upon termination for convenience, Contractor is entitled to payment for Work completed plus reasonable demobilization costs ONLY — no lost profits on unperformed Work.</w:t>
      </w:r>
    </w:p>
    <w:p>
      <w:pPr>
        <w:spacing w:before="280" w:after="80"/>
      </w:pPr>
      <w:r>
        <w:rPr>
          <w:b/>
          <w:color w:val="1F3864"/>
          <w:sz w:val="24"/>
        </w:rPr>
        <w:t>11. Dispute Resolution</w:t>
      </w:r>
    </w:p>
    <w:p>
      <w:pPr>
        <w:spacing w:after="80"/>
      </w:pPr>
      <w:r>
        <w:rPr>
          <w:b w:val="0"/>
          <w:i w:val="0"/>
          <w:sz w:val="22"/>
        </w:rPr>
        <w:t>11.1 Initial Resolution. Referred to Owner's Representative within 14 days.</w:t>
      </w:r>
    </w:p>
    <w:p>
      <w:pPr>
        <w:spacing w:after="80"/>
      </w:pPr>
      <w:r>
        <w:rPr>
          <w:b w:val="0"/>
          <w:i w:val="0"/>
          <w:sz w:val="22"/>
        </w:rPr>
        <w:t>11.2 Mediation. Non-binding mediation under AAA Construction Industry Mediation Rules.</w:t>
      </w:r>
    </w:p>
    <w:p>
      <w:pPr>
        <w:spacing w:after="80"/>
      </w:pPr>
      <w:r>
        <w:rPr>
          <w:b w:val="0"/>
          <w:i w:val="0"/>
          <w:sz w:val="22"/>
        </w:rPr>
        <w:t>11.3 Arbitration. Binding arbitration under AAA Construction Industry Rules. Venue: Atlanta, Georgia.</w:t>
      </w:r>
    </w:p>
    <w:p/>
    <w:p>
      <w:r>
        <w:rPr>
          <w:b/>
          <w:sz w:val="22"/>
        </w:rPr>
        <w:t>IN WITNESS WHEREOF, the parties have executed this Agreement as of the Effective Date.</w:t>
      </w:r>
    </w:p>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880"/>
        <w:gridCol w:w="2880"/>
        <w:gridCol w:w="2880"/>
      </w:tblGrid>
      <w:tr>
        <w:tc>
          <w:tcPr>
            <w:tcW w:type="dxa" w:w="4032"/>
          </w:tcPr>
          <w:p>
            <w:r>
              <w:rPr>
                <w:b/>
                <w:sz w:val="20"/>
              </w:rPr>
              <w:t>HARBOR POINT REAL ESTATE GROUP</w:t>
            </w:r>
          </w:p>
        </w:tc>
        <w:tc>
          <w:tcPr>
            <w:tcW w:type="dxa" w:w="2880"/>
          </w:tcPr>
          <w:p/>
        </w:tc>
        <w:tc>
          <w:tcPr>
            <w:tcW w:type="dxa" w:w="4032"/>
          </w:tcPr>
          <w:p>
            <w:r>
              <w:rPr>
                <w:b/>
                <w:sz w:val="20"/>
              </w:rPr>
              <w:t>IRONCLAD BUILD CORP.</w:t>
            </w:r>
          </w:p>
        </w:tc>
      </w:tr>
      <w:tr>
        <w:tc>
          <w:tcPr>
            <w:tcW w:type="dxa" w:w="4032"/>
          </w:tcPr>
          <w:p>
            <w:r>
              <w:rPr>
                <w:b w:val="0"/>
                <w:sz w:val="20"/>
              </w:rPr>
            </w:r>
          </w:p>
        </w:tc>
        <w:tc>
          <w:tcPr>
            <w:tcW w:type="dxa" w:w="2880"/>
          </w:tcPr>
          <w:p/>
        </w:tc>
        <w:tc>
          <w:tcPr>
            <w:tcW w:type="dxa" w:w="4032"/>
          </w:tcPr>
          <w:p>
            <w:r>
              <w:rPr>
                <w:b w:val="0"/>
                <w:sz w:val="20"/>
              </w:rPr>
            </w:r>
          </w:p>
        </w:tc>
      </w:tr>
      <w:tr>
        <w:tc>
          <w:tcPr>
            <w:tcW w:type="dxa" w:w="4032"/>
            <w:tcBdr>
              <w:top w:val="single" w:sz="4" w:color="000000"/>
            </w:tcBdr>
          </w:tcPr>
          <w:p>
            <w:r>
              <w:rPr>
                <w:b w:val="0"/>
                <w:sz w:val="20"/>
              </w:rPr>
            </w:r>
          </w:p>
        </w:tc>
        <w:tc>
          <w:tcPr>
            <w:tcW w:type="dxa" w:w="2880"/>
          </w:tcPr>
          <w:p/>
        </w:tc>
        <w:tc>
          <w:tcPr>
            <w:tcW w:type="dxa" w:w="4032"/>
            <w:tcBdr>
              <w:top w:val="single" w:sz="4" w:color="000000"/>
            </w:tcBdr>
          </w:tcPr>
          <w:p>
            <w:r>
              <w:rPr>
                <w:b w:val="0"/>
                <w:sz w:val="20"/>
              </w:rPr>
            </w:r>
          </w:p>
        </w:tc>
      </w:tr>
      <w:tr>
        <w:tc>
          <w:tcPr>
            <w:tcW w:type="dxa" w:w="4032"/>
          </w:tcPr>
          <w:p>
            <w:r>
              <w:rPr>
                <w:b w:val="0"/>
                <w:sz w:val="20"/>
              </w:rPr>
              <w:t>Name: ________________________</w:t>
            </w:r>
          </w:p>
        </w:tc>
        <w:tc>
          <w:tcPr>
            <w:tcW w:type="dxa" w:w="2880"/>
          </w:tcPr>
          <w:p/>
        </w:tc>
        <w:tc>
          <w:tcPr>
            <w:tcW w:type="dxa" w:w="4032"/>
          </w:tcPr>
          <w:p>
            <w:r>
              <w:rPr>
                <w:b w:val="0"/>
                <w:sz w:val="20"/>
              </w:rPr>
              <w:t>Name: ________________________</w:t>
            </w:r>
          </w:p>
        </w:tc>
      </w:tr>
      <w:tr>
        <w:tc>
          <w:tcPr>
            <w:tcW w:type="dxa" w:w="4032"/>
          </w:tcPr>
          <w:p>
            <w:r>
              <w:rPr>
                <w:b w:val="0"/>
                <w:sz w:val="20"/>
              </w:rPr>
              <w:t>Title: Managing Director</w:t>
            </w:r>
          </w:p>
        </w:tc>
        <w:tc>
          <w:tcPr>
            <w:tcW w:type="dxa" w:w="2880"/>
          </w:tcPr>
          <w:p/>
        </w:tc>
        <w:tc>
          <w:tcPr>
            <w:tcW w:type="dxa" w:w="4032"/>
          </w:tcPr>
          <w:p>
            <w:r>
              <w:rPr>
                <w:b w:val="0"/>
                <w:sz w:val="20"/>
              </w:rPr>
              <w:t>Title: President &amp; CEO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