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A5F"/>
          <w:sz w:val="64"/>
          <w:szCs w:val="64"/>
        </w:rPr>
        <w:t xml:space="preserve">ProcuraAI</w:t>
      </w:r>
    </w:p>
    <w:p>
      <w:pPr>
        <w:spacing w:after="60" w:before="120"/>
        <w:jc w:val="center"/>
      </w:pPr>
      <w:r>
        <w:rPr>
          <w:b/>
          <w:bCs/>
          <w:color w:val="B5651D"/>
          <w:sz w:val="34"/>
          <w:szCs w:val="34"/>
        </w:rPr>
        <w:t xml:space="preserve">Workflow Engine — Gold Standard Architecture Spec</w:t>
      </w:r>
    </w:p>
    <w:p>
      <w:pPr>
        <w:spacing w:after="60" w:before="60"/>
        <w:jc w:val="center"/>
      </w:pPr>
      <w:r>
        <w:rPr>
          <w:i/>
          <w:iCs/>
          <w:color w:val="5A6472"/>
          <w:sz w:val="22"/>
          <w:szCs w:val="22"/>
        </w:rPr>
        <w:t xml:space="preserve">Configurable, Enterprise-Grade Process Orchestration Engine — Generic Adapter Layer, Multi-Level Escalation, and Resilience Model</w:t>
      </w:r>
    </w:p>
    <w:p>
      <w:pPr>
        <w:spacing w:before="700"/>
        <w:jc w:val="center"/>
      </w:pPr>
      <w:r>
        <w:rPr>
          <w:color w:val="5A6472"/>
          <w:sz w:val="22"/>
          <w:szCs w:val="22"/>
        </w:rPr>
        <w:t xml:space="preserve">v3.0 — Implementation-Verified Revision</w:t>
      </w:r>
    </w:p>
    <w:p>
      <w:pPr>
        <w:jc w:val="center"/>
      </w:pPr>
      <w:r>
        <w:rPr>
          <w:color w:val="5A6472"/>
          <w:sz w:val="22"/>
          <w:szCs w:val="22"/>
        </w:rPr>
        <w:t xml:space="preserve">NexaEdge LLC</w:t>
      </w:r>
    </w:p>
    <w:p>
      <w:pPr>
        <w:jc w:val="center"/>
      </w:pPr>
      <w:r>
        <w:rPr>
          <w:color w:val="5A6472"/>
          <w:sz w:val="22"/>
          <w:szCs w:val="22"/>
        </w:rPr>
        <w:t xml:space="preserve">July 2026</w:t>
      </w:r>
    </w:p>
    <w:p>
      <w:r>
        <w:br w:type="page"/>
      </w:r>
    </w:p>
    <w:p>
      <w:pPr>
        <w:pStyle w:val="Heading1"/>
        <w:spacing w:after="160" w:before="360"/>
      </w:pPr>
      <w:r>
        <w:rPr>
          <w:b/>
          <w:bCs/>
          <w:color w:val="1F3A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A5F"/>
          <w:sz w:val="30"/>
          <w:szCs w:val="30"/>
        </w:rPr>
        <w:t xml:space="preserve">0. Revision Changelog (v1.0 → v2.0)</w:t>
      </w:r>
    </w:p>
    <w:p>
      <w:pPr>
        <w:spacing w:after="140" w:line="300"/>
      </w:pPr>
      <w:r>
        <w:rPr>
          <w:sz w:val="21"/>
          <w:szCs w:val="21"/>
        </w:rPr>
        <w:t xml:space="preserve">This revision incorporates architecture review feedback received on v1.0. Three independent reviews converged on the same core gaps — escalation lifecycle depth, transactional resilience for side effects, audit-by-snapshot, and a document-type-agnostic core — which is a strong signal these were real gaps rather than stylistic preferences.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200"/>
      </w:tblGrid>
      <w:tr>
        <w:trPr>
          <w:tblHeader/>
        </w:trPr>
        <w:tc>
          <w:tcPr>
            <w:tcW w:type="dxa" w:w="1800"/>
            <w:shd w:fill="1F3A5F" w:val="clear"/>
          </w:tcPr>
          <w:p>
            <w:r>
              <w:rPr>
                <w:b/>
                <w:bCs/>
                <w:color w:val="FFFFFF"/>
                <w:sz w:val="19"/>
                <w:szCs w:val="19"/>
              </w:rPr>
              <w:t xml:space="preserve">Area</w:t>
            </w:r>
          </w:p>
        </w:tc>
        <w:tc>
          <w:tcPr>
            <w:tcW w:type="dxa" w:w="4000"/>
            <w:shd w:fill="1F3A5F" w:val="clear"/>
          </w:tcPr>
          <w:p>
            <w:r>
              <w:rPr>
                <w:b/>
                <w:bCs/>
                <w:color w:val="FFFFFF"/>
                <w:sz w:val="19"/>
                <w:szCs w:val="19"/>
              </w:rPr>
              <w:t xml:space="preserve">v1.0 Gap</w:t>
            </w:r>
          </w:p>
        </w:tc>
        <w:tc>
          <w:tcPr>
            <w:tcW w:type="dxa" w:w="4200"/>
            <w:shd w:fill="1F3A5F" w:val="clear"/>
          </w:tcPr>
          <w:p>
            <w:r>
              <w:rPr>
                <w:b/>
                <w:bCs/>
                <w:color w:val="FFFFFF"/>
                <w:sz w:val="19"/>
                <w:szCs w:val="19"/>
              </w:rPr>
              <w:t xml:space="preserve">v2.0 Change</w:t>
            </w:r>
          </w:p>
        </w:tc>
      </w:tr>
      <w:tr>
        <w:tc>
          <w:tcPr>
            <w:tcW w:type="dxa" w:w="1800"/>
            <w:shd w:fill="FFFFFF" w:val="clear"/>
          </w:tcPr>
          <w:p>
            <w:r>
              <w:rPr>
                <w:sz w:val="19"/>
                <w:szCs w:val="19"/>
              </w:rPr>
              <w:t xml:space="preserve">Scope</w:t>
            </w:r>
          </w:p>
        </w:tc>
        <w:tc>
          <w:tcPr>
            <w:tcW w:type="dxa" w:w="4000"/>
            <w:shd w:fill="FFFFFF" w:val="clear"/>
          </w:tcPr>
          <w:p>
            <w:r>
              <w:rPr>
                <w:sz w:val="19"/>
                <w:szCs w:val="19"/>
              </w:rPr>
              <w:t xml:space="preserve">Engine described as S2P-specific</w:t>
            </w:r>
          </w:p>
        </w:tc>
        <w:tc>
          <w:tcPr>
            <w:tcW w:type="dxa" w:w="4200"/>
            <w:shd w:fill="FFFFFF" w:val="clear"/>
          </w:tcPr>
          <w:p>
            <w:r>
              <w:rPr>
                <w:sz w:val="19"/>
                <w:szCs w:val="19"/>
              </w:rPr>
              <w:t xml:space="preserve">Section 1: core state machine and rule language made document/agreement-type agnostic</w:t>
            </w:r>
          </w:p>
        </w:tc>
      </w:tr>
      <w:tr>
        <w:tc>
          <w:tcPr>
            <w:tcW w:type="dxa" w:w="1800"/>
            <w:shd w:fill="EEF1F5" w:val="clear"/>
          </w:tcPr>
          <w:p>
            <w:r>
              <w:rPr>
                <w:sz w:val="19"/>
                <w:szCs w:val="19"/>
              </w:rPr>
              <w:t xml:space="preserve">Escalation</w:t>
            </w:r>
          </w:p>
        </w:tc>
        <w:tc>
          <w:tcPr>
            <w:tcW w:type="dxa" w:w="4000"/>
            <w:shd w:fill="EEF1F5" w:val="clear"/>
          </w:tcPr>
          <w:p>
            <w:r>
              <w:rPr>
                <w:sz w:val="19"/>
                <w:szCs w:val="19"/>
              </w:rPr>
              <w:t xml:space="preserve">Single-level notify → admin</w:t>
            </w:r>
          </w:p>
        </w:tc>
        <w:tc>
          <w:tcPr>
            <w:tcW w:type="dxa" w:w="4200"/>
            <w:shd w:fill="EEF1F5" w:val="clear"/>
          </w:tcPr>
          <w:p>
            <w:r>
              <w:rPr>
                <w:sz w:val="19"/>
                <w:szCs w:val="19"/>
              </w:rPr>
              <w:t xml:space="preserve">Section 6: full multi-level escalation matrix, stop conditions, frequency policy, max depth</w:t>
            </w:r>
          </w:p>
        </w:tc>
      </w:tr>
      <w:tr>
        <w:tc>
          <w:tcPr>
            <w:tcW w:type="dxa" w:w="1800"/>
            <w:shd w:fill="FFFFFF" w:val="clear"/>
          </w:tcPr>
          <w:p>
            <w:r>
              <w:rPr>
                <w:sz w:val="19"/>
                <w:szCs w:val="19"/>
              </w:rPr>
              <w:t xml:space="preserve">Resilience</w:t>
            </w:r>
          </w:p>
        </w:tc>
        <w:tc>
          <w:tcPr>
            <w:tcW w:type="dxa" w:w="4000"/>
            <w:shd w:fill="FFFFFF" w:val="clear"/>
          </w:tcPr>
          <w:p>
            <w:r>
              <w:rPr>
                <w:sz w:val="19"/>
                <w:szCs w:val="19"/>
              </w:rPr>
              <w:t xml:space="preserve">Side-effect failure undefined</w:t>
            </w:r>
          </w:p>
        </w:tc>
        <w:tc>
          <w:tcPr>
            <w:tcW w:type="dxa" w:w="4200"/>
            <w:shd w:fill="FFFFFF" w:val="clear"/>
          </w:tcPr>
          <w:p>
            <w:r>
              <w:rPr>
                <w:sz w:val="19"/>
                <w:szCs w:val="19"/>
              </w:rPr>
              <w:t xml:space="preserve">Section 13 (new): Saga pattern, locking, crash recovery</w:t>
            </w:r>
          </w:p>
        </w:tc>
      </w:tr>
      <w:tr>
        <w:tc>
          <w:tcPr>
            <w:tcW w:type="dxa" w:w="1800"/>
            <w:shd w:fill="EEF1F5" w:val="clear"/>
          </w:tcPr>
          <w:p>
            <w:r>
              <w:rPr>
                <w:sz w:val="19"/>
                <w:szCs w:val="19"/>
              </w:rPr>
              <w:t xml:space="preserve">Audit</w:t>
            </w:r>
          </w:p>
        </w:tc>
        <w:tc>
          <w:tcPr>
            <w:tcW w:type="dxa" w:w="4000"/>
            <w:shd w:fill="EEF1F5" w:val="clear"/>
          </w:tcPr>
          <w:p>
            <w:r>
              <w:rPr>
                <w:sz w:val="19"/>
                <w:szCs w:val="19"/>
              </w:rPr>
              <w:t xml:space="preserve">Transition log lacked full context</w:t>
            </w:r>
          </w:p>
        </w:tc>
        <w:tc>
          <w:tcPr>
            <w:tcW w:type="dxa" w:w="4200"/>
            <w:shd w:fill="EEF1F5" w:val="clear"/>
          </w:tcPr>
          <w:p>
            <w:r>
              <w:rPr>
                <w:sz w:val="19"/>
                <w:szCs w:val="19"/>
              </w:rPr>
              <w:t xml:space="preserve">Section 10/12: ContextSnapshot field, audit-by-snapshot requirement</w:t>
            </w:r>
          </w:p>
        </w:tc>
      </w:tr>
      <w:tr>
        <w:tc>
          <w:tcPr>
            <w:tcW w:type="dxa" w:w="1800"/>
            <w:shd w:fill="FFFFFF" w:val="clear"/>
          </w:tcPr>
          <w:p>
            <w:r>
              <w:rPr>
                <w:sz w:val="19"/>
                <w:szCs w:val="19"/>
              </w:rPr>
              <w:t xml:space="preserve">Lifecycle</w:t>
            </w:r>
          </w:p>
        </w:tc>
        <w:tc>
          <w:tcPr>
            <w:tcW w:type="dxa" w:w="4000"/>
            <w:shd w:fill="FFFFFF" w:val="clear"/>
          </w:tcPr>
          <w:p>
            <w:r>
              <w:rPr>
                <w:sz w:val="19"/>
                <w:szCs w:val="19"/>
              </w:rPr>
              <w:t xml:space="preserve">No suspend/expire states</w:t>
            </w:r>
          </w:p>
        </w:tc>
        <w:tc>
          <w:tcPr>
            <w:tcW w:type="dxa" w:w="4200"/>
            <w:shd w:fill="FFFFFF" w:val="clear"/>
          </w:tcPr>
          <w:p>
            <w:r>
              <w:rPr>
                <w:sz w:val="19"/>
                <w:szCs w:val="19"/>
              </w:rPr>
              <w:t xml:space="preserve">Section 7 (new): Suspended, On Hold, stale-instance and expiration policy</w:t>
            </w:r>
          </w:p>
        </w:tc>
      </w:tr>
      <w:tr>
        <w:tc>
          <w:tcPr>
            <w:tcW w:type="dxa" w:w="1800"/>
            <w:shd w:fill="EEF1F5" w:val="clear"/>
          </w:tcPr>
          <w:p>
            <w:r>
              <w:rPr>
                <w:sz w:val="19"/>
                <w:szCs w:val="19"/>
              </w:rPr>
              <w:t xml:space="preserve">Admin</w:t>
            </w:r>
          </w:p>
        </w:tc>
        <w:tc>
          <w:tcPr>
            <w:tcW w:type="dxa" w:w="4000"/>
            <w:shd w:fill="EEF1F5" w:val="clear"/>
          </w:tcPr>
          <w:p>
            <w:r>
              <w:rPr>
                <w:sz w:val="19"/>
                <w:szCs w:val="19"/>
              </w:rPr>
              <w:t xml:space="preserve">No override actions defined</w:t>
            </w:r>
          </w:p>
        </w:tc>
        <w:tc>
          <w:tcPr>
            <w:tcW w:type="dxa" w:w="4200"/>
            <w:shd w:fill="EEF1F5" w:val="clear"/>
          </w:tcPr>
          <w:p>
            <w:r>
              <w:rPr>
                <w:sz w:val="19"/>
                <w:szCs w:val="19"/>
              </w:rPr>
              <w:t xml:space="preserve">Section 8 (new): Emergency override actions, fully audited</w:t>
            </w:r>
          </w:p>
        </w:tc>
      </w:tr>
      <w:tr>
        <w:tc>
          <w:tcPr>
            <w:tcW w:type="dxa" w:w="1800"/>
            <w:shd w:fill="FFFFFF" w:val="clear"/>
          </w:tcPr>
          <w:p>
            <w:r>
              <w:rPr>
                <w:sz w:val="19"/>
                <w:szCs w:val="19"/>
              </w:rPr>
              <w:t xml:space="preserve">Integration</w:t>
            </w:r>
          </w:p>
        </w:tc>
        <w:tc>
          <w:tcPr>
            <w:tcW w:type="dxa" w:w="4000"/>
            <w:shd w:fill="FFFFFF" w:val="clear"/>
          </w:tcPr>
          <w:p>
            <w:r>
              <w:rPr>
                <w:sz w:val="19"/>
                <w:szCs w:val="19"/>
              </w:rPr>
              <w:t xml:space="preserve">SAP/VIM-specific framing</w:t>
            </w:r>
          </w:p>
        </w:tc>
        <w:tc>
          <w:tcPr>
            <w:tcW w:type="dxa" w:w="4200"/>
            <w:shd w:fill="FFFFFF" w:val="clear"/>
          </w:tcPr>
          <w:p>
            <w:r>
              <w:rPr>
                <w:sz w:val="19"/>
                <w:szCs w:val="19"/>
              </w:rPr>
              <w:t xml:space="preserve">Section 9: reframed as generic adapter layer, SAP as first implementation</w:t>
            </w:r>
          </w:p>
        </w:tc>
      </w:tr>
      <w:tr>
        <w:tc>
          <w:tcPr>
            <w:tcW w:type="dxa" w:w="1800"/>
            <w:shd w:fill="EEF1F5" w:val="clear"/>
          </w:tcPr>
          <w:p>
            <w:r>
              <w:rPr>
                <w:sz w:val="19"/>
                <w:szCs w:val="19"/>
              </w:rPr>
              <w:t xml:space="preserve">AI Agents</w:t>
            </w:r>
          </w:p>
        </w:tc>
        <w:tc>
          <w:tcPr>
            <w:tcW w:type="dxa" w:w="4000"/>
            <w:shd w:fill="EEF1F5" w:val="clear"/>
          </w:tcPr>
          <w:p>
            <w:r>
              <w:rPr>
                <w:sz w:val="19"/>
                <w:szCs w:val="19"/>
              </w:rPr>
              <w:t xml:space="preserve">Confidence score/rationale only</w:t>
            </w:r>
          </w:p>
        </w:tc>
        <w:tc>
          <w:tcPr>
            <w:tcW w:type="dxa" w:w="4200"/>
            <w:shd w:fill="EEF1F5" w:val="clear"/>
          </w:tcPr>
          <w:p>
            <w:r>
              <w:rPr>
                <w:sz w:val="19"/>
                <w:szCs w:val="19"/>
              </w:rPr>
              <w:t xml:space="preserve">Section 5.4 (new): standardized context schema, prompt hashing, output validation</w:t>
            </w:r>
          </w:p>
        </w:tc>
      </w:tr>
      <w:tr>
        <w:tc>
          <w:tcPr>
            <w:tcW w:type="dxa" w:w="1800"/>
            <w:shd w:fill="FFFFFF" w:val="clear"/>
          </w:tcPr>
          <w:p>
            <w:r>
              <w:rPr>
                <w:sz w:val="19"/>
                <w:szCs w:val="19"/>
              </w:rPr>
              <w:t xml:space="preserve">Deployment</w:t>
            </w:r>
          </w:p>
        </w:tc>
        <w:tc>
          <w:tcPr>
            <w:tcW w:type="dxa" w:w="4000"/>
            <w:shd w:fill="FFFFFF" w:val="clear"/>
          </w:tcPr>
          <w:p>
            <w:r>
              <w:rPr>
                <w:sz w:val="19"/>
                <w:szCs w:val="19"/>
              </w:rPr>
              <w:t xml:space="preserve">Cloud-scale only</w:t>
            </w:r>
          </w:p>
        </w:tc>
        <w:tc>
          <w:tcPr>
            <w:tcW w:type="dxa" w:w="4200"/>
            <w:shd w:fill="FFFFFF" w:val="clear"/>
          </w:tcPr>
          <w:p>
            <w:r>
              <w:rPr>
                <w:sz w:val="19"/>
                <w:szCs w:val="19"/>
              </w:rPr>
              <w:t xml:space="preserve">Section 14 (new): containerized, NAS/edge to cloud portability</w:t>
            </w:r>
          </w:p>
        </w:tc>
      </w:tr>
      <w:tr>
        <w:tc>
          <w:tcPr>
            <w:tcW w:type="dxa" w:w="1800"/>
            <w:shd w:fill="EEF1F5" w:val="clear"/>
          </w:tcPr>
          <w:p>
            <w:r>
              <w:rPr>
                <w:sz w:val="19"/>
                <w:szCs w:val="19"/>
              </w:rPr>
              <w:t xml:space="preserve">Admin UX</w:t>
            </w:r>
          </w:p>
        </w:tc>
        <w:tc>
          <w:tcPr>
            <w:tcW w:type="dxa" w:w="4000"/>
            <w:shd w:fill="EEF1F5" w:val="clear"/>
          </w:tcPr>
          <w:p>
            <w:r>
              <w:rPr>
                <w:sz w:val="19"/>
                <w:szCs w:val="19"/>
              </w:rPr>
              <w:t xml:space="preserve">No no-code builder requirements</w:t>
            </w:r>
          </w:p>
        </w:tc>
        <w:tc>
          <w:tcPr>
            <w:tcW w:type="dxa" w:w="4200"/>
            <w:shd w:fill="EEF1F5" w:val="clear"/>
          </w:tcPr>
          <w:p>
            <w:r>
              <w:rPr>
                <w:sz w:val="19"/>
                <w:szCs w:val="19"/>
              </w:rPr>
              <w:t xml:space="preserve">Section 18 (new): visual workflow builder spec</w:t>
            </w:r>
          </w:p>
        </w:tc>
      </w:tr>
    </w:tbl>
    <w:p>
      <w:pPr>
        <w:pStyle w:val="Heading2"/>
        <w:spacing w:after="120" w:before="260"/>
      </w:pPr>
      <w:r>
        <w:rPr>
          <w:b/>
          <w:bCs/>
          <w:color w:val="1F3A5F"/>
          <w:sz w:val="24"/>
          <w:szCs w:val="24"/>
        </w:rPr>
        <w:t xml:space="preserve">0.2 Revision Changelog (v2.0 → v3.0)</w:t>
      </w:r>
    </w:p>
    <w:p>
      <w:pPr>
        <w:spacing w:after="140" w:line="300"/>
      </w:pPr>
      <w:r>
        <w:rPr>
          <w:sz w:val="21"/>
          <w:szCs w:val="21"/>
        </w:rPr>
        <w:t xml:space="preserve">This revision freezes the supervisor-cascade escalation requirement after it was built, tested (unit, e2e, and manual UI verification), and confirmed working end-to-end in the reference implementation. The requirement is documented here as-built rather than as originally imagined, since the implementation surfaced concrete decisions (fresh-clock-per-level, ceiling override, permanent Administrator backstop) that weren't fully specified in v2.0.</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600"/>
      </w:tblGrid>
      <w:tr>
        <w:trPr>
          <w:tblHeader/>
        </w:trPr>
        <w:tc>
          <w:tcPr>
            <w:tcW w:type="dxa" w:w="2200"/>
            <w:shd w:fill="1F3A5F" w:val="clear"/>
          </w:tcPr>
          <w:p>
            <w:r>
              <w:rPr>
                <w:b/>
                <w:bCs/>
                <w:color w:val="FFFFFF"/>
                <w:sz w:val="19"/>
                <w:szCs w:val="19"/>
              </w:rPr>
              <w:t xml:space="preserve">Area</w:t>
            </w:r>
          </w:p>
        </w:tc>
        <w:tc>
          <w:tcPr>
            <w:tcW w:type="dxa" w:w="4200"/>
            <w:shd w:fill="1F3A5F" w:val="clear"/>
          </w:tcPr>
          <w:p>
            <w:r>
              <w:rPr>
                <w:b/>
                <w:bCs/>
                <w:color w:val="FFFFFF"/>
                <w:sz w:val="19"/>
                <w:szCs w:val="19"/>
              </w:rPr>
              <w:t xml:space="preserve">v2.0 State</w:t>
            </w:r>
          </w:p>
        </w:tc>
        <w:tc>
          <w:tcPr>
            <w:tcW w:type="dxa" w:w="4600"/>
            <w:shd w:fill="1F3A5F" w:val="clear"/>
          </w:tcPr>
          <w:p>
            <w:r>
              <w:rPr>
                <w:b/>
                <w:bCs/>
                <w:color w:val="FFFFFF"/>
                <w:sz w:val="19"/>
                <w:szCs w:val="19"/>
              </w:rPr>
              <w:t xml:space="preserve">v3.0 Change</w:t>
            </w:r>
          </w:p>
        </w:tc>
      </w:tr>
      <w:tr>
        <w:tc>
          <w:tcPr>
            <w:tcW w:type="dxa" w:w="2200"/>
            <w:shd w:fill="FFFFFF" w:val="clear"/>
          </w:tcPr>
          <w:p>
            <w:r>
              <w:rPr>
                <w:sz w:val="19"/>
                <w:szCs w:val="19"/>
              </w:rPr>
              <w:t xml:space="preserve">Escalation</w:t>
            </w:r>
          </w:p>
        </w:tc>
        <w:tc>
          <w:tcPr>
            <w:tcW w:type="dxa" w:w="4200"/>
            <w:shd w:fill="FFFFFF" w:val="clear"/>
          </w:tcPr>
          <w:p>
            <w:r>
              <w:rPr>
                <w:sz w:val="19"/>
                <w:szCs w:val="19"/>
              </w:rPr>
              <w:t xml:space="preserve">Notify-only ladder (Section 6.2-6.12); no reassignment mechanism</w:t>
            </w:r>
          </w:p>
        </w:tc>
        <w:tc>
          <w:tcPr>
            <w:tcW w:type="dxa" w:w="4600"/>
            <w:shd w:fill="FFFFFF" w:val="clear"/>
          </w:tcPr>
          <w:p>
            <w:r>
              <w:rPr>
                <w:sz w:val="19"/>
                <w:szCs w:val="19"/>
              </w:rPr>
              <w:t xml:space="preserve">Section 6.13 (new): supervisor-cascade reassignment, a second, independent escalation mechanism</w:t>
            </w:r>
          </w:p>
        </w:tc>
      </w:tr>
      <w:tr>
        <w:tc>
          <w:tcPr>
            <w:tcW w:type="dxa" w:w="2200"/>
            <w:shd w:fill="EEF1F5" w:val="clear"/>
          </w:tcPr>
          <w:p>
            <w:r>
              <w:rPr>
                <w:sz w:val="19"/>
                <w:szCs w:val="19"/>
              </w:rPr>
              <w:t xml:space="preserve">Data Model</w:t>
            </w:r>
          </w:p>
        </w:tc>
        <w:tc>
          <w:tcPr>
            <w:tcW w:type="dxa" w:w="4200"/>
            <w:shd w:fill="EEF1F5" w:val="clear"/>
          </w:tcPr>
          <w:p>
            <w:r>
              <w:rPr>
                <w:sz w:val="19"/>
                <w:szCs w:val="19"/>
              </w:rPr>
              <w:t xml:space="preserve">AvailabilityRecord had delegateId only</w:t>
            </w:r>
          </w:p>
        </w:tc>
        <w:tc>
          <w:tcPr>
            <w:tcW w:type="dxa" w:w="4600"/>
            <w:shd w:fill="EEF1F5" w:val="clear"/>
          </w:tcPr>
          <w:p>
            <w:r>
              <w:rPr>
                <w:sz w:val="19"/>
                <w:szCs w:val="19"/>
              </w:rPr>
              <w:t xml:space="preserve">Adds supervisorId and isEscalationCeiling; WorkflowTemplate adds administratorUserId</w:t>
            </w:r>
          </w:p>
        </w:tc>
      </w:tr>
      <w:tr>
        <w:tc>
          <w:tcPr>
            <w:tcW w:type="dxa" w:w="2200"/>
            <w:shd w:fill="FFFFFF" w:val="clear"/>
          </w:tcPr>
          <w:p>
            <w:r>
              <w:rPr>
                <w:sz w:val="19"/>
                <w:szCs w:val="19"/>
              </w:rPr>
              <w:t xml:space="preserve">Fail-safe backstop</w:t>
            </w:r>
          </w:p>
        </w:tc>
        <w:tc>
          <w:tcPr>
            <w:tcW w:type="dxa" w:w="4200"/>
            <w:shd w:fill="FFFFFF" w:val="clear"/>
          </w:tcPr>
          <w:p>
            <w:r>
              <w:rPr>
                <w:sz w:val="19"/>
                <w:szCs w:val="19"/>
              </w:rPr>
              <w:t xml:space="preserve">Chain-exhaustion routed to Escalated with no assignee</w:t>
            </w:r>
          </w:p>
        </w:tc>
        <w:tc>
          <w:tcPr>
            <w:tcW w:type="dxa" w:w="4600"/>
            <w:shd w:fill="FFFFFF" w:val="clear"/>
          </w:tcPr>
          <w:p>
            <w:r>
              <w:rPr>
                <w:sz w:val="19"/>
                <w:szCs w:val="19"/>
              </w:rPr>
              <w:t xml:space="preserve">Now always resolves to a real Administrator StepAssignment — no orphaned terminal state</w:t>
            </w:r>
          </w:p>
        </w:tc>
      </w:tr>
    </w:tbl>
    <w:p>
      <w:pPr>
        <w:pStyle w:val="Heading1"/>
        <w:spacing w:after="160" w:before="360"/>
      </w:pPr>
      <w:r>
        <w:rPr>
          <w:b/>
          <w:bCs/>
          <w:color w:val="1F3A5F"/>
          <w:sz w:val="30"/>
          <w:szCs w:val="30"/>
        </w:rPr>
        <w:t xml:space="preserve">1. Purpose &amp; Scope</w:t>
      </w:r>
    </w:p>
    <w:p>
      <w:pPr>
        <w:spacing w:after="140" w:line="300"/>
      </w:pPr>
      <w:r>
        <w:rPr>
          <w:sz w:val="21"/>
          <w:szCs w:val="21"/>
        </w:rPr>
        <w:t xml:space="preserve">The ProcuraAI Workflow Engine is the orchestration core that drives every stateful, multi-actor process across the Source-to-Pay lifecycle — Purchase Requisition (PR) approval, Purchase Order (PO) issuance, Goods Receipt (GRN) confirmation, and Invoice approval/matching. It is designed as a standalone, embeddable engine rather than a feature bolted onto any single module.</w:t>
      </w:r>
    </w:p>
    <w:p>
      <w:pPr>
        <w:pStyle w:val="Heading2"/>
        <w:spacing w:after="120" w:before="260"/>
      </w:pPr>
      <w:r>
        <w:rPr>
          <w:b/>
          <w:bCs/>
          <w:color w:val="1F3A5F"/>
          <w:sz w:val="24"/>
          <w:szCs w:val="24"/>
        </w:rPr>
        <w:t xml:space="preserve">1.1 Document-Type-Agnostic Core</w:t>
      </w:r>
    </w:p>
    <w:p>
      <w:pPr>
        <w:spacing w:after="140" w:line="300"/>
      </w:pPr>
      <w:r>
        <w:rPr>
          <w:sz w:val="21"/>
          <w:szCs w:val="21"/>
        </w:rPr>
        <w:t xml:space="preserve">Per architecture review, the state machine, rule expression language, and context schema at the core data layer carry no procurement-specific terminology. A WorkflowInstance's context is an opaque, tenant-defined JSON payload; guard conditions reference context fields generically. This means the identical orchestrator core can drive an NDA approval, a generic legal-agreement review, or a sales-contract sign-off — ContractRiskEdge's contract-side workflows are a separate product surface today (see the companion ContractRiskEdge Workflow Engine spec) but both can, in principle, sit on the same underlying orchestrator without either being aware of the other's domain vocabulary.</w:t>
      </w:r>
    </w:p>
    <w:p>
      <w:pPr>
        <w:pStyle w:val="Heading2"/>
        <w:spacing w:after="120" w:before="260"/>
      </w:pPr>
      <w:r>
        <w:rPr>
          <w:b/>
          <w:bCs/>
          <w:color w:val="1F3A5F"/>
          <w:sz w:val="24"/>
          <w:szCs w:val="24"/>
        </w:rPr>
        <w:t xml:space="preserve">1.2 Relationship to Existing ProcuraAI Modules</w:t>
      </w:r>
    </w:p>
    <w:p>
      <w:pPr>
        <w:spacing w:after="140" w:line="300"/>
      </w:pPr>
      <w:r>
        <w:rPr>
          <w:sz w:val="21"/>
          <w:szCs w:val="21"/>
        </w:rPr>
        <w:t xml:space="preserve">This spec extends, rather than replaces, the module-specific work already defined in the Supplier Lifecycle design and the Gold Standard S2P Architecture Spec. Those documents define what each module needs to happen; this spec defines how any multi-step, multi-actor process gets executed, tracked, escalated, and audited.</w:t>
      </w:r>
    </w:p>
    <w:p>
      <w:pPr>
        <w:pStyle w:val="Heading2"/>
        <w:spacing w:after="120" w:before="260"/>
      </w:pPr>
      <w:r>
        <w:rPr>
          <w:b/>
          <w:bCs/>
          <w:color w:val="1F3A5F"/>
          <w:sz w:val="24"/>
          <w:szCs w:val="24"/>
        </w:rPr>
        <w:t xml:space="preserve">1.3 In Scope</w:t>
      </w:r>
    </w:p>
    <w:p>
      <w:pPr>
        <w:pStyle w:val="ListParagraph"/>
        <w:numPr>
          <w:ilvl w:val="0"/>
          <w:numId w:val="2"/>
        </w:numPr>
        <w:spacing w:after="80" w:line="280"/>
      </w:pPr>
      <w:r>
        <w:rPr>
          <w:sz w:val="21"/>
          <w:szCs w:val="21"/>
        </w:rPr>
        <w:t xml:space="preserve">State-machine-driven workflow execution for PR, PO, GRN, and Invoice approval chains, and any other document type expressed through the same generic context schema</w:t>
      </w:r>
    </w:p>
    <w:p>
      <w:pPr>
        <w:pStyle w:val="ListParagraph"/>
        <w:numPr>
          <w:ilvl w:val="0"/>
          <w:numId w:val="2"/>
        </w:numPr>
        <w:spacing w:after="80" w:line="280"/>
      </w:pPr>
      <w:r>
        <w:rPr>
          <w:sz w:val="21"/>
          <w:szCs w:val="21"/>
        </w:rPr>
        <w:t xml:space="preserve">Tenant- and template-level configuration of workflow shape (steps, conditions, thresholds)</w:t>
      </w:r>
    </w:p>
    <w:p>
      <w:pPr>
        <w:pStyle w:val="ListParagraph"/>
        <w:numPr>
          <w:ilvl w:val="0"/>
          <w:numId w:val="2"/>
        </w:numPr>
        <w:spacing w:after="80" w:line="280"/>
      </w:pPr>
      <w:r>
        <w:rPr>
          <w:sz w:val="21"/>
          <w:szCs w:val="21"/>
        </w:rPr>
        <w:t xml:space="preserve">Human approver and AI-agent approver participation, including auto-fallback on unavailability</w:t>
      </w:r>
    </w:p>
    <w:p>
      <w:pPr>
        <w:pStyle w:val="ListParagraph"/>
        <w:numPr>
          <w:ilvl w:val="0"/>
          <w:numId w:val="2"/>
        </w:numPr>
        <w:spacing w:after="80" w:line="280"/>
      </w:pPr>
      <w:r>
        <w:rPr>
          <w:sz w:val="21"/>
          <w:szCs w:val="21"/>
        </w:rPr>
        <w:t xml:space="preserve">Multi-level SLA/escalation lifecycle with configurable stop conditions and notification policy</w:t>
      </w:r>
    </w:p>
    <w:p>
      <w:pPr>
        <w:pStyle w:val="ListParagraph"/>
        <w:numPr>
          <w:ilvl w:val="0"/>
          <w:numId w:val="2"/>
        </w:numPr>
        <w:spacing w:after="80" w:line="280"/>
      </w:pPr>
      <w:r>
        <w:rPr>
          <w:sz w:val="21"/>
          <w:szCs w:val="21"/>
        </w:rPr>
        <w:t xml:space="preserve">Full audit trail sufficient for SOX and Segregation-of-Duties (SoD) reporting, captured by snapshot</w:t>
      </w:r>
    </w:p>
    <w:p>
      <w:pPr>
        <w:pStyle w:val="ListParagraph"/>
        <w:numPr>
          <w:ilvl w:val="0"/>
          <w:numId w:val="2"/>
        </w:numPr>
        <w:spacing w:after="80" w:line="280"/>
      </w:pPr>
      <w:r>
        <w:rPr>
          <w:sz w:val="21"/>
          <w:szCs w:val="21"/>
        </w:rPr>
        <w:t xml:space="preserve">Generic adapter contracts for downstream systems (SAP Ariba/VIM/S4HANA as first implementations)</w:t>
      </w:r>
    </w:p>
    <w:p>
      <w:pPr>
        <w:pStyle w:val="Heading2"/>
        <w:spacing w:after="120" w:before="260"/>
      </w:pPr>
      <w:r>
        <w:rPr>
          <w:b/>
          <w:bCs/>
          <w:color w:val="1F3A5F"/>
          <w:sz w:val="24"/>
          <w:szCs w:val="24"/>
        </w:rPr>
        <w:t xml:space="preserve">1.4 Out of Scope</w:t>
      </w:r>
    </w:p>
    <w:p>
      <w:pPr>
        <w:pStyle w:val="ListParagraph"/>
        <w:numPr>
          <w:ilvl w:val="0"/>
          <w:numId w:val="2"/>
        </w:numPr>
        <w:spacing w:after="80" w:line="280"/>
      </w:pPr>
      <w:r>
        <w:rPr>
          <w:sz w:val="21"/>
          <w:szCs w:val="21"/>
        </w:rPr>
        <w:t xml:space="preserve">Module-specific UI rendering — the engine provides state and metadata only; the consuming application dynamically renders its own UI from current workflow state</w:t>
      </w:r>
    </w:p>
    <w:p>
      <w:pPr>
        <w:pStyle w:val="ListParagraph"/>
        <w:numPr>
          <w:ilvl w:val="0"/>
          <w:numId w:val="2"/>
        </w:numPr>
        <w:spacing w:after="80" w:line="280"/>
      </w:pPr>
      <w:r>
        <w:rPr>
          <w:sz w:val="21"/>
          <w:szCs w:val="21"/>
        </w:rPr>
        <w:t xml:space="preserve">Document content generation (handled by the relevant module, e.g. PO document rendering)</w:t>
      </w:r>
    </w:p>
    <w:p>
      <w:pPr>
        <w:pStyle w:val="ListParagraph"/>
        <w:numPr>
          <w:ilvl w:val="0"/>
          <w:numId w:val="2"/>
        </w:numPr>
        <w:spacing w:after="80" w:line="280"/>
      </w:pPr>
      <w:r>
        <w:rPr>
          <w:sz w:val="21"/>
          <w:szCs w:val="21"/>
        </w:rPr>
        <w:t xml:space="preserve">Master data management (supplier, item, cost-center data lives upstream)</w:t>
      </w:r>
    </w:p>
    <w:p>
      <w:pPr>
        <w:pStyle w:val="Heading1"/>
        <w:spacing w:after="160" w:before="360"/>
      </w:pPr>
      <w:r>
        <w:rPr>
          <w:b/>
          <w:bCs/>
          <w:color w:val="1F3A5F"/>
          <w:sz w:val="30"/>
          <w:szCs w:val="30"/>
        </w:rPr>
        <w:t xml:space="preserve">2. Design Principles</w:t>
      </w:r>
    </w:p>
    <w:p>
      <w:pPr>
        <w:pStyle w:val="Heading3"/>
        <w:spacing w:after="100" w:before="200"/>
      </w:pPr>
      <w:r>
        <w:rPr>
          <w:b/>
          <w:bCs/>
          <w:color w:val="B5651D"/>
          <w:sz w:val="22"/>
          <w:szCs w:val="22"/>
        </w:rPr>
        <w:t xml:space="preserve">Configuration over code</w:t>
      </w:r>
    </w:p>
    <w:p>
      <w:pPr>
        <w:spacing w:after="140" w:line="300"/>
      </w:pPr>
      <w:r>
        <w:rPr>
          <w:sz w:val="21"/>
          <w:szCs w:val="21"/>
        </w:rPr>
        <w:t xml:space="preserve">Every workflow shape is tenant-owned configuration, never hardcoded per deployment.</w:t>
      </w:r>
    </w:p>
    <w:p>
      <w:pPr>
        <w:pStyle w:val="Heading3"/>
        <w:spacing w:after="100" w:before="200"/>
      </w:pPr>
      <w:r>
        <w:rPr>
          <w:b/>
          <w:bCs/>
          <w:color w:val="B5651D"/>
          <w:sz w:val="22"/>
          <w:szCs w:val="22"/>
        </w:rPr>
        <w:t xml:space="preserve">Deterministic state transitions</w:t>
      </w:r>
    </w:p>
    <w:p>
      <w:pPr>
        <w:spacing w:after="140" w:line="300"/>
      </w:pPr>
      <w:r>
        <w:rPr>
          <w:sz w:val="21"/>
          <w:szCs w:val="21"/>
        </w:rPr>
        <w:t xml:space="preserve">Every transition is a pure function of (current state, event, guard conditions).</w:t>
      </w:r>
    </w:p>
    <w:p>
      <w:pPr>
        <w:pStyle w:val="Heading3"/>
        <w:spacing w:after="100" w:before="200"/>
      </w:pPr>
      <w:r>
        <w:rPr>
          <w:b/>
          <w:bCs/>
          <w:color w:val="B5651D"/>
          <w:sz w:val="22"/>
          <w:szCs w:val="22"/>
        </w:rPr>
        <w:t xml:space="preserve">Human + AI hybrid actors</w:t>
      </w:r>
    </w:p>
    <w:p>
      <w:pPr>
        <w:spacing w:after="140" w:line="300"/>
      </w:pPr>
      <w:r>
        <w:rPr>
          <w:sz w:val="21"/>
          <w:szCs w:val="21"/>
        </w:rPr>
        <w:t xml:space="preserve">Human and AI-agent approvers share the same task/assignment contract.</w:t>
      </w:r>
    </w:p>
    <w:p>
      <w:pPr>
        <w:pStyle w:val="Heading3"/>
        <w:spacing w:after="100" w:before="200"/>
      </w:pPr>
      <w:r>
        <w:rPr>
          <w:b/>
          <w:bCs/>
          <w:color w:val="B5651D"/>
          <w:sz w:val="22"/>
          <w:szCs w:val="22"/>
        </w:rPr>
        <w:t xml:space="preserve">Tenant isolation by default</w:t>
      </w:r>
    </w:p>
    <w:p>
      <w:pPr>
        <w:spacing w:after="140" w:line="300"/>
      </w:pPr>
      <w:r>
        <w:rPr>
          <w:sz w:val="21"/>
          <w:szCs w:val="21"/>
        </w:rPr>
        <w:t xml:space="preserve">No workflow definition, instance, or audit record is ever queryable across tenant boundaries.</w:t>
      </w:r>
    </w:p>
    <w:p>
      <w:pPr>
        <w:pStyle w:val="Heading3"/>
        <w:spacing w:after="100" w:before="200"/>
      </w:pPr>
      <w:r>
        <w:rPr>
          <w:b/>
          <w:bCs/>
          <w:color w:val="B5651D"/>
          <w:sz w:val="22"/>
          <w:szCs w:val="22"/>
        </w:rPr>
        <w:t xml:space="preserve">Auditable by construction</w:t>
      </w:r>
    </w:p>
    <w:p>
      <w:pPr>
        <w:spacing w:after="140" w:line="300"/>
      </w:pPr>
      <w:r>
        <w:rPr>
          <w:sz w:val="21"/>
          <w:szCs w:val="21"/>
        </w:rPr>
        <w:t xml:space="preserve">Every state transition, reassignment, and configuration change is appended to an immutable log, captured by full-context snapshot.</w:t>
      </w:r>
    </w:p>
    <w:p>
      <w:pPr>
        <w:pStyle w:val="Heading3"/>
        <w:spacing w:after="100" w:before="200"/>
      </w:pPr>
      <w:r>
        <w:rPr>
          <w:b/>
          <w:bCs/>
          <w:color w:val="B5651D"/>
          <w:sz w:val="22"/>
          <w:szCs w:val="22"/>
        </w:rPr>
        <w:t xml:space="preserve">Fail-safe, not fail-open</w:t>
      </w:r>
    </w:p>
    <w:p>
      <w:pPr>
        <w:spacing w:after="140" w:line="300"/>
      </w:pPr>
      <w:r>
        <w:rPr>
          <w:sz w:val="21"/>
          <w:szCs w:val="21"/>
        </w:rPr>
        <w:t xml:space="preserve">Ambiguous or unavailable rules/approvers/integrations escalate to a human rather than silently auto-approving.</w:t>
      </w:r>
    </w:p>
    <w:p>
      <w:pPr>
        <w:pStyle w:val="Heading3"/>
        <w:spacing w:after="100" w:before="200"/>
      </w:pPr>
      <w:r>
        <w:rPr>
          <w:b/>
          <w:bCs/>
          <w:color w:val="B5651D"/>
          <w:sz w:val="22"/>
          <w:szCs w:val="22"/>
        </w:rPr>
        <w:t xml:space="preserve">Resilient by design</w:t>
      </w:r>
    </w:p>
    <w:p>
      <w:pPr>
        <w:spacing w:after="140" w:line="300"/>
      </w:pPr>
      <w:r>
        <w:rPr>
          <w:sz w:val="21"/>
          <w:szCs w:val="21"/>
        </w:rPr>
        <w:t xml:space="preserve">Side effects and downstream calls are transactional or compensable; the engine never leaves an instance in an ambiguous state after a partial failure.</w:t>
      </w:r>
    </w:p>
    <w:p>
      <w:pPr>
        <w:pStyle w:val="Heading1"/>
        <w:spacing w:after="160" w:before="360"/>
      </w:pPr>
      <w:r>
        <w:rPr>
          <w:b/>
          <w:bCs/>
          <w:color w:val="1F3A5F"/>
          <w:sz w:val="30"/>
          <w:szCs w:val="30"/>
        </w:rPr>
        <w:t xml:space="preserve">3. Workflow Model</w:t>
      </w:r>
    </w:p>
    <w:p>
      <w:pPr>
        <w:spacing w:after="140" w:line="300"/>
      </w:pPr>
      <w:r>
        <w:rPr>
          <w:sz w:val="21"/>
          <w:szCs w:val="21"/>
        </w:rPr>
        <w:t xml:space="preserve">The engine is a configurable finite-state machine (FSM) framework: each workflow template defines a directed graph of states and transitions; each running process is an instance of that graph carrying its own context.</w:t>
      </w:r>
    </w:p>
    <w:p>
      <w:pPr>
        <w:pStyle w:val="Heading2"/>
        <w:spacing w:after="120" w:before="260"/>
      </w:pPr>
      <w:r>
        <w:rPr>
          <w:b/>
          <w:bCs/>
          <w:color w:val="1F3A5F"/>
          <w:sz w:val="24"/>
          <w:szCs w:val="24"/>
        </w:rPr>
        <w:t xml:space="preserve">3.1 Core State Model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2300"/>
      </w:tblGrid>
      <w:tr>
        <w:trPr>
          <w:tblHeader/>
        </w:trPr>
        <w:tc>
          <w:tcPr>
            <w:tcW w:type="dxa" w:w="2400"/>
            <w:shd w:fill="1F3A5F" w:val="clear"/>
          </w:tcPr>
          <w:p>
            <w:r>
              <w:rPr>
                <w:b/>
                <w:bCs/>
                <w:color w:val="FFFFFF"/>
                <w:sz w:val="19"/>
                <w:szCs w:val="19"/>
              </w:rPr>
              <w:t xml:space="preserve">State</w:t>
            </w:r>
          </w:p>
        </w:tc>
        <w:tc>
          <w:tcPr>
            <w:tcW w:type="dxa" w:w="5300"/>
            <w:shd w:fill="1F3A5F" w:val="clear"/>
          </w:tcPr>
          <w:p>
            <w:r>
              <w:rPr>
                <w:b/>
                <w:bCs/>
                <w:color w:val="FFFFFF"/>
                <w:sz w:val="19"/>
                <w:szCs w:val="19"/>
              </w:rPr>
              <w:t xml:space="preserve">Description</w:t>
            </w:r>
          </w:p>
        </w:tc>
        <w:tc>
          <w:tcPr>
            <w:tcW w:type="dxa" w:w="2300"/>
            <w:shd w:fill="1F3A5F" w:val="clear"/>
          </w:tcPr>
          <w:p>
            <w:r>
              <w:rPr>
                <w:b/>
                <w:bCs/>
                <w:color w:val="FFFFFF"/>
                <w:sz w:val="19"/>
                <w:szCs w:val="19"/>
              </w:rPr>
              <w:t xml:space="preserve">Typical Entry Actor</w:t>
            </w:r>
          </w:p>
        </w:tc>
      </w:tr>
      <w:tr>
        <w:tc>
          <w:tcPr>
            <w:tcW w:type="dxa" w:w="2400"/>
            <w:shd w:fill="FFFFFF" w:val="clear"/>
          </w:tcPr>
          <w:p>
            <w:r>
              <w:rPr>
                <w:sz w:val="19"/>
                <w:szCs w:val="19"/>
              </w:rPr>
              <w:t xml:space="preserve">Draft</w:t>
            </w:r>
          </w:p>
        </w:tc>
        <w:tc>
          <w:tcPr>
            <w:tcW w:type="dxa" w:w="5300"/>
            <w:shd w:fill="FFFFFF" w:val="clear"/>
          </w:tcPr>
          <w:p>
            <w:r>
              <w:rPr>
                <w:sz w:val="19"/>
                <w:szCs w:val="19"/>
              </w:rPr>
              <w:t xml:space="preserve">Instance created, not yet submitted</w:t>
            </w:r>
          </w:p>
        </w:tc>
        <w:tc>
          <w:tcPr>
            <w:tcW w:type="dxa" w:w="2300"/>
            <w:shd w:fill="FFFFFF" w:val="clear"/>
          </w:tcPr>
          <w:p>
            <w:r>
              <w:rPr>
                <w:sz w:val="19"/>
                <w:szCs w:val="19"/>
              </w:rPr>
              <w:t xml:space="preserve">Requester</w:t>
            </w:r>
          </w:p>
        </w:tc>
      </w:tr>
      <w:tr>
        <w:tc>
          <w:tcPr>
            <w:tcW w:type="dxa" w:w="2400"/>
            <w:shd w:fill="EEF1F5" w:val="clear"/>
          </w:tcPr>
          <w:p>
            <w:r>
              <w:rPr>
                <w:sz w:val="19"/>
                <w:szCs w:val="19"/>
              </w:rPr>
              <w:t xml:space="preserve">Pending Approval</w:t>
            </w:r>
          </w:p>
        </w:tc>
        <w:tc>
          <w:tcPr>
            <w:tcW w:type="dxa" w:w="5300"/>
            <w:shd w:fill="EEF1F5" w:val="clear"/>
          </w:tcPr>
          <w:p>
            <w:r>
              <w:rPr>
                <w:sz w:val="19"/>
                <w:szCs w:val="19"/>
              </w:rPr>
              <w:t xml:space="preserve">Awaiting action from current step's assignee(s)</w:t>
            </w:r>
          </w:p>
        </w:tc>
        <w:tc>
          <w:tcPr>
            <w:tcW w:type="dxa" w:w="2300"/>
            <w:shd w:fill="EEF1F5" w:val="clear"/>
          </w:tcPr>
          <w:p>
            <w:r>
              <w:rPr>
                <w:sz w:val="19"/>
                <w:szCs w:val="19"/>
              </w:rPr>
              <w:t xml:space="preserve">Approver / AI Agent</w:t>
            </w:r>
          </w:p>
        </w:tc>
      </w:tr>
      <w:tr>
        <w:tc>
          <w:tcPr>
            <w:tcW w:type="dxa" w:w="2400"/>
            <w:shd w:fill="FFFFFF" w:val="clear"/>
          </w:tcPr>
          <w:p>
            <w:r>
              <w:rPr>
                <w:sz w:val="19"/>
                <w:szCs w:val="19"/>
              </w:rPr>
              <w:t xml:space="preserve">Escalated</w:t>
            </w:r>
          </w:p>
        </w:tc>
        <w:tc>
          <w:tcPr>
            <w:tcW w:type="dxa" w:w="5300"/>
            <w:shd w:fill="FFFFFF" w:val="clear"/>
          </w:tcPr>
          <w:p>
            <w:r>
              <w:rPr>
                <w:sz w:val="19"/>
                <w:szCs w:val="19"/>
              </w:rPr>
              <w:t xml:space="preserve">SLA breached or unavailability triggered fallback routing</w:t>
            </w:r>
          </w:p>
        </w:tc>
        <w:tc>
          <w:tcPr>
            <w:tcW w:type="dxa" w:w="2300"/>
            <w:shd w:fill="FFFFFF" w:val="clear"/>
          </w:tcPr>
          <w:p>
            <w:r>
              <w:rPr>
                <w:sz w:val="19"/>
                <w:szCs w:val="19"/>
              </w:rPr>
              <w:t xml:space="preserve">Fallback Group / Admin</w:t>
            </w:r>
          </w:p>
        </w:tc>
      </w:tr>
      <w:tr>
        <w:tc>
          <w:tcPr>
            <w:tcW w:type="dxa" w:w="2400"/>
            <w:shd w:fill="EEF1F5" w:val="clear"/>
          </w:tcPr>
          <w:p>
            <w:r>
              <w:rPr>
                <w:sz w:val="19"/>
                <w:szCs w:val="19"/>
              </w:rPr>
              <w:t xml:space="preserve">Changes Requested</w:t>
            </w:r>
          </w:p>
        </w:tc>
        <w:tc>
          <w:tcPr>
            <w:tcW w:type="dxa" w:w="5300"/>
            <w:shd w:fill="EEF1F5" w:val="clear"/>
          </w:tcPr>
          <w:p>
            <w:r>
              <w:rPr>
                <w:sz w:val="19"/>
                <w:szCs w:val="19"/>
              </w:rPr>
              <w:t xml:space="preserve">Sent back to requester or prior step for revision, with mandatory comment</w:t>
            </w:r>
          </w:p>
        </w:tc>
        <w:tc>
          <w:tcPr>
            <w:tcW w:type="dxa" w:w="2300"/>
            <w:shd w:fill="EEF1F5" w:val="clear"/>
          </w:tcPr>
          <w:p>
            <w:r>
              <w:rPr>
                <w:sz w:val="19"/>
                <w:szCs w:val="19"/>
              </w:rPr>
              <w:t xml:space="preserve">Approver</w:t>
            </w:r>
          </w:p>
        </w:tc>
      </w:tr>
      <w:tr>
        <w:tc>
          <w:tcPr>
            <w:tcW w:type="dxa" w:w="2400"/>
            <w:shd w:fill="FFFFFF" w:val="clear"/>
          </w:tcPr>
          <w:p>
            <w:r>
              <w:rPr>
                <w:sz w:val="19"/>
                <w:szCs w:val="19"/>
              </w:rPr>
              <w:t xml:space="preserve">Suspended / On Hold</w:t>
            </w:r>
          </w:p>
        </w:tc>
        <w:tc>
          <w:tcPr>
            <w:tcW w:type="dxa" w:w="5300"/>
            <w:shd w:fill="FFFFFF" w:val="clear"/>
          </w:tcPr>
          <w:p>
            <w:r>
              <w:rPr>
                <w:sz w:val="19"/>
                <w:szCs w:val="19"/>
              </w:rPr>
              <w:t xml:space="preserve">Timer and progress paused pending an external condition</w:t>
            </w:r>
          </w:p>
        </w:tc>
        <w:tc>
          <w:tcPr>
            <w:tcW w:type="dxa" w:w="2300"/>
            <w:shd w:fill="FFFFFF" w:val="clear"/>
          </w:tcPr>
          <w:p>
            <w:r>
              <w:rPr>
                <w:sz w:val="19"/>
                <w:szCs w:val="19"/>
              </w:rPr>
              <w:t xml:space="preserve">Admin / System</w:t>
            </w:r>
          </w:p>
        </w:tc>
      </w:tr>
      <w:tr>
        <w:tc>
          <w:tcPr>
            <w:tcW w:type="dxa" w:w="2400"/>
            <w:shd w:fill="EEF1F5" w:val="clear"/>
          </w:tcPr>
          <w:p>
            <w:r>
              <w:rPr>
                <w:sz w:val="19"/>
                <w:szCs w:val="19"/>
              </w:rPr>
              <w:t xml:space="preserve">Approved</w:t>
            </w:r>
          </w:p>
        </w:tc>
        <w:tc>
          <w:tcPr>
            <w:tcW w:type="dxa" w:w="5300"/>
            <w:shd w:fill="EEF1F5" w:val="clear"/>
          </w:tcPr>
          <w:p>
            <w:r>
              <w:rPr>
                <w:sz w:val="19"/>
                <w:szCs w:val="19"/>
              </w:rPr>
              <w:t xml:space="preserve">All required steps completed successfully</w:t>
            </w:r>
          </w:p>
        </w:tc>
        <w:tc>
          <w:tcPr>
            <w:tcW w:type="dxa" w:w="2300"/>
            <w:shd w:fill="EEF1F5" w:val="clear"/>
          </w:tcPr>
          <w:p>
            <w:r>
              <w:rPr>
                <w:sz w:val="19"/>
                <w:szCs w:val="19"/>
              </w:rPr>
              <w:t xml:space="preserve">System</w:t>
            </w:r>
          </w:p>
        </w:tc>
      </w:tr>
      <w:tr>
        <w:tc>
          <w:tcPr>
            <w:tcW w:type="dxa" w:w="2400"/>
            <w:shd w:fill="FFFFFF" w:val="clear"/>
          </w:tcPr>
          <w:p>
            <w:r>
              <w:rPr>
                <w:sz w:val="19"/>
                <w:szCs w:val="19"/>
              </w:rPr>
              <w:t xml:space="preserve">Rejected</w:t>
            </w:r>
          </w:p>
        </w:tc>
        <w:tc>
          <w:tcPr>
            <w:tcW w:type="dxa" w:w="5300"/>
            <w:shd w:fill="FFFFFF" w:val="clear"/>
          </w:tcPr>
          <w:p>
            <w:r>
              <w:rPr>
                <w:sz w:val="19"/>
                <w:szCs w:val="19"/>
              </w:rPr>
              <w:t xml:space="preserve">Terminated by an authorized rejecting actor</w:t>
            </w:r>
          </w:p>
        </w:tc>
        <w:tc>
          <w:tcPr>
            <w:tcW w:type="dxa" w:w="2300"/>
            <w:shd w:fill="FFFFFF" w:val="clear"/>
          </w:tcPr>
          <w:p>
            <w:r>
              <w:rPr>
                <w:sz w:val="19"/>
                <w:szCs w:val="19"/>
              </w:rPr>
              <w:t xml:space="preserve">Approver</w:t>
            </w:r>
          </w:p>
        </w:tc>
      </w:tr>
      <w:tr>
        <w:tc>
          <w:tcPr>
            <w:tcW w:type="dxa" w:w="2400"/>
            <w:shd w:fill="EEF1F5" w:val="clear"/>
          </w:tcPr>
          <w:p>
            <w:r>
              <w:rPr>
                <w:sz w:val="19"/>
                <w:szCs w:val="19"/>
              </w:rPr>
              <w:t xml:space="preserve">Cancelled</w:t>
            </w:r>
          </w:p>
        </w:tc>
        <w:tc>
          <w:tcPr>
            <w:tcW w:type="dxa" w:w="5300"/>
            <w:shd w:fill="EEF1F5" w:val="clear"/>
          </w:tcPr>
          <w:p>
            <w:r>
              <w:rPr>
                <w:sz w:val="19"/>
                <w:szCs w:val="19"/>
              </w:rPr>
              <w:t xml:space="preserve">Withdrawn by requester or admin, or auto-cancelled as stale</w:t>
            </w:r>
          </w:p>
        </w:tc>
        <w:tc>
          <w:tcPr>
            <w:tcW w:type="dxa" w:w="2300"/>
            <w:shd w:fill="EEF1F5" w:val="clear"/>
          </w:tcPr>
          <w:p>
            <w:r>
              <w:rPr>
                <w:sz w:val="19"/>
                <w:szCs w:val="19"/>
              </w:rPr>
              <w:t xml:space="preserve">Requester / Admin / System</w:t>
            </w:r>
          </w:p>
        </w:tc>
      </w:tr>
      <w:tr>
        <w:tc>
          <w:tcPr>
            <w:tcW w:type="dxa" w:w="2400"/>
            <w:shd w:fill="FFFFFF" w:val="clear"/>
          </w:tcPr>
          <w:p>
            <w:r>
              <w:rPr>
                <w:sz w:val="19"/>
                <w:szCs w:val="19"/>
              </w:rPr>
              <w:t xml:space="preserve">Expired</w:t>
            </w:r>
          </w:p>
        </w:tc>
        <w:tc>
          <w:tcPr>
            <w:tcW w:type="dxa" w:w="5300"/>
            <w:shd w:fill="FFFFFF" w:val="clear"/>
          </w:tcPr>
          <w:p>
            <w:r>
              <w:rPr>
                <w:sz w:val="19"/>
                <w:szCs w:val="19"/>
              </w:rPr>
              <w:t xml:space="preserve">Instance exceeded its configured maximum age</w:t>
            </w:r>
          </w:p>
        </w:tc>
        <w:tc>
          <w:tcPr>
            <w:tcW w:type="dxa" w:w="2300"/>
            <w:shd w:fill="FFFFFF" w:val="clear"/>
          </w:tcPr>
          <w:p>
            <w:r>
              <w:rPr>
                <w:sz w:val="19"/>
                <w:szCs w:val="19"/>
              </w:rPr>
              <w:t xml:space="preserve">System</w:t>
            </w:r>
          </w:p>
        </w:tc>
      </w:tr>
      <w:tr>
        <w:tc>
          <w:tcPr>
            <w:tcW w:type="dxa" w:w="2400"/>
            <w:shd w:fill="EEF1F5" w:val="clear"/>
          </w:tcPr>
          <w:p>
            <w:r>
              <w:rPr>
                <w:sz w:val="19"/>
                <w:szCs w:val="19"/>
              </w:rPr>
              <w:t xml:space="preserve">Completed</w:t>
            </w:r>
          </w:p>
        </w:tc>
        <w:tc>
          <w:tcPr>
            <w:tcW w:type="dxa" w:w="5300"/>
            <w:shd w:fill="EEF1F5" w:val="clear"/>
          </w:tcPr>
          <w:p>
            <w:r>
              <w:rPr>
                <w:sz w:val="19"/>
                <w:szCs w:val="19"/>
              </w:rPr>
              <w:t xml:space="preserve">Downstream action executed and confirmed (Saga committed)</w:t>
            </w:r>
          </w:p>
        </w:tc>
        <w:tc>
          <w:tcPr>
            <w:tcW w:type="dxa" w:w="2300"/>
            <w:shd w:fill="EEF1F5" w:val="clear"/>
          </w:tcPr>
          <w:p>
            <w:r>
              <w:rPr>
                <w:sz w:val="19"/>
                <w:szCs w:val="19"/>
              </w:rPr>
              <w:t xml:space="preserve">System</w:t>
            </w:r>
          </w:p>
        </w:tc>
      </w:tr>
    </w:tbl>
    <w:p>
      <w:pPr>
        <w:pStyle w:val="Heading2"/>
        <w:spacing w:after="120" w:before="260"/>
      </w:pPr>
      <w:r>
        <w:rPr>
          <w:b/>
          <w:bCs/>
          <w:color w:val="1F3A5F"/>
          <w:sz w:val="24"/>
          <w:szCs w:val="24"/>
        </w:rPr>
        <w:t xml:space="preserve">3.2 Transitions &amp; Guards</w:t>
      </w:r>
    </w:p>
    <w:p>
      <w:pPr>
        <w:spacing w:after="140" w:line="300"/>
      </w:pPr>
      <w:r>
        <w:rPr>
          <w:sz w:val="21"/>
          <w:szCs w:val="21"/>
        </w:rPr>
        <w:t xml:space="preserve">Each transition is defined as: source state → event → guard condition(s) → target state → side effects. Guards are configuration-driven predicates evaluated against instance context, and per Section 4.4 may include synchronous or asynchronous external lookups:</w:t>
      </w:r>
    </w:p>
    <w:p>
      <w:pPr>
        <w:shd w:fill="F4F4F4" w:val="clear"/>
        <w:spacing w:after="140"/>
      </w:pPr>
      <w:r>
        <w:rPr>
          <w:rFonts w:ascii="JetBrains Mono" w:cs="JetBrains Mono" w:eastAsia="JetBrains Mono" w:hAnsi="JetBrains Mono"/>
          <w:color w:val="222222"/>
          <w:sz w:val="18"/>
          <w:szCs w:val="18"/>
        </w:rPr>
        <w:t xml:space="preserve">{
  "from": "Pending Approval",
  "event": "SUBMIT_DECISION",
  "guard": "amount &gt; 50000 AND region == 'MX'",
  "target": "Escalated",
  "sideEffects": ["notifyFinanceController", "logComplianceFlag"]
}</w:t>
      </w:r>
    </w:p>
    <w:p>
      <w:pPr>
        <w:pStyle w:val="Heading2"/>
        <w:spacing w:after="120" w:before="260"/>
      </w:pPr>
      <w:r>
        <w:rPr>
          <w:b/>
          <w:bCs/>
          <w:color w:val="1F3A5F"/>
          <w:sz w:val="24"/>
          <w:szCs w:val="24"/>
        </w:rPr>
        <w:t xml:space="preserve">3.3 Approval Chain Patterns</w:t>
      </w:r>
    </w:p>
    <w:p>
      <w:pPr>
        <w:pStyle w:val="ListParagraph"/>
        <w:numPr>
          <w:ilvl w:val="0"/>
          <w:numId w:val="2"/>
        </w:numPr>
        <w:spacing w:after="80" w:line="280"/>
      </w:pPr>
      <w:r>
        <w:rPr>
          <w:sz w:val="21"/>
          <w:szCs w:val="21"/>
        </w:rPr>
        <w:t xml:space="preserve">Sequential — steps execute strictly in order</w:t>
      </w:r>
    </w:p>
    <w:p>
      <w:pPr>
        <w:pStyle w:val="ListParagraph"/>
        <w:numPr>
          <w:ilvl w:val="0"/>
          <w:numId w:val="2"/>
        </w:numPr>
        <w:spacing w:after="80" w:line="280"/>
      </w:pPr>
      <w:r>
        <w:rPr>
          <w:sz w:val="21"/>
          <w:szCs w:val="21"/>
        </w:rPr>
        <w:t xml:space="preserve">Parallel (all-of) — all assigned approvers must act before the step is considered complete</w:t>
      </w:r>
    </w:p>
    <w:p>
      <w:pPr>
        <w:pStyle w:val="ListParagraph"/>
        <w:numPr>
          <w:ilvl w:val="0"/>
          <w:numId w:val="2"/>
        </w:numPr>
        <w:spacing w:after="80" w:line="280"/>
      </w:pPr>
      <w:r>
        <w:rPr>
          <w:sz w:val="21"/>
          <w:szCs w:val="21"/>
        </w:rPr>
        <w:t xml:space="preserve">Parallel (any-of) — the first qualifying approver's decision resolves the step</w:t>
      </w:r>
    </w:p>
    <w:p>
      <w:pPr>
        <w:pStyle w:val="ListParagraph"/>
        <w:numPr>
          <w:ilvl w:val="0"/>
          <w:numId w:val="2"/>
        </w:numPr>
        <w:spacing w:after="80" w:line="280"/>
      </w:pPr>
      <w:r>
        <w:rPr>
          <w:sz w:val="21"/>
          <w:szCs w:val="21"/>
        </w:rPr>
        <w:t xml:space="preserve">Conditional branching — the next step is selected dynamically based on amount, category, region, or risk score</w:t>
      </w:r>
    </w:p>
    <w:p>
      <w:pPr>
        <w:pStyle w:val="Heading2"/>
        <w:spacing w:after="120" w:before="260"/>
      </w:pPr>
      <w:r>
        <w:rPr>
          <w:b/>
          <w:bCs/>
          <w:color w:val="1F3A5F"/>
          <w:sz w:val="24"/>
          <w:szCs w:val="24"/>
        </w:rPr>
        <w:t xml:space="preserve">3.4 Regional &amp; Category Branching Example</w:t>
      </w:r>
    </w:p>
    <w:p>
      <w:pPr>
        <w:spacing w:after="140" w:line="300"/>
      </w:pPr>
      <w:r>
        <w:rPr>
          <w:sz w:val="21"/>
          <w:szCs w:val="21"/>
        </w:rPr>
        <w:t xml:space="preserve">The Mexico rollout requirement (SAP Ariba + VIM, CFDI/SAT compliance) is modeled as a conditional branch: region == 'MX' inserts a Tax Compliance Review step and requires the invoice's CFDI UUID as a guard before Approved.</w:t>
      </w:r>
    </w:p>
    <w:p>
      <w:pPr>
        <w:pStyle w:val="Heading2"/>
        <w:spacing w:after="120" w:before="260"/>
      </w:pPr>
      <w:r>
        <w:rPr>
          <w:b/>
          <w:bCs/>
          <w:color w:val="1F3A5F"/>
          <w:sz w:val="24"/>
          <w:szCs w:val="24"/>
        </w:rPr>
        <w:t xml:space="preserve">3.5 Changes Requested — Comment &amp; Reinitiate Scope</w:t>
      </w:r>
    </w:p>
    <w:p>
      <w:pPr>
        <w:spacing w:after="140" w:line="300"/>
      </w:pPr>
      <w:r>
        <w:rPr>
          <w:sz w:val="21"/>
          <w:szCs w:val="21"/>
        </w:rPr>
        <w:t xml:space="preserve">A transition into Changes Requested requires a mandatory reason/comment field, captured in the TransitionLog and surfaced to the requester — this is enforced at the API layer, not left to UI convention.</w:t>
      </w:r>
    </w:p>
    <w:p>
      <w:pPr>
        <w:spacing w:after="140" w:line="300"/>
      </w:pPr>
      <w:r>
        <w:rPr>
          <w:sz w:val="21"/>
          <w:szCs w:val="21"/>
        </w:rPr>
        <w:t xml:space="preserve">Reinitiate is explicitly scoped: from Changes Requested or Rejected, an authorized actor can reset the instance to any specific prior step (not only back to Draft). The engine validates that the target step exists in the current template version and preserves the full history of the abandoned attempt rather than overwriting it. ProcuraAI's default UX resets to the step immediately after the requester's last edit point; ContractRiskEdge's richer multi-round model (see its companion spec) extends this same mechanism to support repeated negotiation cycles.</w:t>
      </w:r>
    </w:p>
    <w:p>
      <w:pPr>
        <w:pStyle w:val="Heading1"/>
        <w:spacing w:after="160" w:before="360"/>
      </w:pPr>
      <w:r>
        <w:rPr>
          <w:b/>
          <w:bCs/>
          <w:color w:val="1F3A5F"/>
          <w:sz w:val="30"/>
          <w:szCs w:val="30"/>
        </w:rPr>
        <w:t xml:space="preserve">4. Configuration &amp; Rules Engine</w:t>
      </w:r>
    </w:p>
    <w:p>
      <w:pPr>
        <w:pStyle w:val="Heading2"/>
        <w:spacing w:after="120" w:before="260"/>
      </w:pPr>
      <w:r>
        <w:rPr>
          <w:b/>
          <w:bCs/>
          <w:color w:val="1F3A5F"/>
          <w:sz w:val="24"/>
          <w:szCs w:val="24"/>
        </w:rPr>
        <w:t xml:space="preserve">4.1 Workflow Template Definition</w:t>
      </w:r>
    </w:p>
    <w:p>
      <w:pPr>
        <w:spacing w:after="140" w:line="300"/>
      </w:pPr>
      <w:r>
        <w:rPr>
          <w:sz w:val="21"/>
          <w:szCs w:val="21"/>
        </w:rPr>
        <w:t xml:space="preserve">A workflow template is a versioned, tenant-owned JSON/YAML document describing states, transitions, guards, assignment rules, SLA policy, and fallback policy, authored through a no-code admin UI (Section 18).</w:t>
      </w:r>
    </w:p>
    <w:p>
      <w:pPr>
        <w:pStyle w:val="Heading2"/>
        <w:spacing w:after="120" w:before="260"/>
      </w:pPr>
      <w:r>
        <w:rPr>
          <w:b/>
          <w:bCs/>
          <w:color w:val="1F3A5F"/>
          <w:sz w:val="24"/>
          <w:szCs w:val="24"/>
        </w:rPr>
        <w:t xml:space="preserve">4.2 Admin Configuration Capabilities</w:t>
      </w:r>
    </w:p>
    <w:p>
      <w:pPr>
        <w:pStyle w:val="ListParagraph"/>
        <w:numPr>
          <w:ilvl w:val="0"/>
          <w:numId w:val="2"/>
        </w:numPr>
        <w:spacing w:after="80" w:line="280"/>
      </w:pPr>
      <w:r>
        <w:rPr>
          <w:sz w:val="21"/>
          <w:szCs w:val="21"/>
        </w:rPr>
        <w:t xml:space="preserve">Add a new step (approval stage, review stage, or conditional branch)</w:t>
      </w:r>
    </w:p>
    <w:p>
      <w:pPr>
        <w:pStyle w:val="ListParagraph"/>
        <w:numPr>
          <w:ilvl w:val="0"/>
          <w:numId w:val="2"/>
        </w:numPr>
        <w:spacing w:after="80" w:line="280"/>
      </w:pPr>
      <w:r>
        <w:rPr>
          <w:sz w:val="21"/>
          <w:szCs w:val="21"/>
        </w:rPr>
        <w:t xml:space="preserve">Delete an existing step, with validation that no orphaned transitions result</w:t>
      </w:r>
    </w:p>
    <w:p>
      <w:pPr>
        <w:pStyle w:val="ListParagraph"/>
        <w:numPr>
          <w:ilvl w:val="0"/>
          <w:numId w:val="2"/>
        </w:numPr>
        <w:spacing w:after="80" w:line="280"/>
      </w:pPr>
      <w:r>
        <w:rPr>
          <w:sz w:val="21"/>
          <w:szCs w:val="21"/>
        </w:rPr>
        <w:t xml:space="preserve">Reorder steps or change branching conditions</w:t>
      </w:r>
    </w:p>
    <w:p>
      <w:pPr>
        <w:pStyle w:val="ListParagraph"/>
        <w:numPr>
          <w:ilvl w:val="0"/>
          <w:numId w:val="2"/>
        </w:numPr>
        <w:spacing w:after="80" w:line="280"/>
      </w:pPr>
      <w:r>
        <w:rPr>
          <w:sz w:val="21"/>
          <w:szCs w:val="21"/>
        </w:rPr>
        <w:t xml:space="preserve">Adjust SLA durations and escalation/fallback policy per step</w:t>
      </w:r>
    </w:p>
    <w:p>
      <w:pPr>
        <w:pStyle w:val="ListParagraph"/>
        <w:numPr>
          <w:ilvl w:val="0"/>
          <w:numId w:val="2"/>
        </w:numPr>
        <w:spacing w:after="80" w:line="280"/>
      </w:pPr>
      <w:r>
        <w:rPr>
          <w:sz w:val="21"/>
          <w:szCs w:val="21"/>
        </w:rPr>
        <w:t xml:space="preserve">Publish a new template version without affecting in-flight instances</w:t>
      </w:r>
    </w:p>
    <w:p>
      <w:pPr>
        <w:pStyle w:val="Heading2"/>
        <w:spacing w:after="120" w:before="260"/>
      </w:pPr>
      <w:r>
        <w:rPr>
          <w:b/>
          <w:bCs/>
          <w:color w:val="1F3A5F"/>
          <w:sz w:val="24"/>
          <w:szCs w:val="24"/>
        </w:rPr>
        <w:t xml:space="preserve">4.3 Versioning &amp; Migration Policy</w:t>
      </w:r>
    </w:p>
    <w:p>
      <w:pPr>
        <w:spacing w:after="140" w:line="300"/>
      </w:pPr>
      <w:r>
        <w:rPr>
          <w:sz w:val="21"/>
          <w:szCs w:val="21"/>
        </w:rPr>
        <w:t xml:space="preserve">Editing a published template creates a new version. Running instances continue on their starting version unless an admin explicitly triggers migration; new instances always start on the latest published version.</w:t>
      </w:r>
    </w:p>
    <w:p>
      <w:pPr>
        <w:pStyle w:val="Heading2"/>
        <w:spacing w:after="120" w:before="260"/>
      </w:pPr>
      <w:r>
        <w:rPr>
          <w:b/>
          <w:bCs/>
          <w:color w:val="1F3A5F"/>
          <w:sz w:val="24"/>
          <w:szCs w:val="24"/>
        </w:rPr>
        <w:t xml:space="preserve">4.4 Rule Expression Language</w:t>
      </w:r>
    </w:p>
    <w:p>
      <w:pPr>
        <w:spacing w:after="140" w:line="300"/>
      </w:pPr>
      <w:r>
        <w:rPr>
          <w:sz w:val="21"/>
          <w:szCs w:val="21"/>
        </w:rPr>
        <w:t xml:space="preserve">Guards and routing conditions use a small, sandboxed expression language supporting comparisons, boolean logic, and context-variable lookups. Per review feedback, guards may also invoke a registered external lookup — for example, querying a live budget-remaining balance from the finance system — as an async predicate:</w:t>
      </w:r>
    </w:p>
    <w:p>
      <w:pPr>
        <w:shd w:fill="F4F4F4" w:val="clear"/>
        <w:spacing w:after="140"/>
      </w:pPr>
      <w:r>
        <w:rPr>
          <w:rFonts w:ascii="JetBrains Mono" w:cs="JetBrains Mono" w:eastAsia="JetBrains Mono" w:hAnsi="JetBrains Mono"/>
          <w:color w:val="222222"/>
          <w:sz w:val="18"/>
          <w:szCs w:val="18"/>
        </w:rPr>
        <w:t xml:space="preserve">{ "guard": "externalLookup('budgetService.remaining', costCenterId) &gt;= amount" }</w:t>
      </w:r>
    </w:p>
    <w:p>
      <w:pPr>
        <w:spacing w:after="140" w:line="300"/>
      </w:pPr>
      <w:r>
        <w:rPr>
          <w:sz w:val="21"/>
          <w:szCs w:val="21"/>
        </w:rPr>
        <w:t xml:space="preserve">External lookups are registered, allow-listed functions (never arbitrary outbound calls from the rule language itself), with a defined timeout and a fail-safe default (treat as guard-not-met, route to Escalated) if the lookup fails or times out.</w:t>
      </w:r>
    </w:p>
    <w:p>
      <w:pPr>
        <w:pStyle w:val="Heading1"/>
        <w:spacing w:after="160" w:before="360"/>
      </w:pPr>
      <w:r>
        <w:rPr>
          <w:b/>
          <w:bCs/>
          <w:color w:val="1F3A5F"/>
          <w:sz w:val="30"/>
          <w:szCs w:val="30"/>
        </w:rPr>
        <w:t xml:space="preserve">5. Actor Model</w:t>
      </w:r>
    </w:p>
    <w:p>
      <w:pPr>
        <w:pStyle w:val="Heading2"/>
        <w:spacing w:after="120" w:before="260"/>
      </w:pPr>
      <w:r>
        <w:rPr>
          <w:b/>
          <w:bCs/>
          <w:color w:val="1F3A5F"/>
          <w:sz w:val="24"/>
          <w:szCs w:val="24"/>
        </w:rPr>
        <w:t xml:space="preserve">5.1 Actor Types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3A5F" w:val="clear"/>
          </w:tcPr>
          <w:p>
            <w:r>
              <w:rPr>
                <w:b/>
                <w:bCs/>
                <w:color w:val="FFFFFF"/>
                <w:sz w:val="19"/>
                <w:szCs w:val="19"/>
              </w:rPr>
              <w:t xml:space="preserve">Actor Type</w:t>
            </w:r>
          </w:p>
        </w:tc>
        <w:tc>
          <w:tcPr>
            <w:tcW w:type="dxa" w:w="7000"/>
            <w:shd w:fill="1F3A5F" w:val="clear"/>
          </w:tcPr>
          <w:p>
            <w:r>
              <w:rPr>
                <w:b/>
                <w:bCs/>
                <w:color w:val="FFFFFF"/>
                <w:sz w:val="19"/>
                <w:szCs w:val="19"/>
              </w:rPr>
              <w:t xml:space="preserve">Description</w:t>
            </w:r>
          </w:p>
        </w:tc>
      </w:tr>
      <w:tr>
        <w:tc>
          <w:tcPr>
            <w:tcW w:type="dxa" w:w="3000"/>
            <w:shd w:fill="FFFFFF" w:val="clear"/>
          </w:tcPr>
          <w:p>
            <w:r>
              <w:rPr>
                <w:sz w:val="19"/>
                <w:szCs w:val="19"/>
              </w:rPr>
              <w:t xml:space="preserve">Human Approver</w:t>
            </w:r>
          </w:p>
        </w:tc>
        <w:tc>
          <w:tcPr>
            <w:tcW w:type="dxa" w:w="7000"/>
            <w:shd w:fill="FFFFFF" w:val="clear"/>
          </w:tcPr>
          <w:p>
            <w:r>
              <w:rPr>
                <w:sz w:val="19"/>
                <w:szCs w:val="19"/>
              </w:rPr>
              <w:t xml:space="preserve">Named individual or role-based assignment (e.g. 'Cost Center Owner')</w:t>
            </w:r>
          </w:p>
        </w:tc>
      </w:tr>
      <w:tr>
        <w:tc>
          <w:tcPr>
            <w:tcW w:type="dxa" w:w="3000"/>
            <w:shd w:fill="EEF1F5" w:val="clear"/>
          </w:tcPr>
          <w:p>
            <w:r>
              <w:rPr>
                <w:sz w:val="19"/>
                <w:szCs w:val="19"/>
              </w:rPr>
              <w:t xml:space="preserve">AI Agent</w:t>
            </w:r>
          </w:p>
        </w:tc>
        <w:tc>
          <w:tcPr>
            <w:tcW w:type="dxa" w:w="7000"/>
            <w:shd w:fill="EEF1F5" w:val="clear"/>
          </w:tcPr>
          <w:p>
            <w:r>
              <w:rPr>
                <w:sz w:val="19"/>
                <w:szCs w:val="19"/>
              </w:rPr>
              <w:t xml:space="preserve">System-driven decisioning with confidence score, rationale, and full reproducibility contract (Section 5.4)</w:t>
            </w:r>
          </w:p>
        </w:tc>
      </w:tr>
      <w:tr>
        <w:tc>
          <w:tcPr>
            <w:tcW w:type="dxa" w:w="3000"/>
            <w:shd w:fill="FFFFFF" w:val="clear"/>
          </w:tcPr>
          <w:p>
            <w:r>
              <w:rPr>
                <w:sz w:val="19"/>
                <w:szCs w:val="19"/>
              </w:rPr>
              <w:t xml:space="preserve">Fallback Group</w:t>
            </w:r>
          </w:p>
        </w:tc>
        <w:tc>
          <w:tcPr>
            <w:tcW w:type="dxa" w:w="7000"/>
            <w:shd w:fill="FFFFFF" w:val="clear"/>
          </w:tcPr>
          <w:p>
            <w:r>
              <w:rPr>
                <w:sz w:val="19"/>
                <w:szCs w:val="19"/>
              </w:rPr>
              <w:t xml:space="preserve">Configured pool of users/roles used when the primary assignee is unavailable</w:t>
            </w:r>
          </w:p>
        </w:tc>
      </w:tr>
      <w:tr>
        <w:tc>
          <w:tcPr>
            <w:tcW w:type="dxa" w:w="3000"/>
            <w:shd w:fill="EEF1F5" w:val="clear"/>
          </w:tcPr>
          <w:p>
            <w:r>
              <w:rPr>
                <w:sz w:val="19"/>
                <w:szCs w:val="19"/>
              </w:rPr>
              <w:t xml:space="preserve">Administrator</w:t>
            </w:r>
          </w:p>
        </w:tc>
        <w:tc>
          <w:tcPr>
            <w:tcW w:type="dxa" w:w="7000"/>
            <w:shd w:fill="EEF1F5" w:val="clear"/>
          </w:tcPr>
          <w:p>
            <w:r>
              <w:rPr>
                <w:sz w:val="19"/>
                <w:szCs w:val="19"/>
              </w:rPr>
              <w:t xml:space="preserve">Ultimate fallback and override authority for a tenant</w:t>
            </w:r>
          </w:p>
        </w:tc>
      </w:tr>
    </w:tbl>
    <w:p>
      <w:pPr>
        <w:pStyle w:val="Heading2"/>
        <w:spacing w:after="120" w:before="260"/>
      </w:pPr>
      <w:r>
        <w:rPr>
          <w:b/>
          <w:bCs/>
          <w:color w:val="1F3A5F"/>
          <w:sz w:val="24"/>
          <w:szCs w:val="24"/>
        </w:rPr>
        <w:t xml:space="preserve">5.2 Dynamic Assignee Resolution — UserResolver</w:t>
      </w:r>
    </w:p>
    <w:p>
      <w:pPr>
        <w:spacing w:after="140" w:line="300"/>
      </w:pPr>
      <w:r>
        <w:rPr>
          <w:sz w:val="21"/>
          <w:szCs w:val="21"/>
        </w:rPr>
        <w:t xml:space="preserve">A role-based assignment (e.g. 'Cost Center Owner') is resolved to a specific user at the moment of assignment by a UserResolver service, not baked into the template. UserResolver is a pluggable lookup — a simple database join for most tenants, or a call out to an HR/identity system for tenants with more complex org structures. The resolved user ID, and the resolver source used, is recorded on the StepAssignment record for audit purposes.</w:t>
      </w:r>
    </w:p>
    <w:p>
      <w:pPr>
        <w:pStyle w:val="Heading2"/>
        <w:spacing w:after="120" w:before="260"/>
      </w:pPr>
      <w:r>
        <w:rPr>
          <w:b/>
          <w:bCs/>
          <w:color w:val="1F3A5F"/>
          <w:sz w:val="24"/>
          <w:szCs w:val="24"/>
        </w:rPr>
        <w:t xml:space="preserve">5.3 Delegation &amp; Auto-Fallback on Unavailability</w:t>
      </w:r>
    </w:p>
    <w:p>
      <w:pPr>
        <w:spacing w:after="140" w:line="300"/>
      </w:pPr>
      <w:r>
        <w:rPr>
          <w:sz w:val="21"/>
          <w:szCs w:val="21"/>
        </w:rPr>
        <w:t xml:space="preserve">A first-class engine capability: when the primary assignee for a step is inactive, out-of-office, or has no configured delegate, the engine automatically reassigns the task.</w:t>
      </w:r>
    </w:p>
    <w:p>
      <w:pPr>
        <w:pStyle w:val="Heading3"/>
        <w:spacing w:after="100" w:before="200"/>
      </w:pPr>
      <w:r>
        <w:rPr>
          <w:b/>
          <w:bCs/>
          <w:color w:val="B5651D"/>
          <w:sz w:val="22"/>
          <w:szCs w:val="22"/>
        </w:rPr>
        <w:t xml:space="preserve">5.3.1 Availability Check</w:t>
      </w:r>
    </w:p>
    <w:p>
      <w:pPr>
        <w:pStyle w:val="ListParagraph"/>
        <w:numPr>
          <w:ilvl w:val="0"/>
          <w:numId w:val="2"/>
        </w:numPr>
        <w:spacing w:after="80" w:line="280"/>
      </w:pPr>
      <w:r>
        <w:rPr>
          <w:sz w:val="21"/>
          <w:szCs w:val="21"/>
        </w:rPr>
        <w:t xml:space="preserve">Each user has an availability status: Active, Inactive, Out-of-Office (with optional return date), or Delegated</w:t>
      </w:r>
    </w:p>
    <w:p>
      <w:pPr>
        <w:pStyle w:val="ListParagraph"/>
        <w:numPr>
          <w:ilvl w:val="0"/>
          <w:numId w:val="2"/>
        </w:numPr>
        <w:spacing w:after="80" w:line="280"/>
      </w:pPr>
      <w:r>
        <w:rPr>
          <w:sz w:val="21"/>
          <w:szCs w:val="21"/>
        </w:rPr>
        <w:t xml:space="preserve">Availability can be set manually or synced from an external calendar/HR system integration</w:t>
      </w:r>
    </w:p>
    <w:p>
      <w:pPr>
        <w:pStyle w:val="ListParagraph"/>
        <w:numPr>
          <w:ilvl w:val="0"/>
          <w:numId w:val="2"/>
        </w:numPr>
        <w:spacing w:after="80" w:line="280"/>
      </w:pPr>
      <w:r>
        <w:rPr>
          <w:sz w:val="21"/>
          <w:szCs w:val="21"/>
        </w:rPr>
        <w:t xml:space="preserve">Checked at assignment time and on every SLA-timer tick</w:t>
      </w:r>
    </w:p>
    <w:p>
      <w:pPr>
        <w:pStyle w:val="Heading3"/>
        <w:spacing w:after="100" w:before="200"/>
      </w:pPr>
      <w:r>
        <w:rPr>
          <w:b/>
          <w:bCs/>
          <w:color w:val="B5651D"/>
          <w:sz w:val="22"/>
          <w:szCs w:val="22"/>
        </w:rPr>
        <w:t xml:space="preserve">5.3.2 Fallback Resolution Order</w:t>
      </w:r>
    </w:p>
    <w:p>
      <w:pPr>
        <w:spacing w:after="140" w:line="300"/>
      </w:pPr>
      <w:r>
        <w:rPr>
          <w:sz w:val="21"/>
          <w:szCs w:val="21"/>
        </w:rPr>
        <w:t xml:space="preserve">Per workflow template (and optionally per step), an ordered fallback chain is evaluated top to bottom until an available actor is found:</w:t>
      </w:r>
    </w:p>
    <w:p>
      <w:pPr>
        <w:pStyle w:val="ListParagraph"/>
        <w:numPr>
          <w:ilvl w:val="0"/>
          <w:numId w:val="3"/>
        </w:numPr>
        <w:spacing w:after="80" w:line="280"/>
      </w:pPr>
      <w:r>
        <w:rPr>
          <w:sz w:val="21"/>
          <w:szCs w:val="21"/>
        </w:rPr>
        <w:t xml:space="preserve">Named delegate (if the primary assignee configured one)</w:t>
      </w:r>
    </w:p>
    <w:p>
      <w:pPr>
        <w:pStyle w:val="ListParagraph"/>
        <w:numPr>
          <w:ilvl w:val="0"/>
          <w:numId w:val="3"/>
        </w:numPr>
        <w:spacing w:after="80" w:line="280"/>
      </w:pPr>
      <w:r>
        <w:rPr>
          <w:sz w:val="21"/>
          <w:szCs w:val="21"/>
        </w:rPr>
        <w:t xml:space="preserve">Client-specified fallback group or user set for that step</w:t>
      </w:r>
    </w:p>
    <w:p>
      <w:pPr>
        <w:pStyle w:val="ListParagraph"/>
        <w:numPr>
          <w:ilvl w:val="0"/>
          <w:numId w:val="3"/>
        </w:numPr>
        <w:spacing w:after="80" w:line="280"/>
      </w:pPr>
      <w:r>
        <w:rPr>
          <w:sz w:val="21"/>
          <w:szCs w:val="21"/>
        </w:rPr>
        <w:t xml:space="preserve">Tenant Administrator role</w:t>
      </w:r>
    </w:p>
    <w:p>
      <w:pPr>
        <w:spacing w:after="140" w:line="300"/>
      </w:pPr>
      <w:r>
        <w:rPr>
          <w:sz w:val="21"/>
          <w:szCs w:val="21"/>
        </w:rPr>
        <w:t xml:space="preserve">If every entry is unavailable, the instance moves to Escalated with a hard notification to the administrator — it never silently auto-approves.</w:t>
      </w:r>
    </w:p>
    <w:p>
      <w:pPr>
        <w:pStyle w:val="Heading3"/>
        <w:spacing w:after="100" w:before="200"/>
      </w:pPr>
      <w:r>
        <w:rPr>
          <w:b/>
          <w:bCs/>
          <w:color w:val="B5651D"/>
          <w:sz w:val="22"/>
          <w:szCs w:val="22"/>
        </w:rPr>
        <w:t xml:space="preserve">5.3.3 Audit Requirements</w:t>
      </w:r>
    </w:p>
    <w:p>
      <w:pPr>
        <w:pStyle w:val="ListParagraph"/>
        <w:numPr>
          <w:ilvl w:val="0"/>
          <w:numId w:val="2"/>
        </w:numPr>
        <w:spacing w:after="80" w:line="280"/>
      </w:pPr>
      <w:r>
        <w:rPr>
          <w:sz w:val="21"/>
          <w:szCs w:val="21"/>
        </w:rPr>
        <w:t xml:space="preserve">Every auto-reassignment logs: original assignee, reason, resolved assignee, timestamp, fallback-chain position used</w:t>
      </w:r>
    </w:p>
    <w:p>
      <w:pPr>
        <w:pStyle w:val="ListParagraph"/>
        <w:numPr>
          <w:ilvl w:val="0"/>
          <w:numId w:val="2"/>
        </w:numPr>
        <w:spacing w:after="80" w:line="280"/>
      </w:pPr>
      <w:r>
        <w:rPr>
          <w:sz w:val="21"/>
          <w:szCs w:val="21"/>
        </w:rPr>
        <w:t xml:space="preserve">The final decision record always shows who actually acted, distinct from who was originally assigned</w:t>
      </w:r>
    </w:p>
    <w:p>
      <w:pPr>
        <w:pStyle w:val="Heading2"/>
        <w:spacing w:after="120" w:before="260"/>
      </w:pPr>
      <w:r>
        <w:rPr>
          <w:b/>
          <w:bCs/>
          <w:color w:val="1F3A5F"/>
          <w:sz w:val="24"/>
          <w:szCs w:val="24"/>
        </w:rPr>
        <w:t xml:space="preserve">5.4 AI Agent Integration Contract</w:t>
      </w:r>
    </w:p>
    <w:p>
      <w:pPr>
        <w:spacing w:after="140" w:line="300"/>
      </w:pPr>
      <w:r>
        <w:rPr>
          <w:sz w:val="21"/>
          <w:szCs w:val="21"/>
        </w:rPr>
        <w:t xml:space="preserve">To make AI-agent actors extensible and auditable to the same standard as human decisions, every AI-agent step follows a strict, standardized contract:</w:t>
      </w:r>
    </w:p>
    <w:p>
      <w:pPr>
        <w:pStyle w:val="Heading3"/>
        <w:spacing w:after="100" w:before="200"/>
      </w:pPr>
      <w:r>
        <w:rPr>
          <w:b/>
          <w:bCs/>
          <w:color w:val="B5651D"/>
          <w:sz w:val="22"/>
          <w:szCs w:val="22"/>
        </w:rPr>
        <w:t xml:space="preserve">5.4.1 Context Payload Schema</w:t>
      </w:r>
    </w:p>
    <w:p>
      <w:pPr>
        <w:spacing w:after="140" w:line="300"/>
      </w:pPr>
      <w:r>
        <w:rPr>
          <w:sz w:val="21"/>
          <w:szCs w:val="21"/>
        </w:rPr>
        <w:t xml:space="preserve">A fixed JSON schema, optimized for LLM function-calling, is passed to any AI agent invoked as an actor — the same schema regardless of which underlying model or vendor services the request, so agents are swappable:</w:t>
      </w:r>
    </w:p>
    <w:p>
      <w:pPr>
        <w:shd w:fill="F4F4F4" w:val="clear"/>
        <w:spacing w:after="140"/>
      </w:pPr>
      <w:r>
        <w:rPr>
          <w:rFonts w:ascii="JetBrains Mono" w:cs="JetBrains Mono" w:eastAsia="JetBrains Mono" w:hAnsi="JetBrains Mono"/>
          <w:color w:val="222222"/>
          <w:sz w:val="18"/>
          <w:szCs w:val="18"/>
        </w:rPr>
        <w:t xml:space="preserve">{
  "instanceId": "string",
  "stepId": "string",
  "context": { "...tenant-defined fields..." },
  "priorDecisions": [ { "actorId": "...", "decision": "...", "rationale": "..." } ],
  "requiredOutputSchema": { "decision": "approve|reject|escalate", "confidence": "number", "rationale": "string" }
}</w:t>
      </w:r>
    </w:p>
    <w:p>
      <w:pPr>
        <w:pStyle w:val="Heading3"/>
        <w:spacing w:after="100" w:before="200"/>
      </w:pPr>
      <w:r>
        <w:rPr>
          <w:b/>
          <w:bCs/>
          <w:color w:val="B5651D"/>
          <w:sz w:val="22"/>
          <w:szCs w:val="22"/>
        </w:rPr>
        <w:t xml:space="preserve">5.4.2 Reproducibility — Prompt Hashing</w:t>
      </w:r>
    </w:p>
    <w:p>
      <w:pPr>
        <w:spacing w:after="140" w:line="300"/>
      </w:pPr>
      <w:r>
        <w:rPr>
          <w:sz w:val="21"/>
          <w:szCs w:val="21"/>
        </w:rPr>
        <w:t xml:space="preserve">At the moment of an AI-agent decision, the engine computes and stores a cryptographic hash of the exact prompt and context payload provided to the agent. This does not store the raw prompt indefinitely if that violates data-retention policy, but the hash lets an auditor verify, given a re-supplied prompt, that it matches what was actually used — establishing full reproducibility for regulatory review.</w:t>
      </w:r>
    </w:p>
    <w:p>
      <w:pPr>
        <w:pStyle w:val="Heading3"/>
        <w:spacing w:after="100" w:before="200"/>
      </w:pPr>
      <w:r>
        <w:rPr>
          <w:b/>
          <w:bCs/>
          <w:color w:val="B5651D"/>
          <w:sz w:val="22"/>
          <w:szCs w:val="22"/>
        </w:rPr>
        <w:t xml:space="preserve">5.4.3 Structured Output Validation</w:t>
      </w:r>
    </w:p>
    <w:p>
      <w:pPr>
        <w:spacing w:after="140" w:line="300"/>
      </w:pPr>
      <w:r>
        <w:rPr>
          <w:sz w:val="21"/>
          <w:szCs w:val="21"/>
        </w:rPr>
        <w:t xml:space="preserve">The agent's response is validated against requiredOutputSchema before it is accepted as a decision. A response that doesn't parse, or doesn't map to a valid transition for the current state, is rejected — the step is not silently left un-decided, it is routed to Escalated with the invalid response logged for diagnosis.</w:t>
      </w:r>
    </w:p>
    <w:p>
      <w:pPr>
        <w:pStyle w:val="Heading2"/>
        <w:spacing w:after="120" w:before="260"/>
      </w:pPr>
      <w:r>
        <w:rPr>
          <w:b/>
          <w:bCs/>
          <w:color w:val="1F3A5F"/>
          <w:sz w:val="24"/>
          <w:szCs w:val="24"/>
        </w:rPr>
        <w:t xml:space="preserve">5.5 Segregation of Duties (SoD)</w:t>
      </w:r>
    </w:p>
    <w:p>
      <w:pPr>
        <w:spacing w:after="140" w:line="300"/>
      </w:pPr>
      <w:r>
        <w:rPr>
          <w:sz w:val="21"/>
          <w:szCs w:val="21"/>
        </w:rPr>
        <w:t xml:space="preserve">The engine enforces configurable SoD constraints at assignment time and rejects an assignment — including a fallback resolution — that would violate an active SoD rule, escalating to admin instead.</w:t>
      </w:r>
    </w:p>
    <w:p>
      <w:pPr>
        <w:pStyle w:val="Heading1"/>
        <w:spacing w:after="160" w:before="360"/>
      </w:pPr>
      <w:r>
        <w:rPr>
          <w:b/>
          <w:bCs/>
          <w:color w:val="1F3A5F"/>
          <w:sz w:val="30"/>
          <w:szCs w:val="30"/>
        </w:rPr>
        <w:t xml:space="preserve">6. Escalation &amp; SLA Management</w:t>
      </w:r>
    </w:p>
    <w:p>
      <w:pPr>
        <w:spacing w:after="140" w:line="300"/>
      </w:pPr>
      <w:r>
        <w:rPr>
          <w:sz w:val="21"/>
          <w:szCs w:val="21"/>
        </w:rPr>
        <w:t xml:space="preserve">This section was the most significant gap identified in review and is rebuilt as a full lifecycle: how escalation starts, how it progresses, when it stops, and how it's reported.</w:t>
      </w:r>
    </w:p>
    <w:p>
      <w:pPr>
        <w:pStyle w:val="Heading2"/>
        <w:spacing w:after="120" w:before="260"/>
      </w:pPr>
      <w:r>
        <w:rPr>
          <w:b/>
          <w:bCs/>
          <w:color w:val="1F3A5F"/>
          <w:sz w:val="24"/>
          <w:szCs w:val="24"/>
        </w:rPr>
        <w:t xml:space="preserve">6.1 SLA Policy &amp; Business Calendar Awareness</w:t>
      </w:r>
    </w:p>
    <w:p>
      <w:pPr>
        <w:spacing w:after="140" w:line="300"/>
      </w:pPr>
      <w:r>
        <w:rPr>
          <w:sz w:val="21"/>
          <w:szCs w:val="21"/>
        </w:rPr>
        <w:t xml:space="preserve">Each step defines an SLA duration. Elapsed-time calculation is calendar-aware: it excludes weekends, holidays, and half-day holidays by default, is configurable per tenant/region (supporting multiple concurrent regional calendars), respects time zones and DST, and can optionally follow a fiscal calendar rather than a standard calendar.</w:t>
      </w:r>
    </w:p>
    <w:p>
      <w:pPr>
        <w:pStyle w:val="Heading2"/>
        <w:spacing w:after="120" w:before="260"/>
      </w:pPr>
      <w:r>
        <w:rPr>
          <w:b/>
          <w:bCs/>
          <w:color w:val="1F3A5F"/>
          <w:sz w:val="24"/>
          <w:szCs w:val="24"/>
        </w:rPr>
        <w:t xml:space="preserve">6.2 Multi-Level Escalation</w:t>
      </w:r>
    </w:p>
    <w:p>
      <w:pPr>
        <w:spacing w:after="140" w:line="300"/>
      </w:pPr>
      <w:r>
        <w:rPr>
          <w:sz w:val="21"/>
          <w:szCs w:val="21"/>
        </w:rPr>
        <w:t xml:space="preserve">Each workflow step may define multiple escalation levels rather than a single notify-then-admin path: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800"/>
      </w:tblGrid>
      <w:tr>
        <w:trPr>
          <w:tblHeader/>
        </w:trPr>
        <w:tc>
          <w:tcPr>
            <w:tcW w:type="dxa" w:w="1400"/>
            <w:shd w:fill="1F3A5F" w:val="clear"/>
          </w:tcPr>
          <w:p>
            <w:r>
              <w:rPr>
                <w:b/>
                <w:bCs/>
                <w:color w:val="FFFFFF"/>
                <w:sz w:val="19"/>
                <w:szCs w:val="19"/>
              </w:rPr>
              <w:t xml:space="preserve">Level</w:t>
            </w:r>
          </w:p>
        </w:tc>
        <w:tc>
          <w:tcPr>
            <w:tcW w:type="dxa" w:w="3800"/>
            <w:shd w:fill="1F3A5F" w:val="clear"/>
          </w:tcPr>
          <w:p>
            <w:r>
              <w:rPr>
                <w:b/>
                <w:bCs/>
                <w:color w:val="FFFFFF"/>
                <w:sz w:val="19"/>
                <w:szCs w:val="19"/>
              </w:rPr>
              <w:t xml:space="preserve">Trigger</w:t>
            </w:r>
          </w:p>
        </w:tc>
        <w:tc>
          <w:tcPr>
            <w:tcW w:type="dxa" w:w="4800"/>
            <w:shd w:fill="1F3A5F" w:val="clear"/>
          </w:tcPr>
          <w:p>
            <w:r>
              <w:rPr>
                <w:b/>
                <w:bCs/>
                <w:color w:val="FFFFFF"/>
                <w:sz w:val="19"/>
                <w:szCs w:val="19"/>
              </w:rPr>
              <w:t xml:space="preserve">Action</w:t>
            </w:r>
          </w:p>
        </w:tc>
      </w:tr>
      <w:tr>
        <w:tc>
          <w:tcPr>
            <w:tcW w:type="dxa" w:w="1400"/>
            <w:shd w:fill="FFFFFF" w:val="clear"/>
          </w:tcPr>
          <w:p>
            <w:r>
              <w:rPr>
                <w:sz w:val="19"/>
                <w:szCs w:val="19"/>
              </w:rPr>
              <w:t xml:space="preserve">0</w:t>
            </w:r>
          </w:p>
        </w:tc>
        <w:tc>
          <w:tcPr>
            <w:tcW w:type="dxa" w:w="3800"/>
            <w:shd w:fill="FFFFFF" w:val="clear"/>
          </w:tcPr>
          <w:p>
            <w:r>
              <w:rPr>
                <w:sz w:val="19"/>
                <w:szCs w:val="19"/>
              </w:rPr>
              <w:t xml:space="preserve">Initial assignment</w:t>
            </w:r>
          </w:p>
        </w:tc>
        <w:tc>
          <w:tcPr>
            <w:tcW w:type="dxa" w:w="4800"/>
            <w:shd w:fill="FFFFFF" w:val="clear"/>
          </w:tcPr>
          <w:p>
            <w:r>
              <w:rPr>
                <w:sz w:val="19"/>
                <w:szCs w:val="19"/>
              </w:rPr>
              <w:t xml:space="preserve">Notify approver</w:t>
            </w:r>
          </w:p>
        </w:tc>
      </w:tr>
      <w:tr>
        <w:tc>
          <w:tcPr>
            <w:tcW w:type="dxa" w:w="1400"/>
            <w:shd w:fill="EEF1F5" w:val="clear"/>
          </w:tcPr>
          <w:p>
            <w:r>
              <w:rPr>
                <w:sz w:val="19"/>
                <w:szCs w:val="19"/>
              </w:rPr>
              <w:t xml:space="preserve">1</w:t>
            </w:r>
          </w:p>
        </w:tc>
        <w:tc>
          <w:tcPr>
            <w:tcW w:type="dxa" w:w="3800"/>
            <w:shd w:fill="EEF1F5" w:val="clear"/>
          </w:tcPr>
          <w:p>
            <w:r>
              <w:rPr>
                <w:sz w:val="19"/>
                <w:szCs w:val="19"/>
              </w:rPr>
              <w:t xml:space="preserve">50% SLA elapsed</w:t>
            </w:r>
          </w:p>
        </w:tc>
        <w:tc>
          <w:tcPr>
            <w:tcW w:type="dxa" w:w="4800"/>
            <w:shd w:fill="EEF1F5" w:val="clear"/>
          </w:tcPr>
          <w:p>
            <w:r>
              <w:rPr>
                <w:sz w:val="19"/>
                <w:szCs w:val="19"/>
              </w:rPr>
              <w:t xml:space="preserve">Reminder notification (configurable channel)</w:t>
            </w:r>
          </w:p>
        </w:tc>
      </w:tr>
      <w:tr>
        <w:tc>
          <w:tcPr>
            <w:tcW w:type="dxa" w:w="1400"/>
            <w:shd w:fill="FFFFFF" w:val="clear"/>
          </w:tcPr>
          <w:p>
            <w:r>
              <w:rPr>
                <w:sz w:val="19"/>
                <w:szCs w:val="19"/>
              </w:rPr>
              <w:t xml:space="preserve">2</w:t>
            </w:r>
          </w:p>
        </w:tc>
        <w:tc>
          <w:tcPr>
            <w:tcW w:type="dxa" w:w="3800"/>
            <w:shd w:fill="FFFFFF" w:val="clear"/>
          </w:tcPr>
          <w:p>
            <w:r>
              <w:rPr>
                <w:sz w:val="19"/>
                <w:szCs w:val="19"/>
              </w:rPr>
              <w:t xml:space="preserve">100% SLA elapsed</w:t>
            </w:r>
          </w:p>
        </w:tc>
        <w:tc>
          <w:tcPr>
            <w:tcW w:type="dxa" w:w="4800"/>
            <w:shd w:fill="FFFFFF" w:val="clear"/>
          </w:tcPr>
          <w:p>
            <w:r>
              <w:rPr>
                <w:sz w:val="19"/>
                <w:szCs w:val="19"/>
              </w:rPr>
              <w:t xml:space="preserve">Escalate to delegate</w:t>
            </w:r>
          </w:p>
        </w:tc>
      </w:tr>
      <w:tr>
        <w:tc>
          <w:tcPr>
            <w:tcW w:type="dxa" w:w="1400"/>
            <w:shd w:fill="EEF1F5" w:val="clear"/>
          </w:tcPr>
          <w:p>
            <w:r>
              <w:rPr>
                <w:sz w:val="19"/>
                <w:szCs w:val="19"/>
              </w:rPr>
              <w:t xml:space="preserve">3</w:t>
            </w:r>
          </w:p>
        </w:tc>
        <w:tc>
          <w:tcPr>
            <w:tcW w:type="dxa" w:w="3800"/>
            <w:shd w:fill="EEF1F5" w:val="clear"/>
          </w:tcPr>
          <w:p>
            <w:r>
              <w:rPr>
                <w:sz w:val="19"/>
                <w:szCs w:val="19"/>
              </w:rPr>
              <w:t xml:space="preserve">150% SLA elapsed</w:t>
            </w:r>
          </w:p>
        </w:tc>
        <w:tc>
          <w:tcPr>
            <w:tcW w:type="dxa" w:w="4800"/>
            <w:shd w:fill="EEF1F5" w:val="clear"/>
          </w:tcPr>
          <w:p>
            <w:r>
              <w:rPr>
                <w:sz w:val="19"/>
                <w:szCs w:val="19"/>
              </w:rPr>
              <w:t xml:space="preserve">Escalate to manager</w:t>
            </w:r>
          </w:p>
        </w:tc>
      </w:tr>
      <w:tr>
        <w:tc>
          <w:tcPr>
            <w:tcW w:type="dxa" w:w="1400"/>
            <w:shd w:fill="FFFFFF" w:val="clear"/>
          </w:tcPr>
          <w:p>
            <w:r>
              <w:rPr>
                <w:sz w:val="19"/>
                <w:szCs w:val="19"/>
              </w:rPr>
              <w:t xml:space="preserve">4</w:t>
            </w:r>
          </w:p>
        </w:tc>
        <w:tc>
          <w:tcPr>
            <w:tcW w:type="dxa" w:w="3800"/>
            <w:shd w:fill="FFFFFF" w:val="clear"/>
          </w:tcPr>
          <w:p>
            <w:r>
              <w:rPr>
                <w:sz w:val="19"/>
                <w:szCs w:val="19"/>
              </w:rPr>
              <w:t xml:space="preserve">200% SLA elapsed</w:t>
            </w:r>
          </w:p>
        </w:tc>
        <w:tc>
          <w:tcPr>
            <w:tcW w:type="dxa" w:w="4800"/>
            <w:shd w:fill="FFFFFF" w:val="clear"/>
          </w:tcPr>
          <w:p>
            <w:r>
              <w:rPr>
                <w:sz w:val="19"/>
                <w:szCs w:val="19"/>
              </w:rPr>
              <w:t xml:space="preserve">Escalate to department head</w:t>
            </w:r>
          </w:p>
        </w:tc>
      </w:tr>
      <w:tr>
        <w:tc>
          <w:tcPr>
            <w:tcW w:type="dxa" w:w="1400"/>
            <w:shd w:fill="EEF1F5" w:val="clear"/>
          </w:tcPr>
          <w:p>
            <w:r>
              <w:rPr>
                <w:sz w:val="19"/>
                <w:szCs w:val="19"/>
              </w:rPr>
              <w:t xml:space="preserve">5</w:t>
            </w:r>
          </w:p>
        </w:tc>
        <w:tc>
          <w:tcPr>
            <w:tcW w:type="dxa" w:w="3800"/>
            <w:shd w:fill="EEF1F5" w:val="clear"/>
          </w:tcPr>
          <w:p>
            <w:r>
              <w:rPr>
                <w:sz w:val="19"/>
                <w:szCs w:val="19"/>
              </w:rPr>
              <w:t xml:space="preserve">300% SLA elapsed</w:t>
            </w:r>
          </w:p>
        </w:tc>
        <w:tc>
          <w:tcPr>
            <w:tcW w:type="dxa" w:w="4800"/>
            <w:shd w:fill="EEF1F5" w:val="clear"/>
          </w:tcPr>
          <w:p>
            <w:r>
              <w:rPr>
                <w:sz w:val="19"/>
                <w:szCs w:val="19"/>
              </w:rPr>
              <w:t xml:space="preserve">Executive dashboard flag + administrator</w:t>
            </w:r>
          </w:p>
        </w:tc>
      </w:tr>
    </w:tbl>
    <w:p>
      <w:pPr>
        <w:spacing w:after="140" w:line="300"/>
      </w:pPr>
      <w:r>
        <w:rPr>
          <w:sz w:val="21"/>
          <w:szCs w:val="21"/>
        </w:rPr>
        <w:t xml:space="preserve">Levels, thresholds, and actions are all tenant-configurable per step; the table above is the default template, not a fixed ladder.</w:t>
      </w:r>
    </w:p>
    <w:p>
      <w:pPr>
        <w:pStyle w:val="Heading2"/>
        <w:spacing w:after="120" w:before="260"/>
      </w:pPr>
      <w:r>
        <w:rPr>
          <w:b/>
          <w:bCs/>
          <w:color w:val="1F3A5F"/>
          <w:sz w:val="24"/>
          <w:szCs w:val="24"/>
        </w:rPr>
        <w:t xml:space="preserve">6.3 Escalation Matrix</w:t>
      </w:r>
    </w:p>
    <w:p>
      <w:pPr>
        <w:spacing w:after="140" w:line="300"/>
      </w:pPr>
      <w:r>
        <w:rPr>
          <w:sz w:val="21"/>
          <w:szCs w:val="21"/>
        </w:rPr>
        <w:t xml:space="preserve">Tenants configure a role-to-role escalation chain independent of the level table above, e.g.: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dxa" w:w="4000"/>
            <w:shd w:fill="1F3A5F" w:val="clear"/>
          </w:tcPr>
          <w:p>
            <w:r>
              <w:rPr>
                <w:b/>
                <w:bCs/>
                <w:color w:val="FFFFFF"/>
                <w:sz w:val="19"/>
                <w:szCs w:val="19"/>
              </w:rPr>
              <w:t xml:space="preserve">Role</w:t>
            </w:r>
          </w:p>
        </w:tc>
        <w:tc>
          <w:tcPr>
            <w:tcW w:type="dxa" w:w="6000"/>
            <w:shd w:fill="1F3A5F" w:val="clear"/>
          </w:tcPr>
          <w:p>
            <w:r>
              <w:rPr>
                <w:b/>
                <w:bCs/>
                <w:color w:val="FFFFFF"/>
                <w:sz w:val="19"/>
                <w:szCs w:val="19"/>
              </w:rPr>
              <w:t xml:space="preserve">Escalates To</w:t>
            </w:r>
          </w:p>
        </w:tc>
      </w:tr>
      <w:tr>
        <w:tc>
          <w:tcPr>
            <w:tcW w:type="dxa" w:w="4000"/>
            <w:shd w:fill="FFFFFF" w:val="clear"/>
          </w:tcPr>
          <w:p>
            <w:r>
              <w:rPr>
                <w:sz w:val="19"/>
                <w:szCs w:val="19"/>
              </w:rPr>
              <w:t xml:space="preserve">Buyer</w:t>
            </w:r>
          </w:p>
        </w:tc>
        <w:tc>
          <w:tcPr>
            <w:tcW w:type="dxa" w:w="6000"/>
            <w:shd w:fill="FFFFFF" w:val="clear"/>
          </w:tcPr>
          <w:p>
            <w:r>
              <w:rPr>
                <w:sz w:val="19"/>
                <w:szCs w:val="19"/>
              </w:rPr>
              <w:t xml:space="preserve">Buyer Manager</w:t>
            </w:r>
          </w:p>
        </w:tc>
      </w:tr>
      <w:tr>
        <w:tc>
          <w:tcPr>
            <w:tcW w:type="dxa" w:w="4000"/>
            <w:shd w:fill="EEF1F5" w:val="clear"/>
          </w:tcPr>
          <w:p>
            <w:r>
              <w:rPr>
                <w:sz w:val="19"/>
                <w:szCs w:val="19"/>
              </w:rPr>
              <w:t xml:space="preserve">Manager</w:t>
            </w:r>
          </w:p>
        </w:tc>
        <w:tc>
          <w:tcPr>
            <w:tcW w:type="dxa" w:w="6000"/>
            <w:shd w:fill="EEF1F5" w:val="clear"/>
          </w:tcPr>
          <w:p>
            <w:r>
              <w:rPr>
                <w:sz w:val="19"/>
                <w:szCs w:val="19"/>
              </w:rPr>
              <w:t xml:space="preserve">Director</w:t>
            </w:r>
          </w:p>
        </w:tc>
      </w:tr>
      <w:tr>
        <w:tc>
          <w:tcPr>
            <w:tcW w:type="dxa" w:w="4000"/>
            <w:shd w:fill="FFFFFF" w:val="clear"/>
          </w:tcPr>
          <w:p>
            <w:r>
              <w:rPr>
                <w:sz w:val="19"/>
                <w:szCs w:val="19"/>
              </w:rPr>
              <w:t xml:space="preserve">Director</w:t>
            </w:r>
          </w:p>
        </w:tc>
        <w:tc>
          <w:tcPr>
            <w:tcW w:type="dxa" w:w="6000"/>
            <w:shd w:fill="FFFFFF" w:val="clear"/>
          </w:tcPr>
          <w:p>
            <w:r>
              <w:rPr>
                <w:sz w:val="19"/>
                <w:szCs w:val="19"/>
              </w:rPr>
              <w:t xml:space="preserve">VP Procurement</w:t>
            </w:r>
          </w:p>
        </w:tc>
      </w:tr>
      <w:tr>
        <w:tc>
          <w:tcPr>
            <w:tcW w:type="dxa" w:w="4000"/>
            <w:shd w:fill="EEF1F5" w:val="clear"/>
          </w:tcPr>
          <w:p>
            <w:r>
              <w:rPr>
                <w:sz w:val="19"/>
                <w:szCs w:val="19"/>
              </w:rPr>
              <w:t xml:space="preserve">VP</w:t>
            </w:r>
          </w:p>
        </w:tc>
        <w:tc>
          <w:tcPr>
            <w:tcW w:type="dxa" w:w="6000"/>
            <w:shd w:fill="EEF1F5" w:val="clear"/>
          </w:tcPr>
          <w:p>
            <w:r>
              <w:rPr>
                <w:sz w:val="19"/>
                <w:szCs w:val="19"/>
              </w:rPr>
              <w:t xml:space="preserve">COO</w:t>
            </w:r>
          </w:p>
        </w:tc>
      </w:tr>
      <w:tr>
        <w:tc>
          <w:tcPr>
            <w:tcW w:type="dxa" w:w="4000"/>
            <w:shd w:fill="FFFFFF" w:val="clear"/>
          </w:tcPr>
          <w:p>
            <w:r>
              <w:rPr>
                <w:sz w:val="19"/>
                <w:szCs w:val="19"/>
              </w:rPr>
              <w:t xml:space="preserve">AI Agent</w:t>
            </w:r>
          </w:p>
        </w:tc>
        <w:tc>
          <w:tcPr>
            <w:tcW w:type="dxa" w:w="6000"/>
            <w:shd w:fill="FFFFFF" w:val="clear"/>
          </w:tcPr>
          <w:p>
            <w:r>
              <w:rPr>
                <w:sz w:val="19"/>
                <w:szCs w:val="19"/>
              </w:rPr>
              <w:t xml:space="preserve">Human Reviewer</w:t>
            </w:r>
          </w:p>
        </w:tc>
      </w:tr>
    </w:tbl>
    <w:p>
      <w:pPr>
        <w:pStyle w:val="Heading2"/>
        <w:spacing w:after="120" w:before="260"/>
      </w:pPr>
      <w:r>
        <w:rPr>
          <w:b/>
          <w:bCs/>
          <w:color w:val="1F3A5F"/>
          <w:sz w:val="24"/>
          <w:szCs w:val="24"/>
        </w:rPr>
        <w:t xml:space="preserve">6.4 Escalation Policy Types</w:t>
      </w:r>
    </w:p>
    <w:p>
      <w:pPr>
        <w:spacing w:after="140" w:line="300"/>
      </w:pPr>
      <w:r>
        <w:rPr>
          <w:sz w:val="21"/>
          <w:szCs w:val="21"/>
        </w:rPr>
        <w:t xml:space="preserve">Per step, the tenant selects what an escalation event actually does:</w:t>
      </w:r>
    </w:p>
    <w:p>
      <w:pPr>
        <w:pStyle w:val="ListParagraph"/>
        <w:numPr>
          <w:ilvl w:val="0"/>
          <w:numId w:val="2"/>
        </w:numPr>
        <w:spacing w:after="80" w:line="280"/>
      </w:pPr>
      <w:r>
        <w:rPr>
          <w:sz w:val="21"/>
          <w:szCs w:val="21"/>
        </w:rPr>
        <w:t xml:space="preserve">Notify Only</w:t>
      </w:r>
    </w:p>
    <w:p>
      <w:pPr>
        <w:pStyle w:val="ListParagraph"/>
        <w:numPr>
          <w:ilvl w:val="0"/>
          <w:numId w:val="2"/>
        </w:numPr>
        <w:spacing w:after="80" w:line="280"/>
      </w:pPr>
      <w:r>
        <w:rPr>
          <w:sz w:val="21"/>
          <w:szCs w:val="21"/>
        </w:rPr>
        <w:t xml:space="preserve">Notify + Reminder</w:t>
      </w:r>
    </w:p>
    <w:p>
      <w:pPr>
        <w:pStyle w:val="ListParagraph"/>
        <w:numPr>
          <w:ilvl w:val="0"/>
          <w:numId w:val="2"/>
        </w:numPr>
        <w:spacing w:after="80" w:line="280"/>
      </w:pPr>
      <w:r>
        <w:rPr>
          <w:sz w:val="21"/>
          <w:szCs w:val="21"/>
        </w:rPr>
        <w:t xml:space="preserve">Reassign</w:t>
      </w:r>
    </w:p>
    <w:p>
      <w:pPr>
        <w:pStyle w:val="ListParagraph"/>
        <w:numPr>
          <w:ilvl w:val="0"/>
          <w:numId w:val="2"/>
        </w:numPr>
        <w:spacing w:after="80" w:line="280"/>
      </w:pPr>
      <w:r>
        <w:rPr>
          <w:sz w:val="21"/>
          <w:szCs w:val="21"/>
        </w:rPr>
        <w:t xml:space="preserve">Parallel Assignment (add an additional approver without removing the original)</w:t>
      </w:r>
    </w:p>
    <w:p>
      <w:pPr>
        <w:pStyle w:val="ListParagraph"/>
        <w:numPr>
          <w:ilvl w:val="0"/>
          <w:numId w:val="2"/>
        </w:numPr>
        <w:spacing w:after="80" w:line="280"/>
      </w:pPr>
      <w:r>
        <w:rPr>
          <w:sz w:val="21"/>
          <w:szCs w:val="21"/>
        </w:rPr>
        <w:t xml:space="preserve">Temporary Assignment (time-boxed delegate)</w:t>
      </w:r>
    </w:p>
    <w:p>
      <w:pPr>
        <w:pStyle w:val="ListParagraph"/>
        <w:numPr>
          <w:ilvl w:val="0"/>
          <w:numId w:val="2"/>
        </w:numPr>
        <w:spacing w:after="80" w:line="280"/>
      </w:pPr>
      <w:r>
        <w:rPr>
          <w:sz w:val="21"/>
          <w:szCs w:val="21"/>
        </w:rPr>
        <w:t xml:space="preserve">Manager Approval Required</w:t>
      </w:r>
    </w:p>
    <w:p>
      <w:pPr>
        <w:pStyle w:val="ListParagraph"/>
        <w:numPr>
          <w:ilvl w:val="0"/>
          <w:numId w:val="2"/>
        </w:numPr>
        <w:spacing w:after="80" w:line="280"/>
      </w:pPr>
      <w:r>
        <w:rPr>
          <w:sz w:val="21"/>
          <w:szCs w:val="21"/>
        </w:rPr>
        <w:t xml:space="preserve">Executive Approval Required</w:t>
      </w:r>
    </w:p>
    <w:p>
      <w:pPr>
        <w:pStyle w:val="ListParagraph"/>
        <w:numPr>
          <w:ilvl w:val="0"/>
          <w:numId w:val="2"/>
        </w:numPr>
        <w:spacing w:after="80" w:line="280"/>
      </w:pPr>
      <w:r>
        <w:rPr>
          <w:sz w:val="21"/>
          <w:szCs w:val="21"/>
        </w:rPr>
        <w:t xml:space="preserve">Suspend Workflow</w:t>
      </w:r>
    </w:p>
    <w:p>
      <w:pPr>
        <w:pStyle w:val="ListParagraph"/>
        <w:numPr>
          <w:ilvl w:val="0"/>
          <w:numId w:val="2"/>
        </w:numPr>
        <w:spacing w:after="80" w:line="280"/>
      </w:pPr>
      <w:r>
        <w:rPr>
          <w:sz w:val="21"/>
          <w:szCs w:val="21"/>
        </w:rPr>
        <w:t xml:space="preserve">Force Reject</w:t>
      </w:r>
    </w:p>
    <w:p>
      <w:pPr>
        <w:pStyle w:val="ListParagraph"/>
        <w:numPr>
          <w:ilvl w:val="0"/>
          <w:numId w:val="2"/>
        </w:numPr>
        <w:spacing w:after="80" w:line="280"/>
      </w:pPr>
      <w:r>
        <w:rPr>
          <w:sz w:val="21"/>
          <w:szCs w:val="21"/>
        </w:rPr>
        <w:t xml:space="preserve">Force Cancel</w:t>
      </w:r>
    </w:p>
    <w:p>
      <w:pPr>
        <w:pStyle w:val="Heading2"/>
        <w:spacing w:after="120" w:before="260"/>
      </w:pPr>
      <w:r>
        <w:rPr>
          <w:b/>
          <w:bCs/>
          <w:color w:val="1F3A5F"/>
          <w:sz w:val="24"/>
          <w:szCs w:val="24"/>
        </w:rPr>
        <w:t xml:space="preserve">6.5 Reminder Frequency &amp; Window</w:t>
      </w:r>
    </w:p>
    <w:p>
      <w:pPr>
        <w:pStyle w:val="ListParagraph"/>
        <w:numPr>
          <w:ilvl w:val="0"/>
          <w:numId w:val="2"/>
        </w:numPr>
        <w:spacing w:after="80" w:line="280"/>
      </w:pPr>
      <w:r>
        <w:rPr>
          <w:sz w:val="21"/>
          <w:szCs w:val="21"/>
        </w:rPr>
        <w:t xml:space="preserve">Frequency: every N hours, every business day, or a specific weekday</w:t>
      </w:r>
    </w:p>
    <w:p>
      <w:pPr>
        <w:pStyle w:val="ListParagraph"/>
        <w:numPr>
          <w:ilvl w:val="0"/>
          <w:numId w:val="2"/>
        </w:numPr>
        <w:spacing w:after="80" w:line="280"/>
      </w:pPr>
      <w:r>
        <w:rPr>
          <w:sz w:val="21"/>
          <w:szCs w:val="21"/>
        </w:rPr>
        <w:t xml:space="preserve">Maximum reminder count before moving to the next escalation level</w:t>
      </w:r>
    </w:p>
    <w:p>
      <w:pPr>
        <w:pStyle w:val="ListParagraph"/>
        <w:numPr>
          <w:ilvl w:val="0"/>
          <w:numId w:val="2"/>
        </w:numPr>
        <w:spacing w:after="80" w:line="280"/>
      </w:pPr>
      <w:r>
        <w:rPr>
          <w:sz w:val="21"/>
          <w:szCs w:val="21"/>
        </w:rPr>
        <w:t xml:space="preserve">Escalation window: business hours only, 24x7, or a specific regional calendar</w:t>
      </w:r>
    </w:p>
    <w:p>
      <w:pPr>
        <w:pStyle w:val="Heading2"/>
        <w:spacing w:after="120" w:before="260"/>
      </w:pPr>
      <w:r>
        <w:rPr>
          <w:b/>
          <w:bCs/>
          <w:color w:val="1F3A5F"/>
          <w:sz w:val="24"/>
          <w:szCs w:val="24"/>
        </w:rPr>
        <w:t xml:space="preserve">6.6 Maximum Escalation Depth</w:t>
      </w:r>
    </w:p>
    <w:p>
      <w:pPr>
        <w:spacing w:after="140" w:line="300"/>
      </w:pPr>
      <w:r>
        <w:rPr>
          <w:sz w:val="21"/>
          <w:szCs w:val="21"/>
        </w:rPr>
        <w:t xml:space="preserve">To prevent runaway escalation, each template configures a maximum escalation level, a maximum reminder count, and a maximum workflow age. On exceeding all three, the configured terminal action fires: Pause, Administrator Review, Terminate, or Force Close.</w:t>
      </w:r>
    </w:p>
    <w:p>
      <w:pPr>
        <w:pStyle w:val="Heading2"/>
        <w:spacing w:after="120" w:before="260"/>
      </w:pPr>
      <w:r>
        <w:rPr>
          <w:b/>
          <w:bCs/>
          <w:color w:val="1F3A5F"/>
          <w:sz w:val="24"/>
          <w:szCs w:val="24"/>
        </w:rPr>
        <w:t xml:space="preserve">6.7 Escalation Stop Conditions</w:t>
      </w:r>
    </w:p>
    <w:p>
      <w:pPr>
        <w:spacing w:after="140" w:line="300"/>
      </w:pPr>
      <w:r>
        <w:rPr>
          <w:sz w:val="21"/>
          <w:szCs w:val="21"/>
        </w:rPr>
        <w:t xml:space="preserve">Escalation immediately and unconditionally terminates when any of the following occur, so notifications never continue indefinitely after they're no longer relevant:</w:t>
      </w:r>
    </w:p>
    <w:p>
      <w:pPr>
        <w:pStyle w:val="ListParagraph"/>
        <w:numPr>
          <w:ilvl w:val="0"/>
          <w:numId w:val="2"/>
        </w:numPr>
        <w:spacing w:after="80" w:line="280"/>
      </w:pPr>
      <w:r>
        <w:rPr>
          <w:sz w:val="21"/>
          <w:szCs w:val="21"/>
        </w:rPr>
        <w:t xml:space="preserve">Step Approved</w:t>
      </w:r>
    </w:p>
    <w:p>
      <w:pPr>
        <w:pStyle w:val="ListParagraph"/>
        <w:numPr>
          <w:ilvl w:val="0"/>
          <w:numId w:val="2"/>
        </w:numPr>
        <w:spacing w:after="80" w:line="280"/>
      </w:pPr>
      <w:r>
        <w:rPr>
          <w:sz w:val="21"/>
          <w:szCs w:val="21"/>
        </w:rPr>
        <w:t xml:space="preserve">Step Rejected</w:t>
      </w:r>
    </w:p>
    <w:p>
      <w:pPr>
        <w:pStyle w:val="ListParagraph"/>
        <w:numPr>
          <w:ilvl w:val="0"/>
          <w:numId w:val="2"/>
        </w:numPr>
        <w:spacing w:after="80" w:line="280"/>
      </w:pPr>
      <w:r>
        <w:rPr>
          <w:sz w:val="21"/>
          <w:szCs w:val="21"/>
        </w:rPr>
        <w:t xml:space="preserve">Workflow Cancelled</w:t>
      </w:r>
    </w:p>
    <w:p>
      <w:pPr>
        <w:pStyle w:val="ListParagraph"/>
        <w:numPr>
          <w:ilvl w:val="0"/>
          <w:numId w:val="2"/>
        </w:numPr>
        <w:spacing w:after="80" w:line="280"/>
      </w:pPr>
      <w:r>
        <w:rPr>
          <w:sz w:val="21"/>
          <w:szCs w:val="21"/>
        </w:rPr>
        <w:t xml:space="preserve">Workflow Completed</w:t>
      </w:r>
    </w:p>
    <w:p>
      <w:pPr>
        <w:pStyle w:val="ListParagraph"/>
        <w:numPr>
          <w:ilvl w:val="0"/>
          <w:numId w:val="2"/>
        </w:numPr>
        <w:spacing w:after="80" w:line="280"/>
      </w:pPr>
      <w:r>
        <w:rPr>
          <w:sz w:val="21"/>
          <w:szCs w:val="21"/>
        </w:rPr>
        <w:t xml:space="preserve">Step Reassigned</w:t>
      </w:r>
    </w:p>
    <w:p>
      <w:pPr>
        <w:pStyle w:val="ListParagraph"/>
        <w:numPr>
          <w:ilvl w:val="0"/>
          <w:numId w:val="2"/>
        </w:numPr>
        <w:spacing w:after="80" w:line="280"/>
      </w:pPr>
      <w:r>
        <w:rPr>
          <w:sz w:val="21"/>
          <w:szCs w:val="21"/>
        </w:rPr>
        <w:t xml:space="preserve">Manual Override by Administrator</w:t>
      </w:r>
    </w:p>
    <w:p>
      <w:pPr>
        <w:pStyle w:val="ListParagraph"/>
        <w:numPr>
          <w:ilvl w:val="0"/>
          <w:numId w:val="2"/>
        </w:numPr>
        <w:spacing w:after="80" w:line="280"/>
      </w:pPr>
      <w:r>
        <w:rPr>
          <w:sz w:val="21"/>
          <w:szCs w:val="21"/>
        </w:rPr>
        <w:t xml:space="preserve">Workflow Suspended</w:t>
      </w:r>
    </w:p>
    <w:p>
      <w:pPr>
        <w:pStyle w:val="ListParagraph"/>
        <w:numPr>
          <w:ilvl w:val="0"/>
          <w:numId w:val="2"/>
        </w:numPr>
        <w:spacing w:after="80" w:line="280"/>
      </w:pPr>
      <w:r>
        <w:rPr>
          <w:sz w:val="21"/>
          <w:szCs w:val="21"/>
        </w:rPr>
        <w:t xml:space="preserve">Template Disabled</w:t>
      </w:r>
    </w:p>
    <w:p>
      <w:pPr>
        <w:pStyle w:val="ListParagraph"/>
        <w:numPr>
          <w:ilvl w:val="0"/>
          <w:numId w:val="2"/>
        </w:numPr>
        <w:spacing w:after="80" w:line="280"/>
      </w:pPr>
      <w:r>
        <w:rPr>
          <w:sz w:val="21"/>
          <w:szCs w:val="21"/>
        </w:rPr>
        <w:t xml:space="preserve">Instance Archived</w:t>
      </w:r>
    </w:p>
    <w:p>
      <w:pPr>
        <w:pStyle w:val="Heading2"/>
        <w:spacing w:after="120" w:before="260"/>
      </w:pPr>
      <w:r>
        <w:rPr>
          <w:b/>
          <w:bCs/>
          <w:color w:val="1F3A5F"/>
          <w:sz w:val="24"/>
          <w:szCs w:val="24"/>
        </w:rPr>
        <w:t xml:space="preserve">6.8 Escalation Exception Rules</w:t>
      </w:r>
    </w:p>
    <w:p>
      <w:pPr>
        <w:spacing w:after="140" w:line="300"/>
      </w:pPr>
      <w:r>
        <w:rPr>
          <w:sz w:val="21"/>
          <w:szCs w:val="21"/>
        </w:rPr>
        <w:t xml:space="preserve">Certain workflow classes need hard exceptions to the normal escalation policy, configured explicitly rather than inferred:</w:t>
      </w:r>
    </w:p>
    <w:p>
      <w:pPr>
        <w:pStyle w:val="ListParagraph"/>
        <w:numPr>
          <w:ilvl w:val="0"/>
          <w:numId w:val="2"/>
        </w:numPr>
        <w:spacing w:after="80" w:line="280"/>
      </w:pPr>
      <w:r>
        <w:rPr>
          <w:sz w:val="21"/>
          <w:szCs w:val="21"/>
        </w:rPr>
        <w:t xml:space="preserve">CEO-level approval — never auto-escalate past the named approver</w:t>
      </w:r>
    </w:p>
    <w:p>
      <w:pPr>
        <w:pStyle w:val="ListParagraph"/>
        <w:numPr>
          <w:ilvl w:val="0"/>
          <w:numId w:val="2"/>
        </w:numPr>
        <w:spacing w:after="80" w:line="280"/>
      </w:pPr>
      <w:r>
        <w:rPr>
          <w:sz w:val="21"/>
          <w:szCs w:val="21"/>
        </w:rPr>
        <w:t xml:space="preserve">Legal review — never eligible for auto-approval, regardless of age</w:t>
      </w:r>
    </w:p>
    <w:p>
      <w:pPr>
        <w:pStyle w:val="ListParagraph"/>
        <w:numPr>
          <w:ilvl w:val="0"/>
          <w:numId w:val="2"/>
        </w:numPr>
        <w:spacing w:after="80" w:line="280"/>
      </w:pPr>
      <w:r>
        <w:rPr>
          <w:sz w:val="21"/>
          <w:szCs w:val="21"/>
        </w:rPr>
        <w:t xml:space="preserve">SOX-controlled workflows — administrator-only escalation path, no peer reassignment</w:t>
      </w:r>
    </w:p>
    <w:p>
      <w:pPr>
        <w:pStyle w:val="ListParagraph"/>
        <w:numPr>
          <w:ilvl w:val="0"/>
          <w:numId w:val="2"/>
        </w:numPr>
        <w:spacing w:after="80" w:line="280"/>
      </w:pPr>
      <w:r>
        <w:rPr>
          <w:sz w:val="21"/>
          <w:szCs w:val="21"/>
        </w:rPr>
        <w:t xml:space="preserve">Government procurement — no automatic reassignment permitted; manual only</w:t>
      </w:r>
    </w:p>
    <w:p>
      <w:pPr>
        <w:pStyle w:val="Heading2"/>
        <w:spacing w:after="120" w:before="260"/>
      </w:pPr>
      <w:r>
        <w:rPr>
          <w:b/>
          <w:bCs/>
          <w:color w:val="1F3A5F"/>
          <w:sz w:val="24"/>
          <w:szCs w:val="24"/>
        </w:rPr>
        <w:t xml:space="preserve">6.9 Auto-Approval Rules</w:t>
      </w:r>
    </w:p>
    <w:p>
      <w:pPr>
        <w:spacing w:after="140" w:line="300"/>
      </w:pPr>
      <w:r>
        <w:rPr>
          <w:sz w:val="21"/>
          <w:szCs w:val="21"/>
        </w:rPr>
        <w:t xml:space="preserve">Some tenants want low-risk, low-value steps to auto-approve if nobody acts within a window (e.g. a $50 office-supply request after 10 days); others forbid this entirely. This is an explicit, opt-in configuration, never a default:</w:t>
      </w:r>
    </w:p>
    <w:p>
      <w:pPr>
        <w:pStyle w:val="ListParagraph"/>
        <w:numPr>
          <w:ilvl w:val="0"/>
          <w:numId w:val="2"/>
        </w:numPr>
        <w:spacing w:after="80" w:line="280"/>
      </w:pPr>
      <w:r>
        <w:rPr>
          <w:sz w:val="21"/>
          <w:szCs w:val="21"/>
        </w:rPr>
        <w:t xml:space="preserve">Allow Auto-Approval: Yes/No (default No)</w:t>
      </w:r>
    </w:p>
    <w:p>
      <w:pPr>
        <w:pStyle w:val="ListParagraph"/>
        <w:numPr>
          <w:ilvl w:val="0"/>
          <w:numId w:val="2"/>
        </w:numPr>
        <w:spacing w:after="80" w:line="280"/>
      </w:pPr>
      <w:r>
        <w:rPr>
          <w:sz w:val="21"/>
          <w:szCs w:val="21"/>
        </w:rPr>
        <w:t xml:space="preserve">Allowed categories and amount ceilings</w:t>
      </w:r>
    </w:p>
    <w:p>
      <w:pPr>
        <w:pStyle w:val="ListParagraph"/>
        <w:numPr>
          <w:ilvl w:val="0"/>
          <w:numId w:val="2"/>
        </w:numPr>
        <w:spacing w:after="80" w:line="280"/>
      </w:pPr>
      <w:r>
        <w:rPr>
          <w:sz w:val="21"/>
          <w:szCs w:val="21"/>
        </w:rPr>
        <w:t xml:space="preserve">Forbidden categories (hard block, cannot be overridden by lower-level config)</w:t>
      </w:r>
    </w:p>
    <w:p>
      <w:pPr>
        <w:pStyle w:val="ListParagraph"/>
        <w:numPr>
          <w:ilvl w:val="0"/>
          <w:numId w:val="2"/>
        </w:numPr>
        <w:spacing w:after="80" w:line="280"/>
      </w:pPr>
      <w:r>
        <w:rPr>
          <w:sz w:val="21"/>
          <w:szCs w:val="21"/>
        </w:rPr>
        <w:t xml:space="preserve">Compliance exceptions always take precedence over auto-approval config</w:t>
      </w:r>
    </w:p>
    <w:p>
      <w:pPr>
        <w:pStyle w:val="Heading2"/>
        <w:spacing w:after="120" w:before="260"/>
      </w:pPr>
      <w:r>
        <w:rPr>
          <w:b/>
          <w:bCs/>
          <w:color w:val="1F3A5F"/>
          <w:sz w:val="24"/>
          <w:szCs w:val="24"/>
        </w:rPr>
        <w:t xml:space="preserve">6.10 Notification Channels</w:t>
      </w:r>
    </w:p>
    <w:p>
      <w:pPr>
        <w:pStyle w:val="ListParagraph"/>
        <w:numPr>
          <w:ilvl w:val="0"/>
          <w:numId w:val="2"/>
        </w:numPr>
        <w:spacing w:after="80" w:line="280"/>
      </w:pPr>
      <w:r>
        <w:rPr>
          <w:sz w:val="21"/>
          <w:szCs w:val="21"/>
        </w:rPr>
        <w:t xml:space="preserve">Email</w:t>
      </w:r>
    </w:p>
    <w:p>
      <w:pPr>
        <w:pStyle w:val="ListParagraph"/>
        <w:numPr>
          <w:ilvl w:val="0"/>
          <w:numId w:val="2"/>
        </w:numPr>
        <w:spacing w:after="80" w:line="280"/>
      </w:pPr>
      <w:r>
        <w:rPr>
          <w:sz w:val="21"/>
          <w:szCs w:val="21"/>
        </w:rPr>
        <w:t xml:space="preserve">SMS</w:t>
      </w:r>
    </w:p>
    <w:p>
      <w:pPr>
        <w:pStyle w:val="ListParagraph"/>
        <w:numPr>
          <w:ilvl w:val="0"/>
          <w:numId w:val="2"/>
        </w:numPr>
        <w:spacing w:after="80" w:line="280"/>
      </w:pPr>
      <w:r>
        <w:rPr>
          <w:sz w:val="21"/>
          <w:szCs w:val="21"/>
        </w:rPr>
        <w:t xml:space="preserve">Microsoft Teams</w:t>
      </w:r>
    </w:p>
    <w:p>
      <w:pPr>
        <w:pStyle w:val="ListParagraph"/>
        <w:numPr>
          <w:ilvl w:val="0"/>
          <w:numId w:val="2"/>
        </w:numPr>
        <w:spacing w:after="80" w:line="280"/>
      </w:pPr>
      <w:r>
        <w:rPr>
          <w:sz w:val="21"/>
          <w:szCs w:val="21"/>
        </w:rPr>
        <w:t xml:space="preserve">Slack</w:t>
      </w:r>
    </w:p>
    <w:p>
      <w:pPr>
        <w:pStyle w:val="ListParagraph"/>
        <w:numPr>
          <w:ilvl w:val="0"/>
          <w:numId w:val="2"/>
        </w:numPr>
        <w:spacing w:after="80" w:line="280"/>
      </w:pPr>
      <w:r>
        <w:rPr>
          <w:sz w:val="21"/>
          <w:szCs w:val="21"/>
        </w:rPr>
        <w:t xml:space="preserve">Mobile push</w:t>
      </w:r>
    </w:p>
    <w:p>
      <w:pPr>
        <w:pStyle w:val="ListParagraph"/>
        <w:numPr>
          <w:ilvl w:val="0"/>
          <w:numId w:val="2"/>
        </w:numPr>
        <w:spacing w:after="80" w:line="280"/>
      </w:pPr>
      <w:r>
        <w:rPr>
          <w:sz w:val="21"/>
          <w:szCs w:val="21"/>
        </w:rPr>
        <w:t xml:space="preserve">Webhook</w:t>
      </w:r>
    </w:p>
    <w:p>
      <w:pPr>
        <w:pStyle w:val="ListParagraph"/>
        <w:numPr>
          <w:ilvl w:val="0"/>
          <w:numId w:val="2"/>
        </w:numPr>
        <w:spacing w:after="80" w:line="280"/>
      </w:pPr>
      <w:r>
        <w:rPr>
          <w:sz w:val="21"/>
          <w:szCs w:val="21"/>
        </w:rPr>
        <w:t xml:space="preserve">SAP inbox</w:t>
      </w:r>
    </w:p>
    <w:p>
      <w:pPr>
        <w:pStyle w:val="ListParagraph"/>
        <w:numPr>
          <w:ilvl w:val="0"/>
          <w:numId w:val="2"/>
        </w:numPr>
        <w:spacing w:after="80" w:line="280"/>
      </w:pPr>
      <w:r>
        <w:rPr>
          <w:sz w:val="21"/>
          <w:szCs w:val="21"/>
        </w:rPr>
        <w:t xml:space="preserve">ProcuraAI inbox</w:t>
      </w:r>
    </w:p>
    <w:p>
      <w:pPr>
        <w:pStyle w:val="ListParagraph"/>
        <w:numPr>
          <w:ilvl w:val="0"/>
          <w:numId w:val="2"/>
        </w:numPr>
        <w:spacing w:after="80" w:line="280"/>
      </w:pPr>
      <w:r>
        <w:rPr>
          <w:sz w:val="21"/>
          <w:szCs w:val="21"/>
        </w:rPr>
        <w:t xml:space="preserve">Daily digest</w:t>
      </w:r>
    </w:p>
    <w:p>
      <w:pPr>
        <w:pStyle w:val="Heading2"/>
        <w:spacing w:after="120" w:before="260"/>
      </w:pPr>
      <w:r>
        <w:rPr>
          <w:b/>
          <w:bCs/>
          <w:color w:val="1F3A5F"/>
          <w:sz w:val="24"/>
          <w:szCs w:val="24"/>
        </w:rPr>
        <w:t xml:space="preserve">6.11 AI-Based Predictive Escalation</w:t>
      </w:r>
    </w:p>
    <w:p>
      <w:pPr>
        <w:spacing w:after="140" w:line="300"/>
      </w:pPr>
      <w:r>
        <w:rPr>
          <w:sz w:val="21"/>
          <w:szCs w:val="21"/>
        </w:rPr>
        <w:t xml:space="preserve">As a differentiator beyond static SLA timers, the engine can use historical response-time data per approver to predict likely breaches before they happen — e.g. if an approver historically responds in ~6 days against a 5-day SLA, the engine can proactively suggest or trigger rerouting ahead of the deadline rather than waiting for the breach. Related capabilities: detecting approval bottlenecks, recommending workload rebalancing across a pool, and flagging anomalous approval patterns (e.g. potential collusion signals) for administrator review — the engine surfaces these as recommendations, and per the fail-safe principle (Section 2) never auto-reassigns purely on a prediction without configuration explicitly allowing it.</w:t>
      </w:r>
    </w:p>
    <w:p>
      <w:pPr>
        <w:pStyle w:val="Heading2"/>
        <w:spacing w:after="120" w:before="260"/>
      </w:pPr>
      <w:r>
        <w:rPr>
          <w:b/>
          <w:bCs/>
          <w:color w:val="1F3A5F"/>
          <w:sz w:val="24"/>
          <w:szCs w:val="24"/>
        </w:rPr>
        <w:t xml:space="preserve">6.12 Escalation Log &amp; Dashboard</w:t>
      </w:r>
    </w:p>
    <w:p>
      <w:pPr>
        <w:spacing w:after="140" w:line="300"/>
      </w:pPr>
      <w:r>
        <w:rPr>
          <w:sz w:val="21"/>
          <w:szCs w:val="21"/>
        </w:rPr>
        <w:t xml:space="preserve">Every escalation event is recorded in an EscalationLog (level, reason, old assignee, new assignee, timestamp, notification IDs, response, resolution time), feeding both the audit trail and an administrator-facing dashboard covering: current escalations, critical escalations, escalation by department, average escalation time, most-delayed approvers, SLA success rate, escalation trend, and a computed risk score.</w:t>
      </w:r>
    </w:p>
    <w:p>
      <w:pPr>
        <w:pStyle w:val="Heading2"/>
        <w:spacing w:after="120" w:before="260"/>
      </w:pPr>
      <w:r>
        <w:rPr>
          <w:b/>
          <w:bCs/>
          <w:color w:val="1F3A5F"/>
          <w:sz w:val="24"/>
          <w:szCs w:val="24"/>
        </w:rPr>
        <w:t xml:space="preserve">6.13 Supervisor-Cascade Escalation (Reassignment-Based)</w:t>
      </w:r>
    </w:p>
    <w:p>
      <w:pPr>
        <w:spacing w:after="140" w:line="300"/>
      </w:pPr>
      <w:r>
        <w:rPr>
          <w:sz w:val="21"/>
          <w:szCs w:val="21"/>
        </w:rPr>
        <w:t xml:space="preserve">This mechanism is distinct from the notify-only ladder in Sections 6.2–6.10: rather than sending reminders while the same person remains assigned, it reassigns the pending StepAssignment itself up an organizational chain when an assignee takes no action within a defined window. Both mechanisms operate concurrently and independently — a step can send percent-of-SLA reminders while also being subject to supervisor-cascade reassignment.</w:t>
      </w:r>
    </w:p>
    <w:p>
      <w:pPr>
        <w:pStyle w:val="Heading3"/>
        <w:spacing w:after="100" w:before="200"/>
      </w:pPr>
      <w:r>
        <w:rPr>
          <w:b/>
          <w:bCs/>
          <w:color w:val="B5651D"/>
          <w:sz w:val="22"/>
          <w:szCs w:val="22"/>
        </w:rPr>
        <w:t xml:space="preserve">6.13.1 Business-Day-Aware Timeout Window</w:t>
      </w:r>
    </w:p>
    <w:p>
      <w:pPr>
        <w:spacing w:after="140" w:line="300"/>
      </w:pPr>
      <w:r>
        <w:rPr>
          <w:sz w:val="21"/>
          <w:szCs w:val="21"/>
        </w:rPr>
        <w:t xml:space="preserve">The cascade trigger is a fixed window expressed in business days (default: 5 business days of no action on the current assignment). Elapsed business-day calculation excludes weekends; holiday-awareness is deferred to a later phase (tracked against the broader business-calendar requirement in Section 6.1) and noted as a TODO in the implementation rather than silently assumed.</w:t>
      </w:r>
    </w:p>
    <w:p>
      <w:pPr>
        <w:pStyle w:val="Heading3"/>
        <w:spacing w:after="100" w:before="200"/>
      </w:pPr>
      <w:r>
        <w:rPr>
          <w:b/>
          <w:bCs/>
          <w:color w:val="B5651D"/>
          <w:sz w:val="22"/>
          <w:szCs w:val="22"/>
        </w:rPr>
        <w:t xml:space="preserve">6.13.2 Cascade Mechanics — Fresh Clock Per Level</w:t>
      </w:r>
    </w:p>
    <w:p>
      <w:pPr>
        <w:spacing w:after="140" w:line="300"/>
      </w:pPr>
      <w:r>
        <w:rPr>
          <w:sz w:val="21"/>
          <w:szCs w:val="21"/>
        </w:rPr>
        <w:t xml:space="preserve">When an assignee's window elapses without action: the current StepAssignment is marked reassigned (not deleted — the audit trail is additive, consistent with the rest of this spec's audit-by-snapshot principle), a new StepAssignment is created for that assignee's supervisor with its own assignedAt timestamp, and an EscalationLog entry records the oldAssignee/newAssignee pair and the reason. Critically, the new assignment gets its own fresh 5-business-day window — the clock resets at each level rather than sharing one budget across the whole chain, so a supervisor genuinely gets a full window to act rather than inheriting whatever time their subordinate had already used.</w:t>
      </w:r>
    </w:p>
    <w:p>
      <w:pPr>
        <w:pStyle w:val="Heading3"/>
        <w:spacing w:after="100" w:before="200"/>
      </w:pPr>
      <w:r>
        <w:rPr>
          <w:b/>
          <w:bCs/>
          <w:color w:val="B5651D"/>
          <w:sz w:val="22"/>
          <w:szCs w:val="22"/>
        </w:rPr>
        <w:t xml:space="preserve">6.13.3 Supervisor Relationship vs. Delegate</w:t>
      </w:r>
    </w:p>
    <w:p>
      <w:pPr>
        <w:spacing w:after="140" w:line="300"/>
      </w:pPr>
      <w:r>
        <w:rPr>
          <w:sz w:val="21"/>
          <w:szCs w:val="21"/>
        </w:rPr>
        <w:t xml:space="preserve">supervisorId (who escalation cascades to) is a distinct relationship from delegateId (Section 5.3 — a peer stand-in used for immediate unavailability, e.g. out-of-office). A user may have both: a delegate covers day-to-day absence without any SLA breach; a supervisor is only engaged after the assignee has genuinely failed to act within their window.</w:t>
      </w:r>
    </w:p>
    <w:p>
      <w:pPr>
        <w:pStyle w:val="Heading3"/>
        <w:spacing w:after="100" w:before="200"/>
      </w:pPr>
      <w:r>
        <w:rPr>
          <w:b/>
          <w:bCs/>
          <w:color w:val="B5651D"/>
          <w:sz w:val="22"/>
          <w:szCs w:val="22"/>
        </w:rPr>
        <w:t xml:space="preserve">6.13.4 Escalation Ceiling</w:t>
      </w:r>
    </w:p>
    <w:p>
      <w:pPr>
        <w:spacing w:after="140" w:line="300"/>
      </w:pPr>
      <w:r>
        <w:rPr>
          <w:sz w:val="21"/>
          <w:szCs w:val="21"/>
        </w:rPr>
        <w:t xml:space="preserve">A tenant may designate specific users as an escalation ceiling (e.g. VP-level roles) via an isEscalationCeiling flag on their availability record. When cascade reaches a ceiling member and their own window elapses, the chain does not continue upward even if that user has a supervisorId configured — cascading past a designated ceiling is not assumed to be desirable purely because the data allows it. Instead, the assignment routes to the Administrator default (Section 6.13.5).</w:t>
      </w:r>
    </w:p>
    <w:p>
      <w:pPr>
        <w:pStyle w:val="Heading3"/>
        <w:spacing w:after="100" w:before="200"/>
      </w:pPr>
      <w:r>
        <w:rPr>
          <w:b/>
          <w:bCs/>
          <w:color w:val="B5651D"/>
          <w:sz w:val="22"/>
          <w:szCs w:val="22"/>
        </w:rPr>
        <w:t xml:space="preserve">6.13.5 Administrator Default Approver</w:t>
      </w:r>
    </w:p>
    <w:p>
      <w:pPr>
        <w:spacing w:after="140" w:line="300"/>
      </w:pPr>
      <w:r>
        <w:rPr>
          <w:sz w:val="21"/>
          <w:szCs w:val="21"/>
        </w:rPr>
        <w:t xml:space="preserve">Each WorkflowTemplate names an administratorUserId — the tenant's designated fallback actor. The cascade routes here in two cases: (a) an assignee has no supervisorId at all (natural top of a chain), or (b) an escalation-ceiling member's own window elapses. In both cases the instance is left with a real, actionable StepAssignment rather than an orphaned Escalated state with nobody assigned. The Administrator assignment carries no further timeout — it is the permanent end of the cascade, consistent with the fail-safe-not-fail-open principle: better a single, clearly-accountable human backstop than an indefinitely-escalating or silently-stalled chain.</w:t>
      </w:r>
    </w:p>
    <w:p>
      <w:pPr>
        <w:pStyle w:val="Heading3"/>
        <w:spacing w:after="100" w:before="200"/>
      </w:pPr>
      <w:r>
        <w:rPr>
          <w:b/>
          <w:bCs/>
          <w:color w:val="B5651D"/>
          <w:sz w:val="22"/>
          <w:szCs w:val="22"/>
        </w:rPr>
        <w:t xml:space="preserve">6.13.6 Idempotency</w:t>
      </w:r>
    </w:p>
    <w:p>
      <w:pPr>
        <w:spacing w:after="140" w:line="300"/>
      </w:pPr>
      <w:r>
        <w:rPr>
          <w:sz w:val="21"/>
          <w:szCs w:val="21"/>
        </w:rPr>
        <w:t xml:space="preserve">Checking a stale assignment repeatedly is safe: because each cascade creates a new assignment with a fresh assignedAt, an immediate re-check against the new (supervisor's) assignment correctly reports "within window" rather than cascading again. A re-check against an Administrator assignment reports that no further cascade is possible, rather than attempting one.</w:t>
      </w:r>
    </w:p>
    <w:p>
      <w:pPr>
        <w:pStyle w:val="Heading1"/>
        <w:spacing w:after="160" w:before="360"/>
      </w:pPr>
      <w:r>
        <w:rPr>
          <w:b/>
          <w:bCs/>
          <w:color w:val="1F3A5F"/>
          <w:sz w:val="30"/>
          <w:szCs w:val="30"/>
        </w:rPr>
        <w:t xml:space="preserve">7. Workflow Suspension &amp; Expiration</w:t>
      </w:r>
    </w:p>
    <w:p>
      <w:pPr>
        <w:pStyle w:val="Heading2"/>
        <w:spacing w:after="120" w:before="260"/>
      </w:pPr>
      <w:r>
        <w:rPr>
          <w:b/>
          <w:bCs/>
          <w:color w:val="1F3A5F"/>
          <w:sz w:val="24"/>
          <w:szCs w:val="24"/>
        </w:rPr>
        <w:t xml:space="preserve">7.1 Suspension States</w:t>
      </w:r>
    </w:p>
    <w:p>
      <w:pPr>
        <w:spacing w:after="140" w:line="300"/>
      </w:pPr>
      <w:r>
        <w:rPr>
          <w:sz w:val="21"/>
          <w:szCs w:val="21"/>
        </w:rPr>
        <w:t xml:space="preserve">Instances can enter Suspended / On Hold when progress must pause for an external reason — an ERP outage, a scheduled financial close, a holiday freeze, or an explicit administrator hold. While suspended, all SLA and escalation timers are paused, not merely ignored, so elapsed time resumes correctly rather than jumping to an immediate breach on resume.</w:t>
      </w:r>
    </w:p>
    <w:p>
      <w:pPr>
        <w:pStyle w:val="Heading2"/>
        <w:spacing w:after="120" w:before="260"/>
      </w:pPr>
      <w:r>
        <w:rPr>
          <w:b/>
          <w:bCs/>
          <w:color w:val="1F3A5F"/>
          <w:sz w:val="24"/>
          <w:szCs w:val="24"/>
        </w:rPr>
        <w:t xml:space="preserve">7.2 Stale Instance Policy</w:t>
      </w:r>
    </w:p>
    <w:p>
      <w:pPr>
        <w:spacing w:after="140" w:line="300"/>
      </w:pPr>
      <w:r>
        <w:rPr>
          <w:sz w:val="21"/>
          <w:szCs w:val="21"/>
        </w:rPr>
        <w:t xml:space="preserve">An instance can otherwise sit in Draft indefinitely if a requester never submits it. After a configurable inactivity period (default 30 days), the engine automatically flags the instance and, per tenant configuration, either cancels it or routes it to administrator review — preventing indefinite data clutter and stale-instance noise in reporting.</w:t>
      </w:r>
    </w:p>
    <w:p>
      <w:pPr>
        <w:pStyle w:val="Heading2"/>
        <w:spacing w:after="120" w:before="260"/>
      </w:pPr>
      <w:r>
        <w:rPr>
          <w:b/>
          <w:bCs/>
          <w:color w:val="1F3A5F"/>
          <w:sz w:val="24"/>
          <w:szCs w:val="24"/>
        </w:rPr>
        <w:t xml:space="preserve">7.3 Workflow Expiration</w:t>
      </w:r>
    </w:p>
    <w:p>
      <w:pPr>
        <w:spacing w:after="140" w:line="300"/>
      </w:pPr>
      <w:r>
        <w:rPr>
          <w:sz w:val="21"/>
          <w:szCs w:val="21"/>
        </w:rPr>
        <w:t xml:space="preserve">Independent of staleness, each template can define a maximum instance age (e.g. 30/60/90/180 days) after which an in-flight instance is automatically Archived, Cancelled, Restarted, or flagged for Administrator Review, per tenant configuration.</w:t>
      </w:r>
    </w:p>
    <w:p>
      <w:pPr>
        <w:pStyle w:val="Heading1"/>
        <w:spacing w:after="160" w:before="360"/>
      </w:pPr>
      <w:r>
        <w:rPr>
          <w:b/>
          <w:bCs/>
          <w:color w:val="1F3A5F"/>
          <w:sz w:val="30"/>
          <w:szCs w:val="30"/>
        </w:rPr>
        <w:t xml:space="preserve">8. Emergency Override &amp; Admin Actions</w:t>
      </w:r>
    </w:p>
    <w:p>
      <w:pPr>
        <w:spacing w:after="140" w:line="300"/>
      </w:pPr>
      <w:r>
        <w:rPr>
          <w:sz w:val="21"/>
          <w:szCs w:val="21"/>
        </w:rPr>
        <w:t xml:space="preserve">Administrators need a defined, fully-audited set of override actions for situations the normal flow can't resolve — never a backdoor, always logged with actor, timestamp, and justification:</w:t>
      </w:r>
    </w:p>
    <w:p>
      <w:pPr>
        <w:pStyle w:val="ListParagraph"/>
        <w:numPr>
          <w:ilvl w:val="0"/>
          <w:numId w:val="2"/>
        </w:numPr>
        <w:spacing w:after="80" w:line="280"/>
      </w:pPr>
      <w:r>
        <w:rPr>
          <w:sz w:val="21"/>
          <w:szCs w:val="21"/>
        </w:rPr>
        <w:t xml:space="preserve">Force Approve</w:t>
      </w:r>
    </w:p>
    <w:p>
      <w:pPr>
        <w:pStyle w:val="ListParagraph"/>
        <w:numPr>
          <w:ilvl w:val="0"/>
          <w:numId w:val="2"/>
        </w:numPr>
        <w:spacing w:after="80" w:line="280"/>
      </w:pPr>
      <w:r>
        <w:rPr>
          <w:sz w:val="21"/>
          <w:szCs w:val="21"/>
        </w:rPr>
        <w:t xml:space="preserve">Force Reject</w:t>
      </w:r>
    </w:p>
    <w:p>
      <w:pPr>
        <w:pStyle w:val="ListParagraph"/>
        <w:numPr>
          <w:ilvl w:val="0"/>
          <w:numId w:val="2"/>
        </w:numPr>
        <w:spacing w:after="80" w:line="280"/>
      </w:pPr>
      <w:r>
        <w:rPr>
          <w:sz w:val="21"/>
          <w:szCs w:val="21"/>
        </w:rPr>
        <w:t xml:space="preserve">Skip Step</w:t>
      </w:r>
    </w:p>
    <w:p>
      <w:pPr>
        <w:pStyle w:val="ListParagraph"/>
        <w:numPr>
          <w:ilvl w:val="0"/>
          <w:numId w:val="2"/>
        </w:numPr>
        <w:spacing w:after="80" w:line="280"/>
      </w:pPr>
      <w:r>
        <w:rPr>
          <w:sz w:val="21"/>
          <w:szCs w:val="21"/>
        </w:rPr>
        <w:t xml:space="preserve">Reassign</w:t>
      </w:r>
    </w:p>
    <w:p>
      <w:pPr>
        <w:pStyle w:val="ListParagraph"/>
        <w:numPr>
          <w:ilvl w:val="0"/>
          <w:numId w:val="2"/>
        </w:numPr>
        <w:spacing w:after="80" w:line="280"/>
      </w:pPr>
      <w:r>
        <w:rPr>
          <w:sz w:val="21"/>
          <w:szCs w:val="21"/>
        </w:rPr>
        <w:t xml:space="preserve">Jump to Step</w:t>
      </w:r>
    </w:p>
    <w:p>
      <w:pPr>
        <w:pStyle w:val="ListParagraph"/>
        <w:numPr>
          <w:ilvl w:val="0"/>
          <w:numId w:val="2"/>
        </w:numPr>
        <w:spacing w:after="80" w:line="280"/>
      </w:pPr>
      <w:r>
        <w:rPr>
          <w:sz w:val="21"/>
          <w:szCs w:val="21"/>
        </w:rPr>
        <w:t xml:space="preserve">Restart</w:t>
      </w:r>
    </w:p>
    <w:p>
      <w:pPr>
        <w:pStyle w:val="ListParagraph"/>
        <w:numPr>
          <w:ilvl w:val="0"/>
          <w:numId w:val="2"/>
        </w:numPr>
        <w:spacing w:after="80" w:line="280"/>
      </w:pPr>
      <w:r>
        <w:rPr>
          <w:sz w:val="21"/>
          <w:szCs w:val="21"/>
        </w:rPr>
        <w:t xml:space="preserve">Rollback</w:t>
      </w:r>
    </w:p>
    <w:p>
      <w:pPr>
        <w:pStyle w:val="ListParagraph"/>
        <w:numPr>
          <w:ilvl w:val="0"/>
          <w:numId w:val="2"/>
        </w:numPr>
        <w:spacing w:after="80" w:line="280"/>
      </w:pPr>
      <w:r>
        <w:rPr>
          <w:sz w:val="21"/>
          <w:szCs w:val="21"/>
        </w:rPr>
        <w:t xml:space="preserve">Terminate</w:t>
      </w:r>
    </w:p>
    <w:p>
      <w:pPr>
        <w:spacing w:after="140" w:line="300"/>
      </w:pPr>
      <w:r>
        <w:rPr>
          <w:sz w:val="21"/>
          <w:szCs w:val="21"/>
        </w:rPr>
        <w:t xml:space="preserve">Every override action is written to the TransitionLog with actorType = Administrator, a mandatory justification field, and is surfaced distinctly in audit reports so reviewers can immediately identify manual interventions versus system-driven transitions.</w:t>
      </w:r>
    </w:p>
    <w:p>
      <w:pPr>
        <w:pStyle w:val="Heading1"/>
        <w:spacing w:after="160" w:before="360"/>
      </w:pPr>
      <w:r>
        <w:rPr>
          <w:b/>
          <w:bCs/>
          <w:color w:val="1F3A5F"/>
          <w:sz w:val="30"/>
          <w:szCs w:val="30"/>
        </w:rPr>
        <w:t xml:space="preserve">9. Integration Layer — Generic Adapter Architecture</w:t>
      </w:r>
    </w:p>
    <w:p>
      <w:pPr>
        <w:pStyle w:val="Heading2"/>
        <w:spacing w:after="120" w:before="260"/>
      </w:pPr>
      <w:r>
        <w:rPr>
          <w:b/>
          <w:bCs/>
          <w:color w:val="1F3A5F"/>
          <w:sz w:val="24"/>
          <w:szCs w:val="24"/>
        </w:rPr>
        <w:t xml:space="preserve">9.1 Generic ERP / System Adapter Layer</w:t>
      </w:r>
    </w:p>
    <w:p>
      <w:pPr>
        <w:spacing w:after="140" w:line="300"/>
      </w:pPr>
      <w:r>
        <w:rPr>
          <w:sz w:val="21"/>
          <w:szCs w:val="21"/>
        </w:rPr>
        <w:t xml:space="preserve">Rather than a SAP-specific integration, the engine defines a generic adapter interface — receive an engine event, transform it, call the target system. SAP Ariba, VIM, and S/4HANA are the first officially maintained implementations of this interface, not the model the interface was designed around. This lets a tenant plug in a bespoke internal tool or legacy system via the same webhook-based adapter contract without engine changes.</w:t>
      </w:r>
    </w:p>
    <w:p>
      <w:pPr>
        <w:pStyle w:val="Heading2"/>
        <w:spacing w:after="120" w:before="260"/>
      </w:pPr>
      <w:r>
        <w:rPr>
          <w:b/>
          <w:bCs/>
          <w:color w:val="1F3A5F"/>
          <w:sz w:val="24"/>
          <w:szCs w:val="24"/>
        </w:rPr>
        <w:t xml:space="preserve">9.2 Message Transformation &amp; Protocol Bridging</w:t>
      </w:r>
    </w:p>
    <w:p>
      <w:pPr>
        <w:spacing w:after="140" w:line="300"/>
      </w:pPr>
      <w:r>
        <w:rPr>
          <w:sz w:val="21"/>
          <w:szCs w:val="21"/>
        </w:rPr>
        <w:t xml:space="preserve">Each adapter is responsible for transforming a generic engine event (e.g. PO_APPROVED) into the specific downstream call it requires (e.g. Ariba's PR_RELEASE endpoint), keeping the core engine fully decoupled from any target system's API idiosyncrasies, authentication scheme, or payload shape.</w:t>
      </w:r>
    </w:p>
    <w:p>
      <w:pPr>
        <w:pStyle w:val="Heading2"/>
        <w:spacing w:after="120" w:before="260"/>
      </w:pPr>
      <w:r>
        <w:rPr>
          <w:b/>
          <w:bCs/>
          <w:color w:val="1F3A5F"/>
          <w:sz w:val="24"/>
          <w:szCs w:val="24"/>
        </w:rPr>
        <w:t xml:space="preserve">9.3 Event Bus</w:t>
      </w:r>
    </w:p>
    <w:p>
      <w:pPr>
        <w:spacing w:after="140" w:line="300"/>
      </w:pPr>
      <w:r>
        <w:rPr>
          <w:sz w:val="21"/>
          <w:szCs w:val="21"/>
        </w:rPr>
        <w:t xml:space="preserve">All state transitions publish to a tenant-scoped event bus (workflow.instance.transitioned) that downstream systems and the audit/reporting layer subscribe to independently of the adapter layer.</w:t>
      </w:r>
    </w:p>
    <w:p>
      <w:pPr>
        <w:pStyle w:val="Heading2"/>
        <w:spacing w:after="120" w:before="260"/>
      </w:pPr>
      <w:r>
        <w:rPr>
          <w:b/>
          <w:bCs/>
          <w:color w:val="1F3A5F"/>
          <w:sz w:val="24"/>
          <w:szCs w:val="24"/>
        </w:rPr>
        <w:t xml:space="preserve">9.4 Idempotency</w:t>
      </w:r>
    </w:p>
    <w:p>
      <w:pPr>
        <w:spacing w:after="140" w:line="300"/>
      </w:pPr>
      <w:r>
        <w:rPr>
          <w:sz w:val="21"/>
          <w:szCs w:val="21"/>
        </w:rPr>
        <w:t xml:space="preserve">All inbound integration calls carry an idempotency key so retried webhook deliveries or network retries cannot double-apply a transition.</w:t>
      </w:r>
    </w:p>
    <w:p>
      <w:pPr>
        <w:pStyle w:val="Heading1"/>
        <w:spacing w:after="160" w:before="360"/>
      </w:pPr>
      <w:r>
        <w:rPr>
          <w:b/>
          <w:bCs/>
          <w:color w:val="1F3A5F"/>
          <w:sz w:val="30"/>
          <w:szCs w:val="30"/>
        </w:rPr>
        <w:t xml:space="preserve">10. Data Model</w:t>
      </w:r>
    </w:p>
    <w:p>
      <w:pPr>
        <w:pStyle w:val="Heading2"/>
        <w:spacing w:after="120" w:before="260"/>
      </w:pPr>
      <w:r>
        <w:rPr>
          <w:b/>
          <w:bCs/>
          <w:color w:val="1F3A5F"/>
          <w:sz w:val="24"/>
          <w:szCs w:val="24"/>
        </w:rPr>
        <w:t xml:space="preserve">10.1 Context Schema</w:t>
      </w:r>
    </w:p>
    <w:p>
      <w:pPr>
        <w:spacing w:after="140" w:line="300"/>
      </w:pPr>
      <w:r>
        <w:rPr>
          <w:sz w:val="21"/>
          <w:szCs w:val="21"/>
        </w:rPr>
        <w:t xml:space="preserve">The context field on a WorkflowInstance is the flexible, tenant- and document-type-defined JSON payload supplied at instance creation — for a PR it holds the PR object, for an Invoice the Invoice object, and so on. It is the single source of truth all guard conditions evaluate against, and its shape is declared, not implicit, per workflow template so validation and the admin UI's condition-builder can both rely on it.</w:t>
      </w:r>
    </w:p>
    <w:p>
      <w:pPr>
        <w:pStyle w:val="Heading2"/>
        <w:spacing w:after="120" w:before="260"/>
      </w:pPr>
      <w:r>
        <w:rPr>
          <w:b/>
          <w:bCs/>
          <w:color w:val="1F3A5F"/>
          <w:sz w:val="24"/>
          <w:szCs w:val="24"/>
        </w:rPr>
        <w:t xml:space="preserve">10.2 Core Entities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00"/>
      </w:tblGrid>
      <w:tr>
        <w:trPr>
          <w:tblHeader/>
        </w:trPr>
        <w:tc>
          <w:tcPr>
            <w:tcW w:type="dxa" w:w="2200"/>
            <w:shd w:fill="1F3A5F" w:val="clear"/>
          </w:tcPr>
          <w:p>
            <w:r>
              <w:rPr>
                <w:b/>
                <w:bCs/>
                <w:color w:val="FFFFFF"/>
                <w:sz w:val="19"/>
                <w:szCs w:val="19"/>
              </w:rPr>
              <w:t xml:space="preserve">Entity</w:t>
            </w:r>
          </w:p>
        </w:tc>
        <w:tc>
          <w:tcPr>
            <w:tcW w:type="dxa" w:w="4600"/>
            <w:shd w:fill="1F3A5F" w:val="clear"/>
          </w:tcPr>
          <w:p>
            <w:r>
              <w:rPr>
                <w:b/>
                <w:bCs/>
                <w:color w:val="FFFFFF"/>
                <w:sz w:val="19"/>
                <w:szCs w:val="19"/>
              </w:rPr>
              <w:t xml:space="preserve">Key Fields</w:t>
            </w:r>
          </w:p>
        </w:tc>
        <w:tc>
          <w:tcPr>
            <w:tcW w:type="dxa" w:w="3200"/>
            <w:shd w:fill="1F3A5F" w:val="clear"/>
          </w:tcPr>
          <w:p>
            <w:r>
              <w:rPr>
                <w:b/>
                <w:bCs/>
                <w:color w:val="FFFFFF"/>
                <w:sz w:val="19"/>
                <w:szCs w:val="19"/>
              </w:rPr>
              <w:t xml:space="preserve">Notes</w:t>
            </w:r>
          </w:p>
        </w:tc>
      </w:tr>
      <w:tr>
        <w:tc>
          <w:tcPr>
            <w:tcW w:type="dxa" w:w="2200"/>
            <w:shd w:fill="FFFFFF" w:val="clear"/>
          </w:tcPr>
          <w:p>
            <w:r>
              <w:rPr>
                <w:sz w:val="19"/>
                <w:szCs w:val="19"/>
              </w:rPr>
              <w:t xml:space="preserve">WorkflowTemplate</w:t>
            </w:r>
          </w:p>
        </w:tc>
        <w:tc>
          <w:tcPr>
            <w:tcW w:type="dxa" w:w="4600"/>
            <w:shd w:fill="FFFFFF" w:val="clear"/>
          </w:tcPr>
          <w:p>
            <w:r>
              <w:rPr>
                <w:sz w:val="19"/>
                <w:szCs w:val="19"/>
              </w:rPr>
              <w:t xml:space="preserve">id, tenantId, version, definitionJSON, contextSchema, administratorUserId, status, publishedAt</w:t>
            </w:r>
          </w:p>
        </w:tc>
        <w:tc>
          <w:tcPr>
            <w:tcW w:type="dxa" w:w="3200"/>
            <w:shd w:fill="FFFFFF" w:val="clear"/>
          </w:tcPr>
          <w:p>
            <w:r>
              <w:rPr>
                <w:sz w:val="19"/>
                <w:szCs w:val="19"/>
              </w:rPr>
              <w:t xml:space="preserve">Immutable once published; administratorUserId names the permanent escalation backstop (Section 6.13.5)</w:t>
            </w:r>
          </w:p>
        </w:tc>
      </w:tr>
      <w:tr>
        <w:tc>
          <w:tcPr>
            <w:tcW w:type="dxa" w:w="2200"/>
            <w:shd w:fill="EEF1F5" w:val="clear"/>
          </w:tcPr>
          <w:p>
            <w:r>
              <w:rPr>
                <w:sz w:val="19"/>
                <w:szCs w:val="19"/>
              </w:rPr>
              <w:t xml:space="preserve">WorkflowInstance</w:t>
            </w:r>
          </w:p>
        </w:tc>
        <w:tc>
          <w:tcPr>
            <w:tcW w:type="dxa" w:w="4600"/>
            <w:shd w:fill="EEF1F5" w:val="clear"/>
          </w:tcPr>
          <w:p>
            <w:r>
              <w:rPr>
                <w:sz w:val="19"/>
                <w:szCs w:val="19"/>
              </w:rPr>
              <w:t xml:space="preserve">id, templateId, templateVersion, tenantId, currentState, context, createdAt</w:t>
            </w:r>
          </w:p>
        </w:tc>
        <w:tc>
          <w:tcPr>
            <w:tcW w:type="dxa" w:w="3200"/>
            <w:shd w:fill="EEF1F5" w:val="clear"/>
          </w:tcPr>
          <w:p>
            <w:r>
              <w:rPr>
                <w:sz w:val="19"/>
                <w:szCs w:val="19"/>
              </w:rPr>
              <w:t xml:space="preserve">One per document-type process instance</w:t>
            </w:r>
          </w:p>
        </w:tc>
      </w:tr>
      <w:tr>
        <w:tc>
          <w:tcPr>
            <w:tcW w:type="dxa" w:w="2200"/>
            <w:shd w:fill="FFFFFF" w:val="clear"/>
          </w:tcPr>
          <w:p>
            <w:r>
              <w:rPr>
                <w:sz w:val="19"/>
                <w:szCs w:val="19"/>
              </w:rPr>
              <w:t xml:space="preserve">StepAssignment</w:t>
            </w:r>
          </w:p>
        </w:tc>
        <w:tc>
          <w:tcPr>
            <w:tcW w:type="dxa" w:w="4600"/>
            <w:shd w:fill="FFFFFF" w:val="clear"/>
          </w:tcPr>
          <w:p>
            <w:r>
              <w:rPr>
                <w:sz w:val="19"/>
                <w:szCs w:val="19"/>
              </w:rPr>
              <w:t xml:space="preserve">instanceId, stepId, assigneeType, assigneeId, status, assignedAt, resolvedVia, resolverSource</w:t>
            </w:r>
          </w:p>
        </w:tc>
        <w:tc>
          <w:tcPr>
            <w:tcW w:type="dxa" w:w="3200"/>
            <w:shd w:fill="FFFFFF" w:val="clear"/>
          </w:tcPr>
          <w:p>
            <w:r>
              <w:rPr>
                <w:sz w:val="19"/>
                <w:szCs w:val="19"/>
              </w:rPr>
              <w:t xml:space="preserve">resolverSource records which UserResolver path was used</w:t>
            </w:r>
          </w:p>
        </w:tc>
      </w:tr>
      <w:tr>
        <w:tc>
          <w:tcPr>
            <w:tcW w:type="dxa" w:w="2200"/>
            <w:shd w:fill="EEF1F5" w:val="clear"/>
          </w:tcPr>
          <w:p>
            <w:r>
              <w:rPr>
                <w:sz w:val="19"/>
                <w:szCs w:val="19"/>
              </w:rPr>
              <w:t xml:space="preserve">TransitionLog</w:t>
            </w:r>
          </w:p>
        </w:tc>
        <w:tc>
          <w:tcPr>
            <w:tcW w:type="dxa" w:w="4600"/>
            <w:shd w:fill="EEF1F5" w:val="clear"/>
          </w:tcPr>
          <w:p>
            <w:r>
              <w:rPr>
                <w:sz w:val="19"/>
                <w:szCs w:val="19"/>
              </w:rPr>
              <w:t xml:space="preserve">instanceId, fromState, toState, actorId, actorType, reason, contextSnapshot, timestamp</w:t>
            </w:r>
          </w:p>
        </w:tc>
        <w:tc>
          <w:tcPr>
            <w:tcW w:type="dxa" w:w="3200"/>
            <w:shd w:fill="EEF1F5" w:val="clear"/>
          </w:tcPr>
          <w:p>
            <w:r>
              <w:rPr>
                <w:sz w:val="19"/>
                <w:szCs w:val="19"/>
              </w:rPr>
              <w:t xml:space="preserve">Append-only; contextSnapshot captures full instance context at the moment of transition (audit-by-snapshot)</w:t>
            </w:r>
          </w:p>
        </w:tc>
      </w:tr>
      <w:tr>
        <w:tc>
          <w:tcPr>
            <w:tcW w:type="dxa" w:w="2200"/>
            <w:shd w:fill="FFFFFF" w:val="clear"/>
          </w:tcPr>
          <w:p>
            <w:r>
              <w:rPr>
                <w:sz w:val="19"/>
                <w:szCs w:val="19"/>
              </w:rPr>
              <w:t xml:space="preserve">EscalationLog</w:t>
            </w:r>
          </w:p>
        </w:tc>
        <w:tc>
          <w:tcPr>
            <w:tcW w:type="dxa" w:w="4600"/>
            <w:shd w:fill="FFFFFF" w:val="clear"/>
          </w:tcPr>
          <w:p>
            <w:r>
              <w:rPr>
                <w:sz w:val="19"/>
                <w:szCs w:val="19"/>
              </w:rPr>
              <w:t xml:space="preserve">instanceId, stepId, level, reason, oldAssignee, newAssignee, notificationIds, response, resolutionTime, timestamp</w:t>
            </w:r>
          </w:p>
        </w:tc>
        <w:tc>
          <w:tcPr>
            <w:tcW w:type="dxa" w:w="3200"/>
            <w:shd w:fill="FFFFFF" w:val="clear"/>
          </w:tcPr>
          <w:p>
            <w:r>
              <w:rPr>
                <w:sz w:val="19"/>
                <w:szCs w:val="19"/>
              </w:rPr>
              <w:t xml:space="preserve">Feeds both audit trail and escalation dashboard</w:t>
            </w:r>
          </w:p>
        </w:tc>
      </w:tr>
      <w:tr>
        <w:tc>
          <w:tcPr>
            <w:tcW w:type="dxa" w:w="2200"/>
            <w:shd w:fill="EEF1F5" w:val="clear"/>
          </w:tcPr>
          <w:p>
            <w:r>
              <w:rPr>
                <w:sz w:val="19"/>
                <w:szCs w:val="19"/>
              </w:rPr>
              <w:t xml:space="preserve">AvailabilityRecord</w:t>
            </w:r>
          </w:p>
        </w:tc>
        <w:tc>
          <w:tcPr>
            <w:tcW w:type="dxa" w:w="4600"/>
            <w:shd w:fill="EEF1F5" w:val="clear"/>
          </w:tcPr>
          <w:p>
            <w:r>
              <w:rPr>
                <w:sz w:val="19"/>
                <w:szCs w:val="19"/>
              </w:rPr>
              <w:t xml:space="preserve">userId, status, delegateId, returnDate, supervisorId, isEscalationCeiling</w:t>
            </w:r>
          </w:p>
        </w:tc>
        <w:tc>
          <w:tcPr>
            <w:tcW w:type="dxa" w:w="3200"/>
            <w:shd w:fill="EEF1F5" w:val="clear"/>
          </w:tcPr>
          <w:p>
            <w:r>
              <w:rPr>
                <w:sz w:val="19"/>
                <w:szCs w:val="19"/>
              </w:rPr>
              <w:t xml:space="preserve">delegateId drives immediate fallback (Section 5.3); supervisorId/isEscalationCeiling drive supervisor-cascade (Section 6.13) — distinct relationships</w:t>
            </w:r>
          </w:p>
        </w:tc>
      </w:tr>
    </w:tbl>
    <w:p>
      <w:pPr>
        <w:pStyle w:val="Heading1"/>
        <w:spacing w:after="160" w:before="360"/>
      </w:pPr>
      <w:r>
        <w:rPr>
          <w:b/>
          <w:bCs/>
          <w:color w:val="1F3A5F"/>
          <w:sz w:val="30"/>
          <w:szCs w:val="30"/>
        </w:rPr>
        <w:t xml:space="preserve">11. API Surface</w:t>
      </w:r>
    </w:p>
    <w:p>
      <w:pPr>
        <w:pStyle w:val="Heading2"/>
        <w:spacing w:after="120" w:before="260"/>
      </w:pPr>
      <w:r>
        <w:rPr>
          <w:b/>
          <w:bCs/>
          <w:color w:val="1F3A5F"/>
          <w:sz w:val="24"/>
          <w:szCs w:val="24"/>
        </w:rPr>
        <w:t xml:space="preserve">11.1 Versioning</w:t>
      </w:r>
    </w:p>
    <w:p>
      <w:pPr>
        <w:spacing w:after="140" w:line="300"/>
      </w:pPr>
      <w:r>
        <w:rPr>
          <w:sz w:val="21"/>
          <w:szCs w:val="21"/>
        </w:rPr>
        <w:t xml:space="preserve">All endpoints are versioned (e.g. /v1/workflow-instances) so downstream consumers — the ProcuraAI UI, integration partners, or AI agents — are insulated from breaking changes; a new major version is introduced only for incompatible contract changes, with the previous version supported for a published deprecation window.</w:t>
      </w:r>
    </w:p>
    <w:p>
      <w:pPr>
        <w:pStyle w:val="Heading2"/>
        <w:spacing w:after="120" w:before="260"/>
      </w:pPr>
      <w:r>
        <w:rPr>
          <w:b/>
          <w:bCs/>
          <w:color w:val="1F3A5F"/>
          <w:sz w:val="24"/>
          <w:szCs w:val="24"/>
        </w:rPr>
        <w:t xml:space="preserve">11.2 Core Endpoints</w:t>
      </w:r>
    </w:p>
    <w:p>
      <w:pPr>
        <w:pStyle w:val="ListParagraph"/>
        <w:numPr>
          <w:ilvl w:val="0"/>
          <w:numId w:val="2"/>
        </w:numPr>
        <w:spacing w:after="80" w:line="280"/>
      </w:pPr>
      <w:r>
        <w:rPr>
          <w:sz w:val="21"/>
          <w:szCs w:val="21"/>
        </w:rPr>
        <w:t xml:space="preserve">POST /v1/workflow-templates — create/publish a new template version</w:t>
      </w:r>
    </w:p>
    <w:p>
      <w:pPr>
        <w:pStyle w:val="ListParagraph"/>
        <w:numPr>
          <w:ilvl w:val="0"/>
          <w:numId w:val="2"/>
        </w:numPr>
        <w:spacing w:after="80" w:line="280"/>
      </w:pPr>
      <w:r>
        <w:rPr>
          <w:sz w:val="21"/>
          <w:szCs w:val="21"/>
        </w:rPr>
        <w:t xml:space="preserve">POST /v1/workflow-instances — start a new instance from a template</w:t>
      </w:r>
    </w:p>
    <w:p>
      <w:pPr>
        <w:pStyle w:val="ListParagraph"/>
        <w:numPr>
          <w:ilvl w:val="0"/>
          <w:numId w:val="2"/>
        </w:numPr>
        <w:spacing w:after="80" w:line="280"/>
      </w:pPr>
      <w:r>
        <w:rPr>
          <w:sz w:val="21"/>
          <w:szCs w:val="21"/>
        </w:rPr>
        <w:t xml:space="preserve">POST /v1/workflow-instances/{id}/decisions — record an approve/reject/request-changes decision</w:t>
      </w:r>
    </w:p>
    <w:p>
      <w:pPr>
        <w:pStyle w:val="ListParagraph"/>
        <w:numPr>
          <w:ilvl w:val="0"/>
          <w:numId w:val="2"/>
        </w:numPr>
        <w:spacing w:after="80" w:line="280"/>
      </w:pPr>
      <w:r>
        <w:rPr>
          <w:sz w:val="21"/>
          <w:szCs w:val="21"/>
        </w:rPr>
        <w:t xml:space="preserve">POST /v1/workflow-instances/{id}/reinitiate — restart at a specified prior step, preserving prior-attempt history</w:t>
      </w:r>
    </w:p>
    <w:p>
      <w:pPr>
        <w:pStyle w:val="ListParagraph"/>
        <w:numPr>
          <w:ilvl w:val="0"/>
          <w:numId w:val="2"/>
        </w:numPr>
        <w:spacing w:after="80" w:line="280"/>
      </w:pPr>
      <w:r>
        <w:rPr>
          <w:sz w:val="21"/>
          <w:szCs w:val="21"/>
        </w:rPr>
        <w:t xml:space="preserve">POST /v1/workflow-instances/{id}/simulate — dry-run a decision against the current state to preview the resulting state and side effects without committing it</w:t>
      </w:r>
    </w:p>
    <w:p>
      <w:pPr>
        <w:pStyle w:val="ListParagraph"/>
        <w:numPr>
          <w:ilvl w:val="0"/>
          <w:numId w:val="2"/>
        </w:numPr>
        <w:spacing w:after="80" w:line="280"/>
      </w:pPr>
      <w:r>
        <w:rPr>
          <w:sz w:val="21"/>
          <w:szCs w:val="21"/>
        </w:rPr>
        <w:t xml:space="preserve">GET /v1/workflow-instances/{id} — full current state, history, and pending assignments</w:t>
      </w:r>
    </w:p>
    <w:p>
      <w:pPr>
        <w:pStyle w:val="ListParagraph"/>
        <w:numPr>
          <w:ilvl w:val="0"/>
          <w:numId w:val="2"/>
        </w:numPr>
        <w:spacing w:after="80" w:line="280"/>
      </w:pPr>
      <w:r>
        <w:rPr>
          <w:sz w:val="21"/>
          <w:szCs w:val="21"/>
        </w:rPr>
        <w:t xml:space="preserve">GET /v1/workflow-instances?filter=... — query instances by state, tenant, assignee, SLA status</w:t>
      </w:r>
    </w:p>
    <w:p>
      <w:pPr>
        <w:pStyle w:val="Heading2"/>
        <w:spacing w:after="120" w:before="260"/>
      </w:pPr>
      <w:r>
        <w:rPr>
          <w:b/>
          <w:bCs/>
          <w:color w:val="1F3A5F"/>
          <w:sz w:val="24"/>
          <w:szCs w:val="24"/>
        </w:rPr>
        <w:t xml:space="preserve">11.3 Admin Endpoints</w:t>
      </w:r>
    </w:p>
    <w:p>
      <w:pPr>
        <w:pStyle w:val="ListParagraph"/>
        <w:numPr>
          <w:ilvl w:val="0"/>
          <w:numId w:val="2"/>
        </w:numPr>
        <w:spacing w:after="80" w:line="280"/>
      </w:pPr>
      <w:r>
        <w:rPr>
          <w:sz w:val="21"/>
          <w:szCs w:val="21"/>
        </w:rPr>
        <w:t xml:space="preserve">PUT /v1/workflow-templates/{id}/steps — add/delete/reorder steps</w:t>
      </w:r>
    </w:p>
    <w:p>
      <w:pPr>
        <w:pStyle w:val="ListParagraph"/>
        <w:numPr>
          <w:ilvl w:val="0"/>
          <w:numId w:val="2"/>
        </w:numPr>
        <w:spacing w:after="80" w:line="280"/>
      </w:pPr>
      <w:r>
        <w:rPr>
          <w:sz w:val="21"/>
          <w:szCs w:val="21"/>
        </w:rPr>
        <w:t xml:space="preserve">PUT /v1/workflow-templates/{id}/escalation-policy — configure levels, matrix, stop conditions</w:t>
      </w:r>
    </w:p>
    <w:p>
      <w:pPr>
        <w:pStyle w:val="ListParagraph"/>
        <w:numPr>
          <w:ilvl w:val="0"/>
          <w:numId w:val="2"/>
        </w:numPr>
        <w:spacing w:after="80" w:line="280"/>
      </w:pPr>
      <w:r>
        <w:rPr>
          <w:sz w:val="21"/>
          <w:szCs w:val="21"/>
        </w:rPr>
        <w:t xml:space="preserve">PUT /v1/workflow-templates/{id}/fallback-policy — configure fallback chains</w:t>
      </w:r>
    </w:p>
    <w:p>
      <w:pPr>
        <w:pStyle w:val="ListParagraph"/>
        <w:numPr>
          <w:ilvl w:val="0"/>
          <w:numId w:val="2"/>
        </w:numPr>
        <w:spacing w:after="80" w:line="280"/>
      </w:pPr>
      <w:r>
        <w:rPr>
          <w:sz w:val="21"/>
          <w:szCs w:val="21"/>
        </w:rPr>
        <w:t xml:space="preserve">POST /v1/users/{id}/availability — set availability status/delegate</w:t>
      </w:r>
    </w:p>
    <w:p>
      <w:pPr>
        <w:pStyle w:val="ListParagraph"/>
        <w:numPr>
          <w:ilvl w:val="0"/>
          <w:numId w:val="2"/>
        </w:numPr>
        <w:spacing w:after="80" w:line="280"/>
      </w:pPr>
      <w:r>
        <w:rPr>
          <w:sz w:val="21"/>
          <w:szCs w:val="21"/>
        </w:rPr>
        <w:t xml:space="preserve">POST /v1/workflow-instances/{id}/override — emergency override actions (Section 8)</w:t>
      </w:r>
    </w:p>
    <w:p>
      <w:pPr>
        <w:pStyle w:val="Heading1"/>
        <w:spacing w:after="160" w:before="360"/>
      </w:pPr>
      <w:r>
        <w:rPr>
          <w:b/>
          <w:bCs/>
          <w:color w:val="1F3A5F"/>
          <w:sz w:val="30"/>
          <w:szCs w:val="30"/>
        </w:rPr>
        <w:t xml:space="preserve">12. Compliance &amp; Audit</w:t>
      </w:r>
    </w:p>
    <w:p>
      <w:pPr>
        <w:pStyle w:val="ListParagraph"/>
        <w:numPr>
          <w:ilvl w:val="0"/>
          <w:numId w:val="2"/>
        </w:numPr>
        <w:spacing w:after="80" w:line="280"/>
      </w:pPr>
      <w:r>
        <w:rPr>
          <w:sz w:val="21"/>
          <w:szCs w:val="21"/>
        </w:rPr>
        <w:t xml:space="preserve">Audit-by-snapshot: every TransitionLog entry carries a ContextSnapshot of the exact instance state at decision time, so later master-data changes never retroactively alter what an auditor sees for a past decision</w:t>
      </w:r>
    </w:p>
    <w:p>
      <w:pPr>
        <w:pStyle w:val="ListParagraph"/>
        <w:numPr>
          <w:ilvl w:val="0"/>
          <w:numId w:val="2"/>
        </w:numPr>
        <w:spacing w:after="80" w:line="280"/>
      </w:pPr>
      <w:r>
        <w:rPr>
          <w:sz w:val="21"/>
          <w:szCs w:val="21"/>
        </w:rPr>
        <w:t xml:space="preserve">Immutable, append-only transition and escalation logs retained per tenant's regulatory retention policy</w:t>
      </w:r>
    </w:p>
    <w:p>
      <w:pPr>
        <w:pStyle w:val="ListParagraph"/>
        <w:numPr>
          <w:ilvl w:val="0"/>
          <w:numId w:val="2"/>
        </w:numPr>
        <w:spacing w:after="80" w:line="280"/>
      </w:pPr>
      <w:r>
        <w:rPr>
          <w:sz w:val="21"/>
          <w:szCs w:val="21"/>
        </w:rPr>
        <w:t xml:space="preserve">SoD violation attempts logged even when blocked</w:t>
      </w:r>
    </w:p>
    <w:p>
      <w:pPr>
        <w:pStyle w:val="ListParagraph"/>
        <w:numPr>
          <w:ilvl w:val="0"/>
          <w:numId w:val="2"/>
        </w:numPr>
        <w:spacing w:after="80" w:line="280"/>
      </w:pPr>
      <w:r>
        <w:rPr>
          <w:sz w:val="21"/>
          <w:szCs w:val="21"/>
        </w:rPr>
        <w:t xml:space="preserve">Regional compliance variants (e.g. Mexico CFDI/SAT) expressed as guard conditions and audited as part of the normal log</w:t>
      </w:r>
    </w:p>
    <w:p>
      <w:pPr>
        <w:pStyle w:val="ListParagraph"/>
        <w:numPr>
          <w:ilvl w:val="0"/>
          <w:numId w:val="2"/>
        </w:numPr>
        <w:spacing w:after="80" w:line="280"/>
      </w:pPr>
      <w:r>
        <w:rPr>
          <w:sz w:val="21"/>
          <w:szCs w:val="21"/>
        </w:rPr>
        <w:t xml:space="preserve">Data residency: instance data and audit logs for a tenant/region are stored in the appropriate geographic data center in line with local requirements (e.g. Mexico data-protection law, GDPR where applicable)</w:t>
      </w:r>
    </w:p>
    <w:p>
      <w:pPr>
        <w:pStyle w:val="ListParagraph"/>
        <w:numPr>
          <w:ilvl w:val="0"/>
          <w:numId w:val="2"/>
        </w:numPr>
        <w:spacing w:after="80" w:line="280"/>
      </w:pPr>
      <w:r>
        <w:rPr>
          <w:sz w:val="21"/>
          <w:szCs w:val="21"/>
        </w:rPr>
        <w:t xml:space="preserve">Exportable audit reports per instance, per approver, or per date range</w:t>
      </w:r>
    </w:p>
    <w:p>
      <w:pPr>
        <w:pStyle w:val="Heading1"/>
        <w:spacing w:after="160" w:before="360"/>
      </w:pPr>
      <w:r>
        <w:rPr>
          <w:b/>
          <w:bCs/>
          <w:color w:val="1F3A5F"/>
          <w:sz w:val="30"/>
          <w:szCs w:val="30"/>
        </w:rPr>
        <w:t xml:space="preserve">13. Architectural Resilience</w:t>
      </w:r>
    </w:p>
    <w:p>
      <w:pPr>
        <w:pStyle w:val="Heading2"/>
        <w:spacing w:after="120" w:before="260"/>
      </w:pPr>
      <w:r>
        <w:rPr>
          <w:b/>
          <w:bCs/>
          <w:color w:val="1F3A5F"/>
          <w:sz w:val="24"/>
          <w:szCs w:val="24"/>
        </w:rPr>
        <w:t xml:space="preserve">13.1 Saga Pattern for Side Effects</w:t>
      </w:r>
    </w:p>
    <w:p>
      <w:pPr>
        <w:spacing w:after="140" w:line="300"/>
      </w:pPr>
      <w:r>
        <w:rPr>
          <w:sz w:val="21"/>
          <w:szCs w:val="21"/>
        </w:rPr>
        <w:t xml:space="preserve">A transition's side effects (e.g. notifyFinanceController, or a downstream PO-release call to S/4HANA) are not fire-and-forget. The engine implements a Saga-style pattern: each side effect is tracked to completion, and a failure (e.g. a network timeout calling S/4HANA after the state has logically moved to Approved) routes the instance to a Failed or Escalated state with the specific error captured in context, rather than leaving it silently marked Approved while the downstream system never received the release. Compensating actions are defined per integration where a partial rollback is meaningful.</w:t>
      </w:r>
    </w:p>
    <w:p>
      <w:pPr>
        <w:pStyle w:val="Heading2"/>
        <w:spacing w:after="120" w:before="260"/>
      </w:pPr>
      <w:r>
        <w:rPr>
          <w:b/>
          <w:bCs/>
          <w:color w:val="1F3A5F"/>
          <w:sz w:val="24"/>
          <w:szCs w:val="24"/>
        </w:rPr>
        <w:t xml:space="preserve">13.2 State Locking &amp; Concurrency</w:t>
      </w:r>
    </w:p>
    <w:p>
      <w:pPr>
        <w:spacing w:after="140" w:line="300"/>
      </w:pPr>
      <w:r>
        <w:rPr>
          <w:sz w:val="21"/>
          <w:szCs w:val="21"/>
        </w:rPr>
        <w:t xml:space="preserve">To prevent two workers (or the same user in two browser tabs) from processing the same instance simultaneously, WorkflowInstance transitions are protected by optimistic concurrency control (a version/etag check on write) with pessimistic locking available for high-contention steps if a tenant requires it. A conflicting concurrent write is rejected and surfaced to the caller rather than silently overwritten.</w:t>
      </w:r>
    </w:p>
    <w:p>
      <w:pPr>
        <w:pStyle w:val="Heading2"/>
        <w:spacing w:after="120" w:before="260"/>
      </w:pPr>
      <w:r>
        <w:rPr>
          <w:b/>
          <w:bCs/>
          <w:color w:val="1F3A5F"/>
          <w:sz w:val="24"/>
          <w:szCs w:val="24"/>
        </w:rPr>
        <w:t xml:space="preserve">13.3 Crash Recovery &amp; Replay</w:t>
      </w:r>
    </w:p>
    <w:p>
      <w:pPr>
        <w:spacing w:after="140" w:line="300"/>
      </w:pPr>
      <w:r>
        <w:rPr>
          <w:sz w:val="21"/>
          <w:szCs w:val="21"/>
        </w:rPr>
        <w:t xml:space="preserve">On engine restart after a failure (database failure, SAP outage, power loss), the engine resumes from the last committed state per instance, using idempotent transition processing and a replayable event log so no transition is double-applied or lost. SLA/escalation timers are recovered from persisted state rather than reset, so a restart does not artificially extend or reset an approver's window.</w:t>
      </w:r>
    </w:p>
    <w:p>
      <w:pPr>
        <w:pStyle w:val="Heading1"/>
        <w:spacing w:after="160" w:before="360"/>
      </w:pPr>
      <w:r>
        <w:rPr>
          <w:b/>
          <w:bCs/>
          <w:color w:val="1F3A5F"/>
          <w:sz w:val="30"/>
          <w:szCs w:val="30"/>
        </w:rPr>
        <w:t xml:space="preserve">14. Deployment &amp; Environment Portability</w:t>
      </w:r>
    </w:p>
    <w:p>
      <w:pPr>
        <w:spacing w:after="140" w:line="300"/>
      </w:pPr>
      <w:r>
        <w:rPr>
          <w:sz w:val="21"/>
          <w:szCs w:val="21"/>
        </w:rPr>
        <w:t xml:space="preserve">The engine is fully containerized and designed to run on anything from a single-node local environment to a globally distributed cluster, using the same codebase and container images throughout:</w:t>
      </w:r>
    </w:p>
    <w:p>
      <w:pPr>
        <w:pStyle w:val="ListParagraph"/>
        <w:numPr>
          <w:ilvl w:val="0"/>
          <w:numId w:val="2"/>
        </w:numPr>
        <w:spacing w:after="80" w:line="280"/>
      </w:pPr>
      <w:r>
        <w:rPr>
          <w:sz w:val="21"/>
          <w:szCs w:val="21"/>
        </w:rPr>
        <w:t xml:space="preserve">Local/edge: a single-node deployment (e.g. a personal NAS or edge server) suitable for a lightweight sandbox, demo, or small-tenant deployment</w:t>
      </w:r>
    </w:p>
    <w:p>
      <w:pPr>
        <w:pStyle w:val="ListParagraph"/>
        <w:numPr>
          <w:ilvl w:val="0"/>
          <w:numId w:val="2"/>
        </w:numPr>
        <w:spacing w:after="80" w:line="280"/>
      </w:pPr>
      <w:r>
        <w:rPr>
          <w:sz w:val="21"/>
          <w:szCs w:val="21"/>
        </w:rPr>
        <w:t xml:space="preserve">Cloud: horizontally scaled, stateless engine workers behind a shared, tenant-partitioned data store</w:t>
      </w:r>
    </w:p>
    <w:p>
      <w:pPr>
        <w:pStyle w:val="ListParagraph"/>
        <w:numPr>
          <w:ilvl w:val="0"/>
          <w:numId w:val="2"/>
        </w:numPr>
        <w:spacing w:after="80" w:line="280"/>
      </w:pPr>
      <w:r>
        <w:rPr>
          <w:sz w:val="21"/>
          <w:szCs w:val="21"/>
        </w:rPr>
        <w:t xml:space="preserve">No code branching between environments — configuration (data store endpoint, scale parameters) is externalized, not conditional logic in the engine itself</w:t>
      </w:r>
    </w:p>
    <w:p>
      <w:pPr>
        <w:pStyle w:val="Heading1"/>
        <w:spacing w:after="160" w:before="360"/>
      </w:pPr>
      <w:r>
        <w:rPr>
          <w:b/>
          <w:bCs/>
          <w:color w:val="1F3A5F"/>
          <w:sz w:val="30"/>
          <w:szCs w:val="30"/>
        </w:rPr>
        <w:t xml:space="preserve">15. Scale &amp; Performance</w:t>
      </w:r>
    </w:p>
    <w:p>
      <w:pPr>
        <w:pStyle w:val="ListParagraph"/>
        <w:numPr>
          <w:ilvl w:val="0"/>
          <w:numId w:val="2"/>
        </w:numPr>
        <w:spacing w:after="80" w:line="280"/>
      </w:pPr>
      <w:r>
        <w:rPr>
          <w:sz w:val="21"/>
          <w:szCs w:val="21"/>
        </w:rPr>
        <w:t xml:space="preserve">Target: 10,000+ concurrent active instances per tenant, sub-200ms p95 for state-read and decision-write operations</w:t>
      </w:r>
    </w:p>
    <w:p>
      <w:pPr>
        <w:pStyle w:val="ListParagraph"/>
        <w:numPr>
          <w:ilvl w:val="0"/>
          <w:numId w:val="2"/>
        </w:numPr>
        <w:spacing w:after="80" w:line="280"/>
      </w:pPr>
      <w:r>
        <w:rPr>
          <w:sz w:val="21"/>
          <w:szCs w:val="21"/>
        </w:rPr>
        <w:t xml:space="preserve">Horizontal scaling via stateless engine workers reading/writing instance state from a shared, partitioned data store (partitioned by tenantId)</w:t>
      </w:r>
    </w:p>
    <w:p>
      <w:pPr>
        <w:pStyle w:val="ListParagraph"/>
        <w:numPr>
          <w:ilvl w:val="0"/>
          <w:numId w:val="2"/>
        </w:numPr>
        <w:spacing w:after="80" w:line="280"/>
      </w:pPr>
      <w:r>
        <w:rPr>
          <w:sz w:val="21"/>
          <w:szCs w:val="21"/>
        </w:rPr>
        <w:t xml:space="preserve">SLA-timer evaluation handled by a scalable scheduled-job layer, not per-instance polling</w:t>
      </w:r>
    </w:p>
    <w:p>
      <w:pPr>
        <w:pStyle w:val="Heading1"/>
        <w:spacing w:after="160" w:before="360"/>
      </w:pPr>
      <w:r>
        <w:rPr>
          <w:b/>
          <w:bCs/>
          <w:color w:val="1F3A5F"/>
          <w:sz w:val="30"/>
          <w:szCs w:val="30"/>
        </w:rPr>
        <w:t xml:space="preserve">16. Observability</w:t>
      </w:r>
    </w:p>
    <w:p>
      <w:pPr>
        <w:pStyle w:val="ListParagraph"/>
        <w:numPr>
          <w:ilvl w:val="0"/>
          <w:numId w:val="2"/>
        </w:numPr>
        <w:spacing w:after="80" w:line="280"/>
      </w:pPr>
      <w:r>
        <w:rPr>
          <w:sz w:val="21"/>
          <w:szCs w:val="21"/>
        </w:rPr>
        <w:t xml:space="preserve">Metrics: instances by state, average time-in-step, SLA breach rate, fallback-invocation rate, escalation-dashboard metrics (Section 6.12)</w:t>
      </w:r>
    </w:p>
    <w:p>
      <w:pPr>
        <w:pStyle w:val="ListParagraph"/>
        <w:numPr>
          <w:ilvl w:val="0"/>
          <w:numId w:val="2"/>
        </w:numPr>
        <w:spacing w:after="80" w:line="280"/>
      </w:pPr>
      <w:r>
        <w:rPr>
          <w:sz w:val="21"/>
          <w:szCs w:val="21"/>
        </w:rPr>
        <w:t xml:space="preserve">Tracing: every transition carries a correlation ID traceable across the integration layer</w:t>
      </w:r>
    </w:p>
    <w:p>
      <w:pPr>
        <w:pStyle w:val="ListParagraph"/>
        <w:numPr>
          <w:ilvl w:val="0"/>
          <w:numId w:val="2"/>
        </w:numPr>
        <w:spacing w:after="80" w:line="280"/>
      </w:pPr>
      <w:r>
        <w:rPr>
          <w:sz w:val="21"/>
          <w:szCs w:val="21"/>
        </w:rPr>
        <w:t xml:space="preserve">Stuck-workflow detection: automated alert when an instance exceeds N× its SLA with no fallback resolution available</w:t>
      </w:r>
    </w:p>
    <w:p>
      <w:pPr>
        <w:pStyle w:val="Heading1"/>
        <w:spacing w:after="160" w:before="360"/>
      </w:pPr>
      <w:r>
        <w:rPr>
          <w:b/>
          <w:bCs/>
          <w:color w:val="1F3A5F"/>
          <w:sz w:val="30"/>
          <w:szCs w:val="30"/>
        </w:rPr>
        <w:t xml:space="preserve">17. Testing &amp; Validation Strategy</w:t>
      </w:r>
    </w:p>
    <w:p>
      <w:pPr>
        <w:pStyle w:val="ListParagraph"/>
        <w:numPr>
          <w:ilvl w:val="0"/>
          <w:numId w:val="2"/>
        </w:numPr>
        <w:spacing w:after="80" w:line="280"/>
      </w:pPr>
      <w:r>
        <w:rPr>
          <w:sz w:val="21"/>
          <w:szCs w:val="21"/>
        </w:rPr>
        <w:t xml:space="preserve">Template validation: reject publish if the state graph has unreachable states, missing terminal states, or orphaned transitions after a step deletion</w:t>
      </w:r>
    </w:p>
    <w:p>
      <w:pPr>
        <w:pStyle w:val="ListParagraph"/>
        <w:numPr>
          <w:ilvl w:val="0"/>
          <w:numId w:val="2"/>
        </w:numPr>
        <w:spacing w:after="80" w:line="280"/>
      </w:pPr>
      <w:r>
        <w:rPr>
          <w:sz w:val="21"/>
          <w:szCs w:val="21"/>
        </w:rPr>
        <w:t xml:space="preserve">Simulation mode: dry-run a template against sample instance data before publishing, and per-instance via the /simulate endpoint</w:t>
      </w:r>
    </w:p>
    <w:p>
      <w:pPr>
        <w:pStyle w:val="ListParagraph"/>
        <w:numPr>
          <w:ilvl w:val="0"/>
          <w:numId w:val="2"/>
        </w:numPr>
        <w:spacing w:after="80" w:line="280"/>
      </w:pPr>
      <w:r>
        <w:rPr>
          <w:sz w:val="21"/>
          <w:szCs w:val="21"/>
        </w:rPr>
        <w:t xml:space="preserve">Chaos/failure testing: simulate assignee unavailability cascades, Saga-step failures, and mid-transition crash/restart to verify recovery behavior</w:t>
      </w:r>
    </w:p>
    <w:p>
      <w:pPr>
        <w:pStyle w:val="ListParagraph"/>
        <w:numPr>
          <w:ilvl w:val="0"/>
          <w:numId w:val="2"/>
        </w:numPr>
        <w:spacing w:after="80" w:line="280"/>
      </w:pPr>
      <w:r>
        <w:rPr>
          <w:sz w:val="21"/>
          <w:szCs w:val="21"/>
        </w:rPr>
        <w:t xml:space="preserve">Regression suite: golden-path and edge-case (SoD conflict, full fallback exhaustion, SLA breach, concurrent-write conflict) scenarios per release</w:t>
      </w:r>
    </w:p>
    <w:p>
      <w:pPr>
        <w:pStyle w:val="Heading1"/>
        <w:spacing w:after="160" w:before="360"/>
      </w:pPr>
      <w:r>
        <w:rPr>
          <w:b/>
          <w:bCs/>
          <w:color w:val="1F3A5F"/>
          <w:sz w:val="30"/>
          <w:szCs w:val="30"/>
        </w:rPr>
        <w:t xml:space="preserve">18. Visual Workflow Builder</w:t>
      </w:r>
    </w:p>
    <w:p>
      <w:pPr>
        <w:spacing w:after="140" w:line="300"/>
      </w:pPr>
      <w:r>
        <w:rPr>
          <w:sz w:val="21"/>
          <w:szCs w:val="21"/>
        </w:rPr>
        <w:t xml:space="preserve">As a no-code configuration platform, the admin experience for authoring workflow templates requires:</w:t>
      </w:r>
    </w:p>
    <w:p>
      <w:pPr>
        <w:pStyle w:val="ListParagraph"/>
        <w:numPr>
          <w:ilvl w:val="0"/>
          <w:numId w:val="2"/>
        </w:numPr>
        <w:spacing w:after="80" w:line="280"/>
      </w:pPr>
      <w:r>
        <w:rPr>
          <w:sz w:val="21"/>
          <w:szCs w:val="21"/>
        </w:rPr>
        <w:t xml:space="preserve">Drag-and-drop workflow designer</w:t>
      </w:r>
    </w:p>
    <w:p>
      <w:pPr>
        <w:pStyle w:val="ListParagraph"/>
        <w:numPr>
          <w:ilvl w:val="0"/>
          <w:numId w:val="2"/>
        </w:numPr>
        <w:spacing w:after="80" w:line="280"/>
      </w:pPr>
      <w:r>
        <w:rPr>
          <w:sz w:val="21"/>
          <w:szCs w:val="21"/>
        </w:rPr>
        <w:t xml:space="preserve">Decision gateways (visual representation of guard-based branching)</w:t>
      </w:r>
    </w:p>
    <w:p>
      <w:pPr>
        <w:pStyle w:val="ListParagraph"/>
        <w:numPr>
          <w:ilvl w:val="0"/>
          <w:numId w:val="2"/>
        </w:numPr>
        <w:spacing w:after="80" w:line="280"/>
      </w:pPr>
      <w:r>
        <w:rPr>
          <w:sz w:val="21"/>
          <w:szCs w:val="21"/>
        </w:rPr>
        <w:t xml:space="preserve">Parallel branches and nested approvals</w:t>
      </w:r>
    </w:p>
    <w:p>
      <w:pPr>
        <w:pStyle w:val="ListParagraph"/>
        <w:numPr>
          <w:ilvl w:val="0"/>
          <w:numId w:val="2"/>
        </w:numPr>
        <w:spacing w:after="80" w:line="280"/>
      </w:pPr>
      <w:r>
        <w:rPr>
          <w:sz w:val="21"/>
          <w:szCs w:val="21"/>
        </w:rPr>
        <w:t xml:space="preserve">Swimlanes per actor/role</w:t>
      </w:r>
    </w:p>
    <w:p>
      <w:pPr>
        <w:pStyle w:val="ListParagraph"/>
        <w:numPr>
          <w:ilvl w:val="0"/>
          <w:numId w:val="2"/>
        </w:numPr>
        <w:spacing w:after="80" w:line="280"/>
      </w:pPr>
      <w:r>
        <w:rPr>
          <w:sz w:val="21"/>
          <w:szCs w:val="21"/>
        </w:rPr>
        <w:t xml:space="preserve">Validation before publishing (surfaces the same checks as Section 17's template validation, inline)</w:t>
      </w:r>
    </w:p>
    <w:p>
      <w:pPr>
        <w:pStyle w:val="ListParagraph"/>
        <w:numPr>
          <w:ilvl w:val="0"/>
          <w:numId w:val="2"/>
        </w:numPr>
        <w:spacing w:after="80" w:line="280"/>
      </w:pPr>
      <w:r>
        <w:rPr>
          <w:sz w:val="21"/>
          <w:szCs w:val="21"/>
        </w:rPr>
        <w:t xml:space="preserve">Version comparison (diff between template versions)</w:t>
      </w:r>
    </w:p>
    <w:p>
      <w:pPr>
        <w:pStyle w:val="ListParagraph"/>
        <w:numPr>
          <w:ilvl w:val="0"/>
          <w:numId w:val="2"/>
        </w:numPr>
        <w:spacing w:after="80" w:line="280"/>
      </w:pPr>
      <w:r>
        <w:rPr>
          <w:sz w:val="21"/>
          <w:szCs w:val="21"/>
        </w:rPr>
        <w:t xml:space="preserve">Workflow simulation (visual walk-through of the /simulate result)</w:t>
      </w:r>
    </w:p>
    <w:p>
      <w:pPr>
        <w:pStyle w:val="Heading1"/>
        <w:spacing w:after="160" w:before="360"/>
      </w:pPr>
      <w:r>
        <w:rPr>
          <w:b/>
          <w:bCs/>
          <w:color w:val="1F3A5F"/>
          <w:sz w:val="30"/>
          <w:szCs w:val="30"/>
        </w:rPr>
        <w:t xml:space="preserve">19. Phased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tblHeader/>
        </w:trPr>
        <w:tc>
          <w:tcPr>
            <w:tcW w:type="dxa" w:w="2000"/>
            <w:shd w:fill="1F3A5F" w:val="clear"/>
          </w:tcPr>
          <w:p>
            <w:r>
              <w:rPr>
                <w:b/>
                <w:bCs/>
                <w:color w:val="FFFFFF"/>
                <w:sz w:val="19"/>
                <w:szCs w:val="19"/>
              </w:rPr>
              <w:t xml:space="preserve">Phase</w:t>
            </w:r>
          </w:p>
        </w:tc>
        <w:tc>
          <w:tcPr>
            <w:tcW w:type="dxa" w:w="8000"/>
            <w:shd w:fill="1F3A5F" w:val="clear"/>
          </w:tcPr>
          <w:p>
            <w:r>
              <w:rPr>
                <w:b/>
                <w:bCs/>
                <w:color w:val="FFFFFF"/>
                <w:sz w:val="19"/>
                <w:szCs w:val="19"/>
              </w:rPr>
              <w:t xml:space="preserve">Scope</w:t>
            </w:r>
          </w:p>
        </w:tc>
      </w:tr>
      <w:tr>
        <w:tc>
          <w:tcPr>
            <w:tcW w:type="dxa" w:w="2000"/>
            <w:shd w:fill="FFFFFF" w:val="clear"/>
          </w:tcPr>
          <w:p>
            <w:r>
              <w:rPr>
                <w:sz w:val="19"/>
                <w:szCs w:val="19"/>
              </w:rPr>
              <w:t xml:space="preserve">MVP</w:t>
            </w:r>
          </w:p>
        </w:tc>
        <w:tc>
          <w:tcPr>
            <w:tcW w:type="dxa" w:w="8000"/>
            <w:shd w:fill="FFFFFF" w:val="clear"/>
          </w:tcPr>
          <w:p>
            <w:r>
              <w:rPr>
                <w:sz w:val="19"/>
                <w:szCs w:val="19"/>
              </w:rPr>
              <w:t xml:space="preserve">Sequential + parallel approval chains, manual fallback assignment, single-level SLA timers, PR/PO workflows</w:t>
            </w:r>
          </w:p>
        </w:tc>
      </w:tr>
      <w:tr>
        <w:tc>
          <w:tcPr>
            <w:tcW w:type="dxa" w:w="2000"/>
            <w:shd w:fill="EEF1F5" w:val="clear"/>
          </w:tcPr>
          <w:p>
            <w:r>
              <w:rPr>
                <w:sz w:val="19"/>
                <w:szCs w:val="19"/>
              </w:rPr>
              <w:t xml:space="preserve">Phase 2</w:t>
            </w:r>
          </w:p>
        </w:tc>
        <w:tc>
          <w:tcPr>
            <w:tcW w:type="dxa" w:w="8000"/>
            <w:shd w:fill="EEF1F5" w:val="clear"/>
          </w:tcPr>
          <w:p>
            <w:r>
              <w:rPr>
                <w:sz w:val="19"/>
                <w:szCs w:val="19"/>
              </w:rPr>
              <w:t xml:space="preserve">Conditional branching, automated availability-based fallback, multi-level escalation (Section 6), Invoice/GRN workflows</w:t>
            </w:r>
          </w:p>
        </w:tc>
      </w:tr>
      <w:tr>
        <w:tc>
          <w:tcPr>
            <w:tcW w:type="dxa" w:w="2000"/>
            <w:shd w:fill="FFFFFF" w:val="clear"/>
          </w:tcPr>
          <w:p>
            <w:r>
              <w:rPr>
                <w:sz w:val="19"/>
                <w:szCs w:val="19"/>
              </w:rPr>
              <w:t xml:space="preserve">Phase 3</w:t>
            </w:r>
          </w:p>
        </w:tc>
        <w:tc>
          <w:tcPr>
            <w:tcW w:type="dxa" w:w="8000"/>
            <w:shd w:fill="FFFFFF" w:val="clear"/>
          </w:tcPr>
          <w:p>
            <w:r>
              <w:rPr>
                <w:sz w:val="19"/>
                <w:szCs w:val="19"/>
              </w:rPr>
              <w:t xml:space="preserve">AI-agent actors with full integration contract (5.4), admin no-code step editor, full SoD engine, generic adapter layer, Saga-based resilience</w:t>
            </w:r>
          </w:p>
        </w:tc>
      </w:tr>
      <w:tr>
        <w:tc>
          <w:tcPr>
            <w:tcW w:type="dxa" w:w="2000"/>
            <w:shd w:fill="EEF1F5" w:val="clear"/>
          </w:tcPr>
          <w:p>
            <w:r>
              <w:rPr>
                <w:sz w:val="19"/>
                <w:szCs w:val="19"/>
              </w:rPr>
              <w:t xml:space="preserve">Phase 4</w:t>
            </w:r>
          </w:p>
        </w:tc>
        <w:tc>
          <w:tcPr>
            <w:tcW w:type="dxa" w:w="8000"/>
            <w:shd w:fill="EEF1F5" w:val="clear"/>
          </w:tcPr>
          <w:p>
            <w:r>
              <w:rPr>
                <w:sz w:val="19"/>
                <w:szCs w:val="19"/>
              </w:rPr>
              <w:t xml:space="preserve">Suspension/expiration lifecycle, emergency override actions, predictive escalation, visual workflow builder</w:t>
            </w:r>
          </w:p>
        </w:tc>
      </w:tr>
      <w:tr>
        <w:tc>
          <w:tcPr>
            <w:tcW w:type="dxa" w:w="2000"/>
            <w:shd w:fill="FFFFFF" w:val="clear"/>
          </w:tcPr>
          <w:p>
            <w:r>
              <w:rPr>
                <w:sz w:val="19"/>
                <w:szCs w:val="19"/>
              </w:rPr>
              <w:t xml:space="preserve">Gold Standard</w:t>
            </w:r>
          </w:p>
        </w:tc>
        <w:tc>
          <w:tcPr>
            <w:tcW w:type="dxa" w:w="8000"/>
            <w:shd w:fill="FFFFFF" w:val="clear"/>
          </w:tcPr>
          <w:p>
            <w:r>
              <w:rPr>
                <w:sz w:val="19"/>
                <w:szCs w:val="19"/>
              </w:rPr>
              <w:t xml:space="preserve">Full observability + escalation dashboard, chaos-tested recovery, multi-region compliance and data residency, NAS-to-cloud deployment portability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2026-07-23T21:17:50.233Z</dcterms:created>
  <dcterms:modified xsi:type="dcterms:W3CDTF">2026-07-23T21:17:50.255Z</dcterms:modified>
</cp:coreProperties>
</file>

<file path=docProps/custom.xml><?xml version="1.0" encoding="utf-8"?>
<Properties xmlns="http://schemas.openxmlformats.org/officeDocument/2006/custom-properties" xmlns:vt="http://schemas.openxmlformats.org/officeDocument/2006/docPropsVTypes"/>
</file>