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S2PNexus Architecture Decision Record (ADR)</w:t>
        <w:br/>
        <w:t>Sprint 2 Business Capability Foundation</w:t>
      </w:r>
    </w:p>
    <w:p>
      <w:r>
        <w:rPr>
          <w:b/>
        </w:rPr>
        <w:t xml:space="preserve">Status: </w:t>
      </w:r>
      <w:r>
        <w:t>Approved</w:t>
        <w:br/>
      </w:r>
      <w:r>
        <w:rPr>
          <w:b/>
        </w:rPr>
        <w:t xml:space="preserve">Date: </w:t>
      </w:r>
      <w:r>
        <w:t>July 22, 2026</w:t>
        <w:br/>
      </w:r>
      <w:r>
        <w:rPr>
          <w:b/>
        </w:rPr>
        <w:t xml:space="preserve">Decision: </w:t>
      </w:r>
      <w:r>
        <w:t>Transition S2PNexus from infrastructure-first to business-capability-first development while preserving the AI orchestration foundation.</w:t>
      </w:r>
    </w:p>
    <w:p>
      <w:pPr>
        <w:pStyle w:val="Heading1"/>
      </w:pPr>
      <w:r>
        <w:t>Context</w:t>
      </w:r>
    </w:p>
    <w:p>
      <w:r>
        <w:t>Sprint 1 established the technical foundation including multi-tenancy, RBAC, authentication, orchestration, typed abstractions, shared infrastructure, events, and AI agent framework. The next phase focuses on enterprise Source-to-Pay capabilities.</w:t>
      </w:r>
    </w:p>
    <w:p>
      <w:pPr>
        <w:pStyle w:val="Heading1"/>
      </w:pPr>
      <w:r>
        <w:t>Architecture Vision</w:t>
      </w:r>
    </w:p>
    <w:p>
      <w:r>
        <w:t>Presentation Layer</w:t>
        <w:br/>
        <w:t xml:space="preserve">        ↓</w:t>
        <w:br/>
        <w:t>FastAPI Business APIs</w:t>
        <w:br/>
        <w:t xml:space="preserve">        ↓</w:t>
        <w:br/>
        <w:t>Business Domains</w:t>
        <w:br/>
        <w:t xml:space="preserve">  • Procurement Core</w:t>
        <w:br/>
        <w:t xml:space="preserve">  • Supplier Management</w:t>
        <w:br/>
        <w:t xml:space="preserve">  • Strategic Sourcing</w:t>
        <w:br/>
        <w:t xml:space="preserve">  • Contract Lifecycle</w:t>
        <w:br/>
        <w:t xml:space="preserve">  • Spend Intelligence</w:t>
        <w:br/>
        <w:t xml:space="preserve">  • Workflow Automation</w:t>
        <w:br/>
        <w:t xml:space="preserve">        ↓</w:t>
        <w:br/>
        <w:t>AI Orchestration Layer</w:t>
        <w:br/>
        <w:t xml:space="preserve">  • Planner Agent</w:t>
        <w:br/>
        <w:t xml:space="preserve">  • Procurement Agent</w:t>
        <w:br/>
        <w:t xml:space="preserve">  • Supplier Agent</w:t>
        <w:br/>
        <w:t xml:space="preserve">  • Sourcing Agent</w:t>
        <w:br/>
        <w:t xml:space="preserve">  • Contract Agent</w:t>
        <w:br/>
        <w:t xml:space="preserve">  • Spend Agent</w:t>
        <w:br/>
        <w:t xml:space="preserve">  • Workflow Agent</w:t>
        <w:br/>
        <w:t xml:space="preserve">        ↓</w:t>
        <w:br/>
        <w:t>Shared Infrastructure</w:t>
        <w:br/>
        <w:t xml:space="preserve">  • PostgreSQL</w:t>
        <w:br/>
        <w:t xml:space="preserve">  • Redis</w:t>
        <w:br/>
        <w:t xml:space="preserve">  • Event Bus</w:t>
        <w:br/>
        <w:t xml:space="preserve">  • Vector Store</w:t>
        <w:br/>
        <w:t xml:space="preserve">  • Authentication</w:t>
        <w:br/>
        <w:t xml:space="preserve">  • RBAC</w:t>
        <w:br/>
        <w:t xml:space="preserve">  • Audit</w:t>
        <w:br/>
      </w:r>
    </w:p>
    <w:p>
      <w:pPr>
        <w:pStyle w:val="Heading1"/>
      </w:pPr>
      <w:r>
        <w:t>Sprint 2 Epics</w:t>
      </w:r>
    </w:p>
    <w:p>
      <w:pPr>
        <w:pStyle w:val="Heading2"/>
      </w:pPr>
      <w:r>
        <w:t>Phase 2A – Procurement Core</w:t>
      </w:r>
    </w:p>
    <w:p>
      <w:r>
        <w:t>Purchase Requisition, Purchase Orders, Receipts, Invoice Processing, Matching Engine, Approval Integration</w:t>
      </w:r>
    </w:p>
    <w:p>
      <w:pPr>
        <w:pStyle w:val="Heading2"/>
      </w:pPr>
      <w:r>
        <w:t>Phase 2B – Supplier Management</w:t>
      </w:r>
    </w:p>
    <w:p>
      <w:r>
        <w:t>Registration, Qualification, Certifications, Performance, Risk</w:t>
      </w:r>
    </w:p>
    <w:p>
      <w:pPr>
        <w:pStyle w:val="Heading2"/>
      </w:pPr>
      <w:r>
        <w:t>Phase 2C – Strategic Sourcing</w:t>
      </w:r>
    </w:p>
    <w:p>
      <w:r>
        <w:t>RFI, RFP, RFQ, Auctions, Evaluation, Award</w:t>
      </w:r>
    </w:p>
    <w:p>
      <w:pPr>
        <w:pStyle w:val="Heading2"/>
      </w:pPr>
      <w:r>
        <w:t>Phase 2D – Contract Lifecycle</w:t>
      </w:r>
    </w:p>
    <w:p>
      <w:r>
        <w:t>Templates, Clauses, Authoring, Review, Obligations, Renewals</w:t>
      </w:r>
    </w:p>
    <w:p>
      <w:pPr>
        <w:pStyle w:val="Heading2"/>
      </w:pPr>
      <w:r>
        <w:t>Phase 2E – Spend Intelligence</w:t>
      </w:r>
    </w:p>
    <w:p>
      <w:r>
        <w:t>Spend Cube, Dashboards, Forecasting, Savings</w:t>
      </w:r>
    </w:p>
    <w:p>
      <w:pPr>
        <w:pStyle w:val="Heading2"/>
      </w:pPr>
      <w:r>
        <w:t>Phase 2F – Workflow Automation</w:t>
      </w:r>
    </w:p>
    <w:p>
      <w:r>
        <w:t>Workflow Engine, Conditions, Human Tasks, Escalations, Notifications</w:t>
      </w:r>
    </w:p>
    <w:p>
      <w:pPr>
        <w:pStyle w:val="Heading1"/>
      </w:pPr>
      <w:r>
        <w:t>Cross-Cutting Requirements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Attachments</w:t>
      </w:r>
    </w:p>
    <w:p>
      <w:pPr>
        <w:pStyle w:val="ListBullet"/>
      </w:pPr>
      <w:r>
        <w:t>Comments</w:t>
      </w:r>
    </w:p>
    <w:p>
      <w:pPr>
        <w:pStyle w:val="ListBullet"/>
      </w:pPr>
      <w:r>
        <w:t>Activity timeline</w:t>
      </w:r>
    </w:p>
    <w:p>
      <w:pPr>
        <w:pStyle w:val="ListBullet"/>
      </w:pPr>
      <w:r>
        <w:t>Search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Event publishing</w:t>
      </w:r>
    </w:p>
    <w:p>
      <w:pPr>
        <w:pStyle w:val="ListBullet"/>
      </w:pPr>
      <w:r>
        <w:t>AI integration hooks</w:t>
      </w:r>
    </w:p>
    <w:p>
      <w:pPr>
        <w:pStyle w:val="Heading1"/>
      </w:pPr>
      <w:r>
        <w:t>Canonical Business Object (CBO) Decision</w:t>
      </w:r>
    </w:p>
    <w:p>
      <w:r>
        <w:t>Before expanding business domains, introduce a shared Canonical Business Object layer to avoid duplication across Procurement, Supplier, Sourcing, Contracts, and Spend.</w:t>
      </w:r>
    </w:p>
    <w:p>
      <w:pPr>
        <w:pStyle w:val="ListBullet"/>
      </w:pPr>
      <w:r>
        <w:t>BusinessPartner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Address</w:t>
      </w:r>
    </w:p>
    <w:p>
      <w:pPr>
        <w:pStyle w:val="ListBullet"/>
      </w:pPr>
      <w:r>
        <w:t>Money</w:t>
      </w:r>
    </w:p>
    <w:p>
      <w:pPr>
        <w:pStyle w:val="ListBullet"/>
      </w:pPr>
      <w:r>
        <w:t>Tax</w:t>
      </w:r>
    </w:p>
    <w:p>
      <w:pPr>
        <w:pStyle w:val="ListBullet"/>
      </w:pPr>
      <w:r>
        <w:t>Document</w:t>
      </w:r>
    </w:p>
    <w:p>
      <w:pPr>
        <w:pStyle w:val="ListBullet"/>
      </w:pPr>
      <w:r>
        <w:t>Attachment</w:t>
      </w:r>
    </w:p>
    <w:p>
      <w:pPr>
        <w:pStyle w:val="ListBullet"/>
      </w:pPr>
      <w:r>
        <w:t>Approval</w:t>
      </w:r>
    </w:p>
    <w:p>
      <w:pPr>
        <w:pStyle w:val="ListBullet"/>
      </w:pPr>
      <w:r>
        <w:t>LineItem</w:t>
      </w:r>
    </w:p>
    <w:p>
      <w:pPr>
        <w:pStyle w:val="ListBullet"/>
      </w:pPr>
      <w:r>
        <w:t>Currency</w:t>
      </w:r>
    </w:p>
    <w:p>
      <w:pPr>
        <w:pStyle w:val="ListBullet"/>
      </w:pPr>
      <w:r>
        <w:t>Contact</w:t>
      </w:r>
    </w:p>
    <w:p>
      <w:pPr>
        <w:pStyle w:val="ListBullet"/>
      </w:pPr>
      <w:r>
        <w:t>Classification</w:t>
      </w:r>
    </w:p>
    <w:p>
      <w:pPr>
        <w:pStyle w:val="Heading1"/>
      </w:pPr>
      <w:r>
        <w:t>Expected Repository Structure</w:t>
      </w:r>
    </w:p>
    <w:p>
      <w:r>
        <w:t>backend/</w:t>
        <w:br/>
        <w:t>├── app/</w:t>
        <w:br/>
        <w:t>├── domains/</w:t>
        <w:br/>
        <w:t>│   ├── procurement/</w:t>
        <w:br/>
        <w:t>│   ├── supplier/</w:t>
        <w:br/>
        <w:t>│   ├── sourcing/</w:t>
        <w:br/>
        <w:t>│   ├── contract/</w:t>
        <w:br/>
        <w:t>│   ├── spend/</w:t>
        <w:br/>
        <w:t>│   └── workflow/</w:t>
        <w:br/>
        <w:t>├── agents/</w:t>
        <w:br/>
        <w:t>├── orchestration/</w:t>
        <w:br/>
        <w:t>├── events/</w:t>
        <w:br/>
        <w:t>├── shared/</w:t>
        <w:br/>
        <w:t>└── infrastructure/</w:t>
        <w:br/>
      </w:r>
    </w:p>
    <w:p>
      <w:pPr>
        <w:pStyle w:val="Heading1"/>
      </w:pPr>
      <w:r>
        <w:t>Decision Summary</w:t>
      </w:r>
    </w:p>
    <w:p>
      <w:r>
        <w:t>This ADR establishes the transition from infrastructure work to enterprise business capabilities. The orchestration layer remains the common execution backbone while each business domain is implemented as a modular, reusable, AI-ready bounded context. Shared Canonical Business Objects become the common language across all domains to reduce duplication and simplify future ERP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