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S2PNexus Architecture Decision Record (ADR)</w:t>
        <w:br/>
        <w:t>Sprint 2 Business Capability Foundation (Updated)</w:t>
      </w:r>
    </w:p>
    <w:p>
      <w:r>
        <w:rPr>
          <w:b/>
        </w:rPr>
        <w:t xml:space="preserve">Status: </w:t>
      </w:r>
      <w:r>
        <w:t>Approved</w:t>
        <w:br/>
      </w:r>
      <w:r>
        <w:rPr>
          <w:b/>
        </w:rPr>
        <w:t xml:space="preserve">Date: </w:t>
      </w:r>
      <w:r>
        <w:t>July 22, 2026</w:t>
        <w:br/>
      </w:r>
      <w:r>
        <w:rPr>
          <w:b/>
        </w:rPr>
        <w:t xml:space="preserve">Purpose: </w:t>
      </w:r>
      <w:r>
        <w:t>Define the business capability roadmap following completion of the platform infrastructure.</w:t>
      </w:r>
    </w:p>
    <w:p>
      <w:pPr>
        <w:pStyle w:val="Heading1"/>
      </w:pPr>
      <w:r>
        <w:t>Sprint 2 Roadmap</w:t>
      </w:r>
    </w:p>
    <w:p>
      <w:pPr>
        <w:pStyle w:val="Heading2"/>
      </w:pPr>
      <w:r>
        <w:t>Phase 2A – Procurement Core</w:t>
      </w:r>
    </w:p>
    <w:p>
      <w:pPr>
        <w:pStyle w:val="ListBullet"/>
      </w:pPr>
      <w:r>
        <w:t>Purchase Requisitions</w:t>
      </w:r>
    </w:p>
    <w:p>
      <w:pPr>
        <w:pStyle w:val="ListBullet"/>
      </w:pPr>
      <w:r>
        <w:t>Catalog &amp; Non-Catalog Requests</w:t>
      </w:r>
    </w:p>
    <w:p>
      <w:pPr>
        <w:pStyle w:val="ListBullet"/>
      </w:pPr>
      <w:r>
        <w:t>Approval Integration</w:t>
      </w:r>
    </w:p>
    <w:p>
      <w:pPr>
        <w:pStyle w:val="ListBullet"/>
      </w:pPr>
      <w:r>
        <w:t>Purchase Orders</w:t>
      </w:r>
    </w:p>
    <w:p>
      <w:pPr>
        <w:pStyle w:val="ListBullet"/>
      </w:pPr>
      <w:r>
        <w:t>Goods Receipts</w:t>
      </w:r>
    </w:p>
    <w:p>
      <w:pPr>
        <w:pStyle w:val="ListBullet"/>
      </w:pPr>
      <w:r>
        <w:t>Invoice Processing</w:t>
      </w:r>
    </w:p>
    <w:p>
      <w:pPr>
        <w:pStyle w:val="ListBullet"/>
      </w:pPr>
      <w:r>
        <w:t>Two-way &amp; Three-way Matching</w:t>
      </w:r>
    </w:p>
    <w:p>
      <w:pPr>
        <w:pStyle w:val="Heading2"/>
      </w:pPr>
      <w:r>
        <w:t>Phase 2B – Supplier Management</w:t>
      </w:r>
    </w:p>
    <w:p>
      <w:pPr>
        <w:pStyle w:val="ListBullet"/>
      </w:pPr>
      <w:r>
        <w:t>Supplier Request</w:t>
      </w:r>
    </w:p>
    <w:p>
      <w:pPr>
        <w:pStyle w:val="ListBullet"/>
      </w:pPr>
      <w:r>
        <w:t>Supplier Request Approval</w:t>
      </w:r>
    </w:p>
    <w:p>
      <w:pPr>
        <w:pStyle w:val="ListBullet"/>
      </w:pPr>
      <w:r>
        <w:t>Invitation Management</w:t>
      </w:r>
    </w:p>
    <w:p>
      <w:pPr>
        <w:pStyle w:val="ListBullet"/>
      </w:pPr>
      <w:r>
        <w:t>Supplier Registration</w:t>
      </w:r>
    </w:p>
    <w:p>
      <w:pPr>
        <w:pStyle w:val="ListBullet"/>
      </w:pPr>
      <w:r>
        <w:t>Supplier Qualification</w:t>
      </w:r>
    </w:p>
    <w:p>
      <w:pPr>
        <w:pStyle w:val="ListBullet"/>
      </w:pPr>
      <w:r>
        <w:t>Compliance &amp; Document Management</w:t>
      </w:r>
    </w:p>
    <w:p>
      <w:pPr>
        <w:pStyle w:val="ListBullet"/>
      </w:pPr>
      <w:r>
        <w:t>Supplier Risk</w:t>
      </w:r>
    </w:p>
    <w:p>
      <w:pPr>
        <w:pStyle w:val="ListBullet"/>
      </w:pPr>
      <w:r>
        <w:t>Supplier Performance</w:t>
      </w:r>
    </w:p>
    <w:p>
      <w:pPr>
        <w:pStyle w:val="ListBullet"/>
      </w:pPr>
      <w:r>
        <w:t>Supplier Lifecycle</w:t>
      </w:r>
    </w:p>
    <w:p>
      <w:pPr>
        <w:pStyle w:val="ListBullet"/>
      </w:pPr>
      <w:r>
        <w:t>ERP Vendor Synchronization</w:t>
      </w:r>
    </w:p>
    <w:p>
      <w:pPr>
        <w:pStyle w:val="Heading2"/>
      </w:pPr>
      <w:r>
        <w:t>Phase 2C – Strategic Sourcing</w:t>
      </w:r>
    </w:p>
    <w:p>
      <w:pPr>
        <w:pStyle w:val="ListBullet"/>
      </w:pPr>
      <w:r>
        <w:t>RFI</w:t>
      </w:r>
    </w:p>
    <w:p>
      <w:pPr>
        <w:pStyle w:val="ListBullet"/>
      </w:pPr>
      <w:r>
        <w:t>RFP</w:t>
      </w:r>
    </w:p>
    <w:p>
      <w:pPr>
        <w:pStyle w:val="ListBullet"/>
      </w:pPr>
      <w:r>
        <w:t>RFQ</w:t>
      </w:r>
    </w:p>
    <w:p>
      <w:pPr>
        <w:pStyle w:val="ListBullet"/>
      </w:pPr>
      <w:r>
        <w:t>Reverse Auctions</w:t>
      </w:r>
    </w:p>
    <w:p>
      <w:pPr>
        <w:pStyle w:val="ListBullet"/>
      </w:pPr>
      <w:r>
        <w:t>Evaluation Matrix</w:t>
      </w:r>
    </w:p>
    <w:p>
      <w:pPr>
        <w:pStyle w:val="ListBullet"/>
      </w:pPr>
      <w:r>
        <w:t>Award Recommendation</w:t>
      </w:r>
    </w:p>
    <w:p>
      <w:pPr>
        <w:pStyle w:val="Heading2"/>
      </w:pPr>
      <w:r>
        <w:t>Phase 2D – Contract Lifecycle</w:t>
      </w:r>
    </w:p>
    <w:p>
      <w:pPr>
        <w:pStyle w:val="ListBullet"/>
      </w:pPr>
      <w:r>
        <w:t>Template Library</w:t>
      </w:r>
    </w:p>
    <w:p>
      <w:pPr>
        <w:pStyle w:val="ListBullet"/>
      </w:pPr>
      <w:r>
        <w:t>Clause Library</w:t>
      </w:r>
    </w:p>
    <w:p>
      <w:pPr>
        <w:pStyle w:val="ListBullet"/>
      </w:pPr>
      <w:r>
        <w:t>Authoring</w:t>
      </w:r>
    </w:p>
    <w:p>
      <w:pPr>
        <w:pStyle w:val="ListBullet"/>
      </w:pPr>
      <w:r>
        <w:t>Review</w:t>
      </w:r>
    </w:p>
    <w:p>
      <w:pPr>
        <w:pStyle w:val="ListBullet"/>
      </w:pPr>
      <w:r>
        <w:t>Approval</w:t>
      </w:r>
    </w:p>
    <w:p>
      <w:pPr>
        <w:pStyle w:val="ListBullet"/>
      </w:pPr>
      <w:r>
        <w:t>Obligation Tracking</w:t>
      </w:r>
    </w:p>
    <w:p>
      <w:pPr>
        <w:pStyle w:val="ListBullet"/>
      </w:pPr>
      <w:r>
        <w:t>Renewals</w:t>
      </w:r>
    </w:p>
    <w:p>
      <w:pPr>
        <w:pStyle w:val="Heading2"/>
      </w:pPr>
      <w:r>
        <w:t>Phase 2E – Spend Intelligence</w:t>
      </w:r>
    </w:p>
    <w:p>
      <w:pPr>
        <w:pStyle w:val="ListBullet"/>
      </w:pPr>
      <w:r>
        <w:t>Spend Cube</w:t>
      </w:r>
    </w:p>
    <w:p>
      <w:pPr>
        <w:pStyle w:val="ListBullet"/>
      </w:pPr>
      <w:r>
        <w:t>Category Analysis</w:t>
      </w:r>
    </w:p>
    <w:p>
      <w:pPr>
        <w:pStyle w:val="ListBullet"/>
      </w:pPr>
      <w:r>
        <w:t>Supplier Spend</w:t>
      </w:r>
    </w:p>
    <w:p>
      <w:pPr>
        <w:pStyle w:val="ListBullet"/>
      </w:pPr>
      <w:r>
        <w:t>Savings Tracking</w:t>
      </w:r>
    </w:p>
    <w:p>
      <w:pPr>
        <w:pStyle w:val="ListBullet"/>
      </w:pPr>
      <w:r>
        <w:t>Forecasting</w:t>
      </w:r>
    </w:p>
    <w:p>
      <w:pPr>
        <w:pStyle w:val="ListBullet"/>
      </w:pPr>
      <w:r>
        <w:t>Executive Dashboards</w:t>
      </w:r>
    </w:p>
    <w:p>
      <w:pPr>
        <w:pStyle w:val="Heading2"/>
      </w:pPr>
      <w:r>
        <w:t>Phase 2F – Workflow Automation</w:t>
      </w:r>
    </w:p>
    <w:p>
      <w:pPr>
        <w:pStyle w:val="ListBullet"/>
      </w:pPr>
      <w:r>
        <w:t>Workflow Definitions</w:t>
      </w:r>
    </w:p>
    <w:p>
      <w:pPr>
        <w:pStyle w:val="ListBullet"/>
      </w:pPr>
      <w:r>
        <w:t>Conditions</w:t>
      </w:r>
    </w:p>
    <w:p>
      <w:pPr>
        <w:pStyle w:val="ListBullet"/>
      </w:pPr>
      <w:r>
        <w:t>Actions</w:t>
      </w:r>
    </w:p>
    <w:p>
      <w:pPr>
        <w:pStyle w:val="ListBullet"/>
      </w:pPr>
      <w:r>
        <w:t>Parallel Approvals</w:t>
      </w:r>
    </w:p>
    <w:p>
      <w:pPr>
        <w:pStyle w:val="ListBullet"/>
      </w:pPr>
      <w:r>
        <w:t>Escalations</w:t>
      </w:r>
    </w:p>
    <w:p>
      <w:pPr>
        <w:pStyle w:val="ListBullet"/>
      </w:pPr>
      <w:r>
        <w:t>Notifications</w:t>
      </w:r>
    </w:p>
    <w:p>
      <w:pPr>
        <w:pStyle w:val="ListBullet"/>
      </w:pPr>
      <w:r>
        <w:t>Human Tasks</w:t>
      </w:r>
    </w:p>
    <w:p>
      <w:pPr>
        <w:pStyle w:val="Heading1"/>
      </w:pPr>
      <w:r>
        <w:t>Supplier Lifecycle</w:t>
      </w:r>
    </w:p>
    <w:p>
      <w:pPr>
        <w:pStyle w:val="ListBullet"/>
      </w:pPr>
      <w:r>
        <w:t>Need Identified</w:t>
      </w:r>
    </w:p>
    <w:p>
      <w:pPr>
        <w:pStyle w:val="ListBullet"/>
      </w:pPr>
      <w:r>
        <w:t>Supplier Request</w:t>
      </w:r>
    </w:p>
    <w:p>
      <w:pPr>
        <w:pStyle w:val="ListBullet"/>
      </w:pPr>
      <w:r>
        <w:t>Supplier Request Approval</w:t>
      </w:r>
    </w:p>
    <w:p>
      <w:pPr>
        <w:pStyle w:val="ListBullet"/>
      </w:pPr>
      <w:r>
        <w:t>Invitation</w:t>
      </w:r>
    </w:p>
    <w:p>
      <w:pPr>
        <w:pStyle w:val="ListBullet"/>
      </w:pPr>
      <w:r>
        <w:t>Supplier Registration</w:t>
      </w:r>
    </w:p>
    <w:p>
      <w:pPr>
        <w:pStyle w:val="ListBullet"/>
      </w:pPr>
      <w:r>
        <w:t>Qualification</w:t>
      </w:r>
    </w:p>
    <w:p>
      <w:pPr>
        <w:pStyle w:val="ListBullet"/>
      </w:pPr>
      <w:r>
        <w:t>Risk Assessment</w:t>
      </w:r>
    </w:p>
    <w:p>
      <w:pPr>
        <w:pStyle w:val="ListBullet"/>
      </w:pPr>
      <w:r>
        <w:t>Compliance Verification</w:t>
      </w:r>
    </w:p>
    <w:p>
      <w:pPr>
        <w:pStyle w:val="ListBullet"/>
      </w:pPr>
      <w:r>
        <w:t>ERP Vendor Creation/Synchronization</w:t>
      </w:r>
    </w:p>
    <w:p>
      <w:pPr>
        <w:pStyle w:val="ListBullet"/>
      </w:pPr>
      <w:r>
        <w:t>Active Supplier</w:t>
      </w:r>
    </w:p>
    <w:p>
      <w:pPr>
        <w:pStyle w:val="ListBullet"/>
      </w:pPr>
      <w:r>
        <w:t>Performance Management</w:t>
      </w:r>
    </w:p>
    <w:p>
      <w:pPr>
        <w:pStyle w:val="ListBullet"/>
      </w:pPr>
      <w:r>
        <w:t>Periodic Requalification</w:t>
      </w:r>
    </w:p>
    <w:p>
      <w:pPr>
        <w:pStyle w:val="Heading1"/>
      </w:pPr>
      <w:r>
        <w:t>SupplierAgent Responsibilities</w:t>
      </w:r>
    </w:p>
    <w:p>
      <w:pPr>
        <w:pStyle w:val="ListBullet"/>
      </w:pPr>
      <w:r>
        <w:t>Recommend whether a new supplier is needed</w:t>
      </w:r>
    </w:p>
    <w:p>
      <w:pPr>
        <w:pStyle w:val="ListBullet"/>
      </w:pPr>
      <w:r>
        <w:t>Detect duplicate supplier requests</w:t>
      </w:r>
    </w:p>
    <w:p>
      <w:pPr>
        <w:pStyle w:val="ListBullet"/>
      </w:pPr>
      <w:r>
        <w:t>Validate onboarding documents</w:t>
      </w:r>
    </w:p>
    <w:p>
      <w:pPr>
        <w:pStyle w:val="ListBullet"/>
      </w:pPr>
      <w:r>
        <w:t>Summarize supplier profiles</w:t>
      </w:r>
    </w:p>
    <w:p>
      <w:pPr>
        <w:pStyle w:val="ListBullet"/>
      </w:pPr>
      <w:r>
        <w:t>Explain qualification failures</w:t>
      </w:r>
    </w:p>
    <w:p>
      <w:pPr>
        <w:pStyle w:val="ListBullet"/>
      </w:pPr>
      <w:r>
        <w:t>Recommend approval decisions</w:t>
      </w:r>
    </w:p>
    <w:p>
      <w:pPr>
        <w:pStyle w:val="ListBullet"/>
      </w:pPr>
      <w:r>
        <w:t>Recommend preferred suppliers</w:t>
      </w:r>
    </w:p>
    <w:p>
      <w:pPr>
        <w:pStyle w:val="ListBullet"/>
      </w:pPr>
      <w:r>
        <w:t>Predict supplier risk</w:t>
      </w:r>
    </w:p>
    <w:p>
      <w:pPr>
        <w:pStyle w:val="ListBullet"/>
      </w:pPr>
      <w:r>
        <w:t>Generate supplier scorecards</w:t>
      </w:r>
    </w:p>
    <w:p>
      <w:pPr>
        <w:pStyle w:val="Heading1"/>
      </w:pPr>
      <w:r>
        <w:t>Canonical Business Objects (Shared Across Domains)</w:t>
      </w:r>
    </w:p>
    <w:p>
      <w:pPr>
        <w:pStyle w:val="ListBullet"/>
      </w:pPr>
      <w:r>
        <w:t>BusinessPartner</w:t>
      </w:r>
    </w:p>
    <w:p>
      <w:pPr>
        <w:pStyle w:val="ListBullet"/>
      </w:pPr>
      <w:r>
        <w:t>Organization</w:t>
      </w:r>
    </w:p>
    <w:p>
      <w:pPr>
        <w:pStyle w:val="ListBullet"/>
      </w:pPr>
      <w:r>
        <w:t>Address</w:t>
      </w:r>
    </w:p>
    <w:p>
      <w:pPr>
        <w:pStyle w:val="ListBullet"/>
      </w:pPr>
      <w:r>
        <w:t>Contact</w:t>
      </w:r>
    </w:p>
    <w:p>
      <w:pPr>
        <w:pStyle w:val="ListBullet"/>
      </w:pPr>
      <w:r>
        <w:t>Money</w:t>
      </w:r>
    </w:p>
    <w:p>
      <w:pPr>
        <w:pStyle w:val="ListBullet"/>
      </w:pPr>
      <w:r>
        <w:t>Tax</w:t>
      </w:r>
    </w:p>
    <w:p>
      <w:pPr>
        <w:pStyle w:val="ListBullet"/>
      </w:pPr>
      <w:r>
        <w:t>Document</w:t>
      </w:r>
    </w:p>
    <w:p>
      <w:pPr>
        <w:pStyle w:val="ListBullet"/>
      </w:pPr>
      <w:r>
        <w:t>Attachment</w:t>
      </w:r>
    </w:p>
    <w:p>
      <w:pPr>
        <w:pStyle w:val="ListBullet"/>
      </w:pPr>
      <w:r>
        <w:t>Approval</w:t>
      </w:r>
    </w:p>
    <w:p>
      <w:pPr>
        <w:pStyle w:val="ListBullet"/>
      </w:pPr>
      <w:r>
        <w:t>LineItem</w:t>
      </w:r>
    </w:p>
    <w:p>
      <w:pPr>
        <w:pStyle w:val="ListBullet"/>
      </w:pPr>
      <w:r>
        <w:t>Currency</w:t>
      </w:r>
    </w:p>
    <w:p>
      <w:pPr>
        <w:pStyle w:val="ListBullet"/>
      </w:pPr>
      <w:r>
        <w:t>Classification</w:t>
      </w:r>
    </w:p>
    <w:p>
      <w:pPr>
        <w:pStyle w:val="Heading1"/>
      </w:pPr>
      <w:r>
        <w:t>Repository Structure</w:t>
      </w:r>
    </w:p>
    <w:p>
      <w:r>
        <w:t>backend/</w:t>
        <w:br/>
        <w:t>├── domains/</w:t>
        <w:br/>
        <w:t>│   ├── procurement/</w:t>
        <w:br/>
        <w:t>│   ├── supplier/</w:t>
        <w:br/>
        <w:t>│   │   ├── supplier_request/</w:t>
        <w:br/>
        <w:t>│   │   ├── supplier_registration/</w:t>
        <w:br/>
        <w:t>│   │   ├── supplier_profile/</w:t>
        <w:br/>
        <w:t>│   │   ├── qualification/</w:t>
        <w:br/>
        <w:t>│   │   ├── risk/</w:t>
        <w:br/>
        <w:t>│   │   ├── performance/</w:t>
        <w:br/>
        <w:t>│   │   ├── lifecycle/</w:t>
        <w:br/>
        <w:t>│   │   ├── documents/</w:t>
        <w:br/>
        <w:t>│   │   ├── invitations/</w:t>
        <w:br/>
        <w:t>│   │   └── approvals/</w:t>
        <w:br/>
        <w:t>│   ├── sourcing/</w:t>
        <w:br/>
        <w:t>│   ├── contract/</w:t>
        <w:br/>
        <w:t>│   ├── spend/</w:t>
        <w:br/>
        <w:t>│   └── workflow/</w:t>
        <w:br/>
        <w:t>├── agents/</w:t>
        <w:br/>
        <w:t>├── orchestration/</w:t>
        <w:br/>
        <w:t>├── shared/</w:t>
        <w:br/>
        <w:t>└── infrastructure/</w:t>
        <w:br/>
      </w:r>
    </w:p>
    <w:p>
      <w:pPr>
        <w:pStyle w:val="Heading1"/>
      </w:pPr>
      <w:r>
        <w:t>Decision Summary</w:t>
      </w:r>
    </w:p>
    <w:p>
      <w:r>
        <w:t>The Supplier Management domain is updated to begin with Supplier Request rather than Supplier Registration. This aligns S2PNexus with enterprise S2P practices by ensuring governance, approvals, and duplicate prevention before supplier master data is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