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S2PNexus Architecture Decision Record (ADR)</w:t>
      </w:r>
    </w:p>
    <w:p>
      <w:pPr>
        <w:pStyle w:val="Heading1"/>
      </w:pPr>
      <w:r>
        <w:t>ADR Information</w:t>
      </w:r>
    </w:p>
    <w:p>
      <w:r>
        <w:rPr>
          <w:b/>
        </w:rPr>
        <w:t xml:space="preserve">ADR ID: </w:t>
      </w:r>
      <w:r>
        <w:t>ADR-0001</w:t>
        <w:br/>
      </w:r>
      <w:r>
        <w:rPr>
          <w:b/>
        </w:rPr>
        <w:t xml:space="preserve">Title: </w:t>
      </w:r>
      <w:r>
        <w:t>Platform Foundation Complete – Architecture Freeze and Business Capability Roadmap</w:t>
        <w:br/>
      </w:r>
      <w:r>
        <w:rPr>
          <w:b/>
        </w:rPr>
        <w:t xml:space="preserve">Status: </w:t>
      </w:r>
      <w:r>
        <w:t>Accepted</w:t>
        <w:br/>
      </w:r>
      <w:r>
        <w:rPr>
          <w:b/>
        </w:rPr>
        <w:t xml:space="preserve">Version: </w:t>
      </w:r>
      <w:r>
        <w:t>v0.3.0-platform-foundation</w:t>
        <w:br/>
      </w:r>
      <w:r>
        <w:rPr>
          <w:b/>
        </w:rPr>
        <w:t xml:space="preserve">Date: </w:t>
      </w:r>
      <w:r>
        <w:t>2026-07-22</w:t>
      </w:r>
    </w:p>
    <w:p>
      <w:pPr>
        <w:pStyle w:val="Heading1"/>
      </w:pPr>
      <w:r>
        <w:t>Context</w:t>
      </w:r>
    </w:p>
    <w:p>
      <w:r>
        <w:t>S2PNexus has completed its foundational architecture with domain-driven organization, workflow services, command handling, event publication, AI orchestration abstractions, authentication, tenant-aware foundations, and Procurement as the reference implementation. Platform hardening has been completed and the architecture is considered stable.</w:t>
      </w:r>
    </w:p>
    <w:p>
      <w:pPr>
        <w:pStyle w:val="Heading1"/>
      </w:pPr>
      <w:r>
        <w:t>Decision</w:t>
      </w:r>
    </w:p>
    <w:p>
      <w:r>
        <w:t>Freeze the core platform architecture at v0.3.0-platform-foundation. Future development will emphasize business capabilities over architectural redesign.</w:t>
      </w:r>
    </w:p>
    <w:p>
      <w:pPr>
        <w:pStyle w:val="Heading1"/>
      </w:pPr>
      <w:r>
        <w:t>Development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Focus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Business Capabilities</w:t>
            </w:r>
          </w:p>
        </w:tc>
        <w:tc>
          <w:tcPr>
            <w:tcW w:type="dxa" w:w="4320"/>
          </w:tcPr>
          <w:p>
            <w:r>
              <w:t>80–90%</w:t>
            </w:r>
          </w:p>
        </w:tc>
      </w:tr>
      <w:tr>
        <w:tc>
          <w:tcPr>
            <w:tcW w:type="dxa" w:w="4320"/>
          </w:tcPr>
          <w:p>
            <w:r>
              <w:t>Platform Improvements</w:t>
            </w:r>
          </w:p>
        </w:tc>
        <w:tc>
          <w:tcPr>
            <w:tcW w:type="dxa" w:w="4320"/>
          </w:tcPr>
          <w:p>
            <w:r>
              <w:t>10–20% (only when business-driven)</w:t>
            </w:r>
          </w:p>
        </w:tc>
      </w:tr>
    </w:tbl>
    <w:p>
      <w:pPr>
        <w:pStyle w:val="Heading1"/>
      </w:pPr>
      <w:r>
        <w:t>Roadmap</w:t>
      </w:r>
    </w:p>
    <w:p>
      <w:pPr>
        <w:pStyle w:val="ListBullet"/>
      </w:pPr>
      <w:r>
        <w:t>v0.3.0 – Platform Foundation</w:t>
      </w:r>
    </w:p>
    <w:p>
      <w:pPr>
        <w:pStyle w:val="ListBullet"/>
      </w:pPr>
      <w:r>
        <w:t>v0.4.0 – Supplier Lifecycle</w:t>
      </w:r>
    </w:p>
    <w:p>
      <w:pPr>
        <w:pStyle w:val="ListBullet"/>
      </w:pPr>
      <w:r>
        <w:t>v0.5.0 – Strategic Sourcing</w:t>
      </w:r>
    </w:p>
    <w:p>
      <w:pPr>
        <w:pStyle w:val="ListBullet"/>
      </w:pPr>
      <w:r>
        <w:t>v0.6.0 – Contract Lifecycle</w:t>
      </w:r>
    </w:p>
    <w:p>
      <w:pPr>
        <w:pStyle w:val="ListBullet"/>
      </w:pPr>
      <w:r>
        <w:t>v0.7.0 – Spend Intelligence</w:t>
      </w:r>
    </w:p>
    <w:p>
      <w:pPr>
        <w:pStyle w:val="ListBullet"/>
      </w:pPr>
      <w:r>
        <w:t>v0.8.0 – AI Enablement (LLM + RAG + Production Agents)</w:t>
      </w:r>
    </w:p>
    <w:p>
      <w:pPr>
        <w:pStyle w:val="ListBullet"/>
      </w:pPr>
      <w:r>
        <w:t>v1.0.0 – Enterprise S2PNexus</w:t>
      </w:r>
    </w:p>
    <w:p>
      <w:pPr>
        <w:pStyle w:val="Heading1"/>
      </w:pPr>
      <w:r>
        <w:t>Supplier Lifecycle Vision</w:t>
      </w:r>
    </w:p>
    <w:p>
      <w:r>
        <w:t>Need → Supplier Request → Approval → Invitation → Registration → Qualification → Risk Assessment → Compliance → ERP Vendor Creation → Performance → Continuous Monitoring</w:t>
      </w:r>
    </w:p>
    <w:p>
      <w:pPr>
        <w:pStyle w:val="Heading1"/>
      </w:pPr>
      <w:r>
        <w:t>AI Strategy</w:t>
      </w:r>
    </w:p>
    <w:p>
      <w:r>
        <w:t>Integrate LLMs only after the core business domains are mature. AI agents will use provider abstractions and retrieval-augmented generation to augment—not replace—business workflows.</w:t>
      </w:r>
    </w:p>
    <w:p>
      <w:pPr>
        <w:pStyle w:val="Heading1"/>
      </w:pPr>
      <w:r>
        <w:t>Architecture Principles</w:t>
      </w:r>
    </w:p>
    <w:p>
      <w:pPr>
        <w:pStyle w:val="ListBullet"/>
      </w:pPr>
      <w:r>
        <w:t>Domain-Driven Design</w:t>
      </w:r>
    </w:p>
    <w:p>
      <w:pPr>
        <w:pStyle w:val="ListBullet"/>
      </w:pPr>
      <w:r>
        <w:t>Workflow-driven processes</w:t>
      </w:r>
    </w:p>
    <w:p>
      <w:pPr>
        <w:pStyle w:val="ListBullet"/>
      </w:pPr>
      <w:r>
        <w:t>Command pattern</w:t>
      </w:r>
    </w:p>
    <w:p>
      <w:pPr>
        <w:pStyle w:val="ListBullet"/>
      </w:pPr>
      <w:r>
        <w:t>Event-driven integration</w:t>
      </w:r>
    </w:p>
    <w:p>
      <w:pPr>
        <w:pStyle w:val="ListBullet"/>
      </w:pPr>
      <w:r>
        <w:t>AI agents are advisory</w:t>
      </w:r>
    </w:p>
    <w:p>
      <w:pPr>
        <w:pStyle w:val="ListBullet"/>
      </w:pPr>
      <w:r>
        <w:t>LLM provider abstraction</w:t>
      </w:r>
    </w:p>
    <w:p>
      <w:pPr>
        <w:pStyle w:val="ListBullet"/>
      </w:pPr>
      <w:r>
        <w:t>Procurement is the reference implementation</w:t>
      </w:r>
    </w:p>
    <w:p>
      <w:pPr>
        <w:pStyle w:val="Heading1"/>
      </w:pPr>
      <w:r>
        <w:t>Success Criteria</w:t>
      </w:r>
    </w:p>
    <w:p>
      <w:r>
        <w:t>All Source-to-Pay domains share common architecture, workflow, events, RBAC, tenant isolation, audit, notifications, AI hooks, and comprehensive testing before declaring v1.0.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