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ADR-0003 (Revised): Universal Form &amp; Questionnaire Engine</w:t>
      </w:r>
    </w:p>
    <w:p>
      <w:pPr>
        <w:pStyle w:val="Heading1"/>
      </w:pPr>
      <w:r>
        <w:t>Status</w:t>
      </w:r>
    </w:p>
    <w:p>
      <w:r>
        <w:t>Proposed</w:t>
      </w:r>
    </w:p>
    <w:p>
      <w:pPr>
        <w:pStyle w:val="Heading1"/>
      </w:pPr>
      <w:r>
        <w:t>Author</w:t>
      </w:r>
    </w:p>
    <w:p>
      <w:r>
        <w:t>S2PNexus Architecture Team</w:t>
      </w:r>
    </w:p>
    <w:p>
      <w:pPr>
        <w:pStyle w:val="Heading1"/>
      </w:pPr>
      <w:r>
        <w:t>Decision</w:t>
      </w:r>
    </w:p>
    <w:p>
      <w:r>
        <w:t>Implement a reusable platform service for forms, questionnaires, assessments, and surveys.</w:t>
      </w:r>
    </w:p>
    <w:p>
      <w:pPr>
        <w:pStyle w:val="Heading1"/>
      </w:pPr>
      <w:r>
        <w:t>Context</w:t>
      </w:r>
    </w:p>
    <w:p>
      <w:r>
        <w:t>Every business domain requires configurable forms. A shared engine prevents duplication and enables governance.</w:t>
      </w:r>
    </w:p>
    <w:p>
      <w:pPr>
        <w:pStyle w:val="Heading1"/>
      </w:pPr>
      <w:r>
        <w:t>Entity Model</w:t>
      </w:r>
    </w:p>
    <w:p>
      <w:r>
        <w:t>Template → Version → Section → Question → Rule → Response → Score</w:t>
      </w:r>
    </w:p>
    <w:p>
      <w:pPr>
        <w:pStyle w:val="Heading1"/>
      </w:pPr>
      <w:r>
        <w:t>Architecture</w:t>
      </w:r>
    </w:p>
    <w:p>
      <w:r>
        <w:t>Question Bank, Template Designer, Versioning, Assignment Rules, Conditional Logic, Dynamic Tables, Matrix Questions, API layer, Reporting.</w:t>
      </w:r>
    </w:p>
    <w:p>
      <w:pPr>
        <w:pStyle w:val="Heading1"/>
      </w:pPr>
      <w:r>
        <w:t>Enterprise Capabilities</w:t>
      </w:r>
    </w:p>
    <w:p>
      <w:r>
        <w:t>Field-level data classification (PII/PCI/PHI), field encryption, external validation connectors, optimistic concurrency (ETags), in-flight version policy, retention policy, accessibility (WCAG 2.2 AA), file scanning, multilingual support.</w:t>
      </w:r>
    </w:p>
    <w:p>
      <w:pPr>
        <w:pStyle w:val="Heading1"/>
      </w:pPr>
      <w:r>
        <w:t>Integration</w:t>
      </w:r>
    </w:p>
    <w:p>
      <w:r>
        <w:t>Workflow Engine, Approval Engine, Metadata Engine, Notification Engine, Document Management, AI hooks.</w:t>
      </w:r>
    </w:p>
    <w:p>
      <w:pPr>
        <w:pStyle w:val="Heading1"/>
      </w:pPr>
      <w:r>
        <w:t>Alternatives Considered</w:t>
      </w:r>
    </w:p>
    <w:p>
      <w:r>
        <w:t>Per-module questionnaires (rejected); third-party-only forms engine (rejected).</w:t>
      </w:r>
    </w:p>
    <w:p>
      <w:pPr>
        <w:pStyle w:val="Heading1"/>
      </w:pPr>
      <w:r>
        <w:t>Consequences</w:t>
      </w:r>
    </w:p>
    <w:p>
      <w:r>
        <w:t>Central governance and reuse at the cost of a richer metadata model.</w:t>
      </w:r>
    </w:p>
    <w:p>
      <w:pPr>
        <w:pStyle w:val="Heading1"/>
      </w:pPr>
      <w:r>
        <w:t>Cross References</w:t>
      </w:r>
    </w:p>
    <w:p>
      <w:r>
        <w:t>ADR-0002 Universal Supplier Lifecycle &amp; Approval Architecture.</w:t>
      </w:r>
    </w:p>
    <w:p>
      <w:pPr>
        <w:pStyle w:val="Heading1"/>
      </w:pPr>
      <w:r>
        <w:t>Future Work</w:t>
      </w:r>
    </w:p>
    <w:p>
      <w:r>
        <w:t>AI-assisted authoring, e-signatures, marketplace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