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80"/>
      </w:pPr>
      <w:r>
        <w:t xml:space="preserve">Status</w:t>
      </w:r>
    </w:p>
    <w:p>
      <w:pPr>
        <w:spacing w:after="160"/>
      </w:pPr>
      <w:r>
        <w:t xml:space="preserve">Proposed</w:t>
      </w:r>
    </w:p>
    <w:p>
      <w:pPr>
        <w:pStyle w:val="Heading1"/>
        <w:spacing w:after="140" w:before="280"/>
      </w:pPr>
      <w:r>
        <w:t xml:space="preserve">Context</w:t>
      </w:r>
    </w:p>
    <w:p>
      <w:pPr>
        <w:spacing w:after="160"/>
      </w:pPr>
      <w:r>
        <w:t xml:space="preserve">S2PNexus is a multi-tenant, enterprise SaaS Source-to-Pay platform handling sensitive supplier, financial, and personal data across regulated industries and geographies. ADR-0002 through ADR-0005 each reference security concerns, including RBAC, tenant isolation, and audit, without a unifying standard.</w:t>
      </w:r>
    </w:p>
    <w:p>
      <w:pPr>
        <w:spacing w:after="160"/>
      </w:pPr>
      <w:r>
        <w:t xml:space="preserve">Enterprise customers, especially in regulated industries, require a documented, consistent security and compliance posture before procurement. Ad hoc, per-feature security decisions create inconsistency, audit gaps, and sales and procurement friction. This ADR establishes the platform-wide security and governance standard that all other services, including the Approval Engine, Form Engine, Metadata Engine, and Integration Platform, must comply with.</w:t>
      </w:r>
    </w:p>
    <w:p>
      <w:pPr>
        <w:pStyle w:val="Heading1"/>
        <w:spacing w:after="140" w:before="280"/>
      </w:pPr>
      <w:r>
        <w:t xml:space="preserve">Decision</w:t>
      </w:r>
    </w:p>
    <w:p>
      <w:pPr>
        <w:spacing w:after="160"/>
      </w:pPr>
      <w:r>
        <w:t xml:space="preserve">Establish a Universal Security &amp; Governance framework as the binding standard for multi-tenancy, access control, data protection, compliance, resilience, and observability across S2PNexus. All new services and ADRs must state compliance with this standard or explicitly document exceptions.</w:t>
      </w:r>
    </w:p>
    <w:p>
      <w:pPr>
        <w:pStyle w:val="Heading1"/>
        <w:spacing w:after="140" w:before="280"/>
      </w:pPr>
      <w:r>
        <w:t xml:space="preserve">Multi-Tenancy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Strict logical, and where required physical, tenant isolation at the data, compute, and cache layers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Tenant ID enforced at the data access layer, not only at the application layer, to prevent cross-tenant leakage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Per-tenant encryption key option for regulated customers, including bring-your-own-key and customer-managed keys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Tenant-level configuration isolation across metadata, workflows, and integrations, with no shared mutable state across tenants</w:t>
      </w:r>
    </w:p>
    <w:p>
      <w:pPr>
        <w:pStyle w:val="Heading1"/>
        <w:spacing w:after="140" w:before="280"/>
      </w:pPr>
      <w:r>
        <w:t xml:space="preserve">RBAC and Segregation of Duties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Role-based access control with fine-grained, object-level and field-level permissions, integrating with the field classification defined in ADR-0004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Segregation of Duties enforcement, for example a requester cannot approve their own requisition, and a vendor creator cannot also approve vendor payment terms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Segregation of Duties conflict detection and reporting, identifying which users hold conflicting role combinations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Attribute-based access control extensions for conditional access, such as business unit, region, or spend threshold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Just-in-time, time-bound elevated access for administrative actions, with automatic expiry</w:t>
      </w:r>
    </w:p>
    <w:p>
      <w:pPr>
        <w:pStyle w:val="Heading1"/>
        <w:spacing w:after="140" w:before="280"/>
      </w:pPr>
      <w:r>
        <w:t xml:space="preserve">Data Residency and Sovereignty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Tenant-selectable data residency regions, such as US, EU, or APAC, chosen at provisioning time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residency guarantees extend to backups, logs, and analytics pipelines, not only to primary storage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Cross-border data transfer controls consistent with GDPR Chapter V, including Standard Contractual Clauses where applicable</w:t>
      </w:r>
    </w:p>
    <w:p>
      <w:pPr>
        <w:pStyle w:val="Heading1"/>
        <w:spacing w:after="140" w:before="280"/>
      </w:pPr>
      <w:r>
        <w:t xml:space="preserve">Encryption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Encryption at rest, AES-256 or equivalent, for all persistent stores including backups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Encryption in transit, TLS 1.2 or higher, for all internal and external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Field-level encryption for data classified PII, Confidential, or Financial per the ADR-0004 classification tags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 management via a dedicated KMS or HSM, with a defined key rotation policy</w:t>
      </w:r>
    </w:p>
    <w:p>
      <w:pPr>
        <w:pStyle w:val="Heading1"/>
        <w:spacing w:after="140" w:before="280"/>
      </w:pPr>
      <w:r>
        <w:t xml:space="preserve">Secrets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secrets, including API keys, credentials, or tokens, stored in code, configuration files, or plaintext database columns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Centralized, vault-based secrets management with scoped access and automatic rotation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 credentials for ERP adapters and external validation providers, per ADR-0005, are stored and rotated via the same vault</w:t>
      </w:r>
    </w:p>
    <w:p>
      <w:pPr>
        <w:pStyle w:val="Heading1"/>
        <w:spacing w:after="140" w:before="280"/>
      </w:pPr>
      <w:r>
        <w:t xml:space="preserve">Audit and Compliance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Immutable, tamper-evident audit log for all create, update, and delete actions on business objects, approvals, metadata changes, and access to classified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retention policy aligned to regulatory requirements, for example seven years for financial records, and configurable per tenant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Regular third-party penetration testing and vulnerability scanning cadence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Subject Access Request tooling for GDPR and CCPA, supporting export and deletion of personal data across all services, including custom fields from ADR-0004 and form responses from ADR-0003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defined policy for resolving conflicts between right-to-erasure requests and financial or audit retention obligations, with legal hold taking precedence where required</w:t>
      </w:r>
    </w:p>
    <w:p>
      <w:pPr>
        <w:pStyle w:val="Heading1"/>
        <w:spacing w:after="140" w:before="280"/>
      </w:pPr>
      <w:r>
        <w:t xml:space="preserve">Compliance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D9D9" w:val="clear"/>
          </w:tcPr>
          <w:p>
            <w:r>
              <w:rPr>
                <w:b/>
                <w:bCs/>
              </w:rPr>
              <w:t xml:space="preserve">Framework</w:t>
            </w:r>
          </w:p>
        </w:tc>
        <w:tc>
          <w:tcPr>
            <w:tcW w:type="dxa" w:w="4680"/>
            <w:shd w:fill="D9D9D9" w:val="clear"/>
          </w:tcPr>
          <w:p>
            <w:r>
              <w:rPr>
                <w:b/>
                <w:bCs/>
              </w:rPr>
              <w:t xml:space="preserve">Scope</w:t>
            </w:r>
          </w:p>
        </w:tc>
      </w:tr>
      <w:tr>
        <w:tc>
          <w:tcPr>
            <w:tcW w:type="dxa" w:w="4680"/>
          </w:tcPr>
          <w:p>
            <w:r>
              <w:t xml:space="preserve">SOC 2 Type II</w:t>
            </w:r>
          </w:p>
        </w:tc>
        <w:tc>
          <w:tcPr>
            <w:tcW w:type="dxa" w:w="4680"/>
          </w:tcPr>
          <w:p>
            <w:r>
              <w:t xml:space="preserve">Security, availability, and confidentiality of the platform</w:t>
            </w:r>
          </w:p>
        </w:tc>
      </w:tr>
      <w:tr>
        <w:tc>
          <w:tcPr>
            <w:tcW w:type="dxa" w:w="4680"/>
          </w:tcPr>
          <w:p>
            <w:r>
              <w:t xml:space="preserve">ISO 27001</w:t>
            </w:r>
          </w:p>
        </w:tc>
        <w:tc>
          <w:tcPr>
            <w:tcW w:type="dxa" w:w="4680"/>
          </w:tcPr>
          <w:p>
            <w:r>
              <w:t xml:space="preserve">Information security management system</w:t>
            </w:r>
          </w:p>
        </w:tc>
      </w:tr>
      <w:tr>
        <w:tc>
          <w:tcPr>
            <w:tcW w:type="dxa" w:w="4680"/>
          </w:tcPr>
          <w:p>
            <w:r>
              <w:t xml:space="preserve">GDPR</w:t>
            </w:r>
          </w:p>
        </w:tc>
        <w:tc>
          <w:tcPr>
            <w:tcW w:type="dxa" w:w="4680"/>
          </w:tcPr>
          <w:p>
            <w:r>
              <w:t xml:space="preserve">EU personal data protection</w:t>
            </w:r>
          </w:p>
        </w:tc>
      </w:tr>
      <w:tr>
        <w:tc>
          <w:tcPr>
            <w:tcW w:type="dxa" w:w="4680"/>
          </w:tcPr>
          <w:p>
            <w:r>
              <w:t xml:space="preserve">CCPA</w:t>
            </w:r>
          </w:p>
        </w:tc>
        <w:tc>
          <w:tcPr>
            <w:tcW w:type="dxa" w:w="4680"/>
          </w:tcPr>
          <w:p>
            <w:r>
              <w:t xml:space="preserve">California consumer data privacy</w:t>
            </w:r>
          </w:p>
        </w:tc>
      </w:tr>
      <w:tr>
        <w:tc>
          <w:tcPr>
            <w:tcW w:type="dxa" w:w="4680"/>
          </w:tcPr>
          <w:p>
            <w:r>
              <w:t xml:space="preserve">Industry-specific (future)</w:t>
            </w:r>
          </w:p>
        </w:tc>
        <w:tc>
          <w:tcPr>
            <w:tcW w:type="dxa" w:w="4680"/>
          </w:tcPr>
          <w:p>
            <w:r>
              <w:t xml:space="preserve">Extensible to frameworks such as HIPAA or PCI-DSS as needed</w:t>
            </w:r>
          </w:p>
        </w:tc>
      </w:tr>
    </w:tbl>
    <w:p>
      <w:pPr>
        <w:spacing w:after="160"/>
      </w:pPr>
    </w:p>
    <w:p>
      <w:pPr>
        <w:pStyle w:val="Heading1"/>
        <w:spacing w:after="140" w:before="280"/>
      </w:pPr>
      <w:r>
        <w:t xml:space="preserve">Backup and Disaster Recovery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Defined Recovery Point Objective and Recovery Time Objective targets per service tier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Automated, tested backups with periodic restore drills, not merely backup existence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Multi-region failover strategy for the platform availability tier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Documented incident response and business continuity plan</w:t>
      </w:r>
    </w:p>
    <w:p>
      <w:pPr>
        <w:pStyle w:val="Heading1"/>
        <w:spacing w:after="140" w:before="280"/>
      </w:pPr>
      <w:r>
        <w:t xml:space="preserve">Observability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Centralized structured logging, metrics, and distributed tracing across all services, with correlation IDs from ADR-0005 flowing through to security and audit logs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Security monitoring for anomaly detection, including unusual access patterns, brute-force attempts, and privilege escalation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SIEM integration available for enterprise customers requiring log export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Uptime and availability SLA monitoring with a public status page</w:t>
      </w:r>
    </w:p>
    <w:p>
      <w:pPr>
        <w:pStyle w:val="Heading1"/>
        <w:spacing w:after="140" w:before="280"/>
      </w:pPr>
      <w:r>
        <w:t xml:space="preserve">Architecture Principles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Security and compliance are platform capabilities, not per-feature afterthoughts; every new ADR must reference this document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Least privilege by default, with a deny-by-default access model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Defense in depth: no single control at the network, application, or data layer is the sole safeguard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Privacy and security by design: classification and access control decisions, per ADR-0004, are made at data-model design time rather than retrofitted</w:t>
      </w:r>
    </w:p>
    <w:p>
      <w:pPr>
        <w:pStyle w:val="Heading1"/>
        <w:spacing w:after="140" w:before="280"/>
      </w:pPr>
      <w:r>
        <w:t xml:space="preserve">Non-Functional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Availability SLA target, for example 99.9 percent, with defined maintenance windows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RPO and RTO targets by service tier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log query performance target, since logs must remain queryable for compliance investigations rather than only archived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Defined key rotation frequency</w:t>
      </w:r>
    </w:p>
    <w:p>
      <w:pPr>
        <w:pStyle w:val="Heading1"/>
        <w:spacing w:after="140" w:before="280"/>
      </w:pPr>
      <w:r>
        <w:t xml:space="preserve">Consequences</w:t>
      </w:r>
    </w:p>
    <w:p>
      <w:pPr>
        <w:spacing w:after="160"/>
      </w:pPr>
      <w:r>
        <w:t xml:space="preserve">Positive: provides a single enterprise security narrative for sales, procurement, and audits, reduces the risk of inconsistent controls across services, and accelerates compliance certification.</w:t>
      </w:r>
    </w:p>
    <w:p>
      <w:pPr>
        <w:spacing w:after="160"/>
      </w:pPr>
      <w:r>
        <w:t xml:space="preserve">Negative: imposes upfront design constraints on every other ADR, for example field classification in ADR-0004 and credential handling in ADR-0005, which may slow initial delivery. Customer-managed keys and data residency options add operational complexity and cost.</w:t>
      </w:r>
    </w:p>
    <w:p>
      <w:pPr>
        <w:pStyle w:val="Heading1"/>
        <w:spacing w:after="140" w:before="280"/>
      </w:pPr>
      <w:r>
        <w:t xml:space="preserve">Alternatives Considered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Per-service, ad hoc security decisions: rejected, as this is already causing inconsistency across ADR-0002 and ADR-0003 and does not scale to enterprise compliance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Relying entirely on cloud provider default security controls: rejected as insufficient for Segregation of Duties, field-level classification, and tenant-specific compliance needs unique to procurement data</w:t>
      </w:r>
    </w:p>
    <w:p>
      <w:pPr>
        <w:pStyle w:val="Heading1"/>
        <w:spacing w:after="140" w:before="280"/>
      </w:pPr>
      <w:r>
        <w:t xml:space="preserve">Dependencies and Related ADRs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ADR-0002: Approval Engine Segregation of Duties rules are enforced via this framework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ADR-0003: form responses are classified and access-controlled per this standard, for example signature and PII fields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ADR-0004: data classification tags defined there are enforced by this framework through encryption, masking, and retention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ADR-0005: all integration credentials, API authentication, and webhook signing follow this standard</w:t>
      </w:r>
    </w:p>
    <w:p>
      <w:pPr>
        <w:pStyle w:val="Heading1"/>
        <w:spacing w:after="140" w:before="280"/>
      </w:pPr>
      <w:r>
        <w:t xml:space="preserve">Open Questions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Which compliance certifications are launch-blocking versus roadmap, given that SOC 2 Type II typically requires six to twelve months of evidence?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all tenants receive data residency choice, or is it tier-gated?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is the customer-managed key rollout plan, and which tiers require it?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2026-07-23T02:05:04.693Z</dcterms:created>
  <dcterms:modified xsi:type="dcterms:W3CDTF">2026-07-23T02:05:04.693Z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