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S2PNexus ADR Review &amp; Recommended Updates</w:t>
      </w:r>
    </w:p>
    <w:p>
      <w:r>
        <w:rPr>
          <w:b/>
        </w:rPr>
        <w:t xml:space="preserve">Purpose: </w:t>
      </w:r>
      <w:r>
        <w:t>Consolidated review of ADR-0004 (Metadata Engine), ADR-0005 (Integration Platform), and ADR-0006 (Security &amp; Governance) with recommended updates before implementation.</w:t>
      </w:r>
    </w:p>
    <w:p>
      <w:pPr>
        <w:pStyle w:val="Heading1"/>
      </w:pPr>
      <w:r>
        <w:t>Executive Summary</w:t>
      </w:r>
    </w:p>
    <w:p>
      <w:r>
        <w:t>The reviewed ADRs are enterprise-grade and suitable to begin implementation. The following updates are recommended to improve long-term extensibility rather than to correct architectural flaws.</w:t>
      </w:r>
    </w:p>
    <w:p>
      <w:pPr>
        <w:pStyle w:val="Heading1"/>
      </w:pPr>
      <w:r>
        <w:t>ADR-0004 – Metadata Engine</w:t>
      </w:r>
    </w:p>
    <w:p>
      <w:pPr>
        <w:pStyle w:val="Heading2"/>
      </w:pPr>
      <w:r>
        <w:t>Keep</w:t>
      </w:r>
    </w:p>
    <w:p>
      <w:pPr>
        <w:pStyle w:val="ListBullet"/>
      </w:pPr>
      <w:r>
        <w:t>Configuration-over-code approach</w:t>
      </w:r>
    </w:p>
    <w:p>
      <w:pPr>
        <w:pStyle w:val="ListBullet"/>
      </w:pPr>
      <w:r>
        <w:t>Tenant-scoped metadata</w:t>
      </w:r>
    </w:p>
    <w:p>
      <w:pPr>
        <w:pStyle w:val="ListBullet"/>
      </w:pPr>
      <w:r>
        <w:t>Custom fields and picklists</w:t>
      </w:r>
    </w:p>
    <w:p>
      <w:pPr>
        <w:pStyle w:val="ListBullet"/>
      </w:pPr>
      <w:r>
        <w:t>Localization</w:t>
      </w:r>
    </w:p>
    <w:p>
      <w:pPr>
        <w:pStyle w:val="ListBullet"/>
      </w:pPr>
      <w:r>
        <w:t>Validation engine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Schema-less extensions</w:t>
      </w:r>
    </w:p>
    <w:p>
      <w:pPr>
        <w:pStyle w:val="Heading2"/>
      </w:pPr>
      <w:r>
        <w:t>Add</w:t>
      </w:r>
    </w:p>
    <w:p>
      <w:pPr>
        <w:pStyle w:val="ListBullet"/>
      </w:pPr>
      <w:r>
        <w:t>Object Metadata (icon, display name, searchable, auditable, versioned, supports workflow/approval/forms/documents/comments).</w:t>
      </w:r>
    </w:p>
    <w:p>
      <w:pPr>
        <w:pStyle w:val="ListBullet"/>
      </w:pPr>
      <w:r>
        <w:t>UI Metadata (layouts, tabs, sections, list/detail/mobile views).</w:t>
      </w:r>
    </w:p>
    <w:p>
      <w:pPr>
        <w:pStyle w:val="ListBullet"/>
      </w:pPr>
      <w:r>
        <w:t>Metadata inheritance between business object types.</w:t>
      </w:r>
    </w:p>
    <w:p>
      <w:pPr>
        <w:pStyle w:val="ListBullet"/>
      </w:pPr>
      <w:r>
        <w:t>Calculated expressions and derived fields.</w:t>
      </w:r>
    </w:p>
    <w:p>
      <w:pPr>
        <w:pStyle w:val="ListBullet"/>
      </w:pPr>
      <w:r>
        <w:t>Metadata caching and invalidation strategy.</w:t>
      </w:r>
    </w:p>
    <w:p>
      <w:pPr>
        <w:pStyle w:val="ListBullet"/>
      </w:pPr>
      <w:r>
        <w:t>Metadata APIs for internal platform services.</w:t>
      </w:r>
    </w:p>
    <w:p>
      <w:pPr>
        <w:pStyle w:val="Heading1"/>
      </w:pPr>
      <w:r>
        <w:t>ADR-0005 – Integration Platform</w:t>
      </w:r>
    </w:p>
    <w:p>
      <w:pPr>
        <w:pStyle w:val="Heading2"/>
      </w:pPr>
      <w:r>
        <w:t>Keep</w:t>
      </w:r>
    </w:p>
    <w:p>
      <w:pPr>
        <w:pStyle w:val="ListBullet"/>
      </w:pPr>
      <w:r>
        <w:t>Canonical model</w:t>
      </w:r>
    </w:p>
    <w:p>
      <w:pPr>
        <w:pStyle w:val="ListBullet"/>
      </w:pPr>
      <w:r>
        <w:t>Adapter architecture</w:t>
      </w:r>
    </w:p>
    <w:p>
      <w:pPr>
        <w:pStyle w:val="ListBullet"/>
      </w:pPr>
      <w:r>
        <w:t>Saga pattern</w:t>
      </w:r>
    </w:p>
    <w:p>
      <w:pPr>
        <w:pStyle w:val="ListBullet"/>
      </w:pPr>
      <w:r>
        <w:t>Idempotency</w:t>
      </w:r>
    </w:p>
    <w:p>
      <w:pPr>
        <w:pStyle w:val="ListBullet"/>
      </w:pPr>
      <w:r>
        <w:t>Correlation IDs</w:t>
      </w:r>
    </w:p>
    <w:p>
      <w:pPr>
        <w:pStyle w:val="ListBullet"/>
      </w:pPr>
      <w:r>
        <w:t>Retry and DLQ</w:t>
      </w:r>
    </w:p>
    <w:p>
      <w:pPr>
        <w:pStyle w:val="ListBullet"/>
      </w:pPr>
      <w:r>
        <w:t>External validation providers</w:t>
      </w:r>
    </w:p>
    <w:p>
      <w:pPr>
        <w:pStyle w:val="Heading2"/>
      </w:pPr>
      <w:r>
        <w:t>Add</w:t>
      </w:r>
    </w:p>
    <w:p>
      <w:pPr>
        <w:pStyle w:val="ListBullet"/>
      </w:pPr>
      <w:r>
        <w:t>Connector SDK for customer-built adapters.</w:t>
      </w:r>
    </w:p>
    <w:p>
      <w:pPr>
        <w:pStyle w:val="ListBullet"/>
      </w:pPr>
      <w:r>
        <w:t>Integration catalog and health dashboard.</w:t>
      </w:r>
    </w:p>
    <w:p>
      <w:pPr>
        <w:pStyle w:val="ListBullet"/>
      </w:pPr>
      <w:r>
        <w:t>Transformation/mapping engine separate from adapters.</w:t>
      </w:r>
    </w:p>
    <w:p>
      <w:pPr>
        <w:pStyle w:val="ListBullet"/>
      </w:pPr>
      <w:r>
        <w:t>Integration scheduler (real-time, batch, cron, webhook).</w:t>
      </w:r>
    </w:p>
    <w:p>
      <w:pPr>
        <w:pStyle w:val="ListBullet"/>
      </w:pPr>
      <w:r>
        <w:t>Operational monitoring (latency, throughput, failures, replay).</w:t>
      </w:r>
    </w:p>
    <w:p>
      <w:pPr>
        <w:pStyle w:val="Heading1"/>
      </w:pPr>
      <w:r>
        <w:t>ADR-0006 – Security &amp; Governance</w:t>
      </w:r>
    </w:p>
    <w:p>
      <w:pPr>
        <w:pStyle w:val="Heading2"/>
      </w:pPr>
      <w:r>
        <w:t>Keep</w:t>
      </w:r>
    </w:p>
    <w:p>
      <w:pPr>
        <w:pStyle w:val="ListBullet"/>
      </w:pPr>
      <w:r>
        <w:t>Layered tenant isolation</w:t>
      </w:r>
    </w:p>
    <w:p>
      <w:pPr>
        <w:pStyle w:val="ListBullet"/>
      </w:pPr>
      <w:r>
        <w:t>RBAC and Segregation of Duties</w:t>
      </w:r>
    </w:p>
    <w:p>
      <w:pPr>
        <w:pStyle w:val="ListBullet"/>
      </w:pPr>
      <w:r>
        <w:t>Data residency</w:t>
      </w:r>
    </w:p>
    <w:p>
      <w:pPr>
        <w:pStyle w:val="ListBullet"/>
      </w:pPr>
      <w:r>
        <w:t>Encryption</w:t>
      </w:r>
    </w:p>
    <w:p>
      <w:pPr>
        <w:pStyle w:val="ListBullet"/>
      </w:pPr>
      <w:r>
        <w:t>Audit</w:t>
      </w:r>
    </w:p>
    <w:p>
      <w:pPr>
        <w:pStyle w:val="ListBullet"/>
      </w:pPr>
      <w:r>
        <w:t>Compliance framework</w:t>
      </w:r>
    </w:p>
    <w:p>
      <w:pPr>
        <w:pStyle w:val="ListBullet"/>
      </w:pPr>
      <w:r>
        <w:t>Observability</w:t>
      </w:r>
    </w:p>
    <w:p>
      <w:pPr>
        <w:pStyle w:val="Heading2"/>
      </w:pPr>
      <w:r>
        <w:t>Add</w:t>
      </w:r>
    </w:p>
    <w:p>
      <w:pPr>
        <w:pStyle w:val="ListBullet"/>
      </w:pPr>
      <w:r>
        <w:t>Identity Federation (SAML, OpenID Connect, Azure AD, Okta).</w:t>
      </w:r>
    </w:p>
    <w:p>
      <w:pPr>
        <w:pStyle w:val="ListBullet"/>
      </w:pPr>
      <w:r>
        <w:t>Multi-factor authentication and passkeys.</w:t>
      </w:r>
    </w:p>
    <w:p>
      <w:pPr>
        <w:pStyle w:val="ListBullet"/>
      </w:pPr>
      <w:r>
        <w:t>Session management policies.</w:t>
      </w:r>
    </w:p>
    <w:p>
      <w:pPr>
        <w:pStyle w:val="ListBullet"/>
      </w:pPr>
      <w:r>
        <w:t>Zero Trust security model.</w:t>
      </w:r>
    </w:p>
    <w:p>
      <w:pPr>
        <w:pStyle w:val="ListBullet"/>
      </w:pPr>
      <w:r>
        <w:t>API Gateway, WAF, DDoS protection, and rate limiting.</w:t>
      </w:r>
    </w:p>
    <w:p>
      <w:pPr>
        <w:pStyle w:val="Heading1"/>
      </w:pPr>
      <w:r>
        <w:t>Recommended New ADRs</w:t>
      </w:r>
    </w:p>
    <w:p>
      <w:pPr>
        <w:pStyle w:val="ListBullet"/>
      </w:pPr>
      <w:r>
        <w:t>ADR-0007 – Universal Document Management Engine</w:t>
      </w:r>
    </w:p>
    <w:p>
      <w:pPr>
        <w:pStyle w:val="ListBullet"/>
      </w:pPr>
      <w:r>
        <w:t>ADR-0008 – Reporting &amp; Analytics Platform</w:t>
      </w:r>
    </w:p>
    <w:p>
      <w:pPr>
        <w:pStyle w:val="Heading1"/>
      </w:pPr>
      <w:r>
        <w:t>Platform Freeze Recommendation</w:t>
      </w:r>
    </w:p>
    <w:p>
      <w:r>
        <w:t>After incorporating these enhancements and creating ADR-0007 and ADR-0008, declare the Platform Architecture v1.0 frozen. All subsequent work should focus on business domains reusing shared platform services rather than introducing new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