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Electronic Equivalent Time Exchange Protocol (EEP)</w:t>
      </w:r>
    </w:p>
    <w:p>
      <w:pPr>
        <w:pStyle w:val="Subtitle"/>
      </w:pPr>
      <w:r>
        <w:t xml:space="preserve">EEP Specification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Electronic Equivalent Time Exchange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Protocol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Official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</w:pPr>
            <w:r>
              <w:t xml:space="preserve">August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Philippe Guérindon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https://github.com/pguerindon/EET_calculator</w:t>
            </w:r>
          </w:p>
        </w:tc>
      </w:tr>
    </w:tbl>
    <w:bookmarkEnd w:id="9"/>
    <w:bookmarkStart w:id="10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DELETE processing and associated validation rules. DELETE requests may still be recognized for backward compatibility but are no longer supported for security and data integrity reasons.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DELETE operation and associated validation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public release.</w:t>
            </w:r>
          </w:p>
        </w:tc>
      </w:tr>
    </w:tbl>
    <w:bookmarkEnd w:id="10"/>
    <w:bookmarkStart w:id="11" w:name="status-of-this-document"/>
    <w:p>
      <w:pPr>
        <w:pStyle w:val="Heading1"/>
      </w:pPr>
      <w:r>
        <w:t xml:space="preserve">Status of this Document</w:t>
      </w:r>
    </w:p>
    <w:p>
      <w:pPr>
        <w:pStyle w:val="FirstParagraph"/>
      </w:pPr>
      <w:r>
        <w:t xml:space="preserve">This document defines Version 1.2 of the</w:t>
      </w:r>
      <w:r>
        <w:t xml:space="preserve"> </w:t>
      </w:r>
      <w:r>
        <w:t xml:space="preserve">Electronic Equivalent Time Exchange Protocol (EEP).</w:t>
      </w:r>
    </w:p>
    <w:p>
      <w:pPr>
        <w:pStyle w:val="BodyText"/>
      </w:pPr>
      <w:r>
        <w:t xml:space="preserve">This document is the official specification of Version 1.2 of the Electronic Equivalent Time Exchange Protocol (EEP).</w:t>
      </w:r>
    </w:p>
    <w:p>
      <w:pPr>
        <w:pStyle w:val="BodyText"/>
      </w:pPr>
      <w:r>
        <w:t xml:space="preserve">Version 1.2 is fully backward compatible with Version 1.0 for all operations defined by Version 1.0.</w:t>
      </w:r>
    </w:p>
    <w:bookmarkEnd w:id="11"/>
    <w:bookmarkStart w:id="14" w:name="introduction"/>
    <w:p>
      <w:pPr>
        <w:pStyle w:val="Heading1"/>
      </w:pPr>
      <w:r>
        <w:t xml:space="preserve">Introduction</w:t>
      </w:r>
    </w:p>
    <w:bookmarkStart w:id="1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Electronic Equivalent Time Exchange Protocol (EEP) defines a simple HTTP/JSON protocol for exchanging the data required to calculate an Equivalent Electronic Time (EET).</w:t>
      </w:r>
    </w:p>
    <w:p>
      <w:pPr>
        <w:pStyle w:val="BodyText"/>
      </w:pPr>
      <w:r>
        <w:t xml:space="preserve">The protocol enables timing systems and EET calculation software to exchange a standardized JSON document through HTTP requests. It reduces manual data entry while preserving user control over the calculation process.</w:t>
      </w:r>
    </w:p>
    <w:p>
      <w:pPr>
        <w:pStyle w:val="BodyText"/>
      </w:pPr>
      <w:r>
        <w:t xml:space="preserve">EEP specifies:</w:t>
      </w:r>
    </w:p>
    <w:p>
      <w:pPr>
        <w:pStyle w:val="Compact"/>
        <w:numPr>
          <w:ilvl w:val="0"/>
          <w:numId w:val="1001"/>
        </w:numPr>
      </w:pPr>
      <w:r>
        <w:t xml:space="preserve">the JSON document structure;</w:t>
      </w:r>
    </w:p>
    <w:p>
      <w:pPr>
        <w:pStyle w:val="Compact"/>
        <w:numPr>
          <w:ilvl w:val="0"/>
          <w:numId w:val="1001"/>
        </w:numPr>
      </w:pPr>
      <w:r>
        <w:t xml:space="preserve">the HTTP message exchange;</w:t>
      </w:r>
    </w:p>
    <w:p>
      <w:pPr>
        <w:pStyle w:val="Compact"/>
        <w:numPr>
          <w:ilvl w:val="0"/>
          <w:numId w:val="1001"/>
        </w:numPr>
      </w:pPr>
      <w:r>
        <w:t xml:space="preserve">the validation rules required for interoperability.</w:t>
      </w:r>
    </w:p>
    <w:p>
      <w:pPr>
        <w:pStyle w:val="FirstParagraph"/>
      </w:pPr>
      <w:r>
        <w:t xml:space="preserve">The protocol is independent of any timing software or EET calculation implementation. It defines only the exchange of data required to perform an EET calculation.</w:t>
      </w:r>
    </w:p>
    <w:p>
      <w:pPr>
        <w:pStyle w:val="BodyText"/>
      </w:pPr>
      <w:r>
        <w:t xml:space="preserve">The protocol does not define the EET calculation itself.</w:t>
      </w:r>
    </w:p>
    <w:p>
      <w:pPr>
        <w:pStyle w:val="BodyText"/>
      </w:pPr>
      <w:r>
        <w:t xml:space="preserve">EEP is intended to serve as an implementation-independent exchange protocol for Equivalent Electronic Time (EET) calculations.</w:t>
      </w:r>
    </w:p>
    <w:p>
      <w:pPr>
        <w:pStyle w:val="BodyText"/>
      </w:pPr>
      <w:r>
        <w:t xml:space="preserve">The protocol is openly documented in order to encourage</w:t>
      </w:r>
      <w:r>
        <w:t xml:space="preserve"> </w:t>
      </w:r>
      <w:r>
        <w:t xml:space="preserve">interoperability between timing systems and EET software.</w:t>
      </w:r>
    </w:p>
    <w:bookmarkEnd w:id="12"/>
    <w:bookmarkStart w:id="13" w:name="design-goals"/>
    <w:p>
      <w:pPr>
        <w:pStyle w:val="Heading2"/>
      </w:pPr>
      <w:r>
        <w:t xml:space="preserve">Design Goals</w:t>
      </w:r>
    </w:p>
    <w:p>
      <w:pPr>
        <w:pStyle w:val="FirstParagraph"/>
      </w:pPr>
      <w:r>
        <w:t xml:space="preserve">EEP has been designed with the following objectives:</w:t>
      </w:r>
    </w:p>
    <w:p>
      <w:pPr>
        <w:pStyle w:val="Compact"/>
        <w:numPr>
          <w:ilvl w:val="0"/>
          <w:numId w:val="1002"/>
        </w:numPr>
      </w:pPr>
      <w:r>
        <w:t xml:space="preserve">simple implementation;</w:t>
      </w:r>
    </w:p>
    <w:p>
      <w:pPr>
        <w:pStyle w:val="Compact"/>
        <w:numPr>
          <w:ilvl w:val="0"/>
          <w:numId w:val="1002"/>
        </w:numPr>
      </w:pPr>
      <w:r>
        <w:t xml:space="preserve">minimal manual data entry;</w:t>
      </w:r>
    </w:p>
    <w:p>
      <w:pPr>
        <w:pStyle w:val="Compact"/>
        <w:numPr>
          <w:ilvl w:val="0"/>
          <w:numId w:val="1002"/>
        </w:numPr>
      </w:pPr>
      <w:r>
        <w:t xml:space="preserve">backward-compatible extensibility.</w:t>
      </w:r>
    </w:p>
    <w:bookmarkEnd w:id="13"/>
    <w:bookmarkEnd w:id="14"/>
    <w:bookmarkStart w:id="15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The EEP workflow consists of one mandatory exchange and one optional exchange.</w:t>
      </w:r>
    </w:p>
    <w:p>
      <w:pPr>
        <w:pStyle w:val="BodyText"/>
      </w:pPr>
      <w:r>
        <w:t xml:space="preserve">The Initial Request creates a new EET calculation and provides the electronic timing data available from the timing system.</w:t>
      </w:r>
    </w:p>
    <w:p>
      <w:pPr>
        <w:pStyle w:val="BodyText"/>
      </w:pPr>
      <w:r>
        <w:t xml:space="preserve">The Manual Time (MT) may then be provided either through the EET Calculator user interface or by an Optional Secondary Request.</w:t>
      </w:r>
    </w:p>
    <w:p>
      <w:pPr>
        <w:pStyle w:val="BodyText"/>
      </w:pPr>
      <w:r>
        <w:t xml:space="preserve">The user reviews the calculation data before validating the final Equivalent Electronic Time (EET).</w:t>
      </w:r>
    </w:p>
    <w:bookmarkEnd w:id="15"/>
    <w:bookmarkStart w:id="16" w:name="http-interface"/>
    <w:p>
      <w:pPr>
        <w:pStyle w:val="Heading1"/>
      </w:pPr>
      <w:r>
        <w:t xml:space="preserve">HTTP Interface</w:t>
      </w:r>
    </w:p>
    <w:p>
      <w:pPr>
        <w:pStyle w:val="FirstParagraph"/>
      </w:pPr>
      <w:r>
        <w:t xml:space="preserve">EEP uses HTTP POST requests with JSON payloads.</w:t>
      </w:r>
    </w:p>
    <w:p>
      <w:pPr>
        <w:pStyle w:val="BodyText"/>
      </w:pPr>
      <w:r>
        <w:t xml:space="preserve">The endpoint URL is implementation-specific.</w:t>
      </w:r>
    </w:p>
    <w:p>
      <w:pPr>
        <w:pStyle w:val="BodyText"/>
      </w:pPr>
      <w:r>
        <w:t xml:space="preserve">All requests and responses SHALL use the following content type: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The protocol defines four message types.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37"/>
        <w:gridCol w:w="48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EET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assigned</w:t>
            </w:r>
            <w:r>
              <w:t xml:space="preserve"> </w:t>
            </w:r>
            <w:r>
              <w:rPr>
                <w:rStyle w:val="VerbatimChar"/>
              </w:rPr>
              <w:t xml:space="preserve">calculation_id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Secondary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the previously missing Manual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successful update.</w:t>
            </w:r>
          </w:p>
        </w:tc>
      </w:tr>
    </w:tbl>
    <w:p>
      <w:pPr>
        <w:pStyle w:val="BodyText"/>
      </w:pPr>
      <w:r>
        <w:t xml:space="preserve">A successful Initial Response assigns a unique</w:t>
      </w:r>
      <w:r>
        <w:t xml:space="preserve"> </w:t>
      </w:r>
      <w:r>
        <w:rPr>
          <w:rStyle w:val="VerbatimChar"/>
        </w:rPr>
        <w:t xml:space="preserve">calculation_id</w:t>
      </w:r>
      <w:r>
        <w:t xml:space="preserve"> </w:t>
      </w:r>
      <w:r>
        <w:t xml:space="preserve">that SHALL be used in all subsequent requests related to the calculation.</w:t>
      </w:r>
    </w:p>
    <w:bookmarkEnd w:id="16"/>
    <w:bookmarkStart w:id="23" w:name="eep-document"/>
    <w:p>
      <w:pPr>
        <w:pStyle w:val="Heading1"/>
      </w:pPr>
      <w:r>
        <w:t xml:space="preserve">EEP Document</w:t>
      </w:r>
    </w:p>
    <w:p>
      <w:pPr>
        <w:pStyle w:val="FirstParagraph"/>
      </w:pPr>
      <w:r>
        <w:t xml:space="preserve">The EEP document is a JSON object exchanged between a timing system and an EET Calculator.</w:t>
      </w:r>
    </w:p>
    <w:p>
      <w:pPr>
        <w:pStyle w:val="BodyText"/>
      </w:pPr>
      <w:r>
        <w:t xml:space="preserve">It consists of a root object containing race information and a list of competitors.</w:t>
      </w:r>
    </w:p>
    <w:p>
      <w:pPr>
        <w:pStyle w:val="BodyText"/>
      </w:pPr>
      <w:r>
        <w:t xml:space="preserve">Optional members provide additional information intended to improve the presentation of the EET calculation result.</w:t>
      </w:r>
    </w:p>
    <w:p>
      <w:pPr>
        <w:pStyle w:val="BodyText"/>
      </w:pPr>
      <w:r>
        <w:t xml:space="preserve">Member ordering has no semantic meaning.</w:t>
      </w:r>
    </w:p>
    <w:bookmarkStart w:id="20" w:name="root-object"/>
    <w:p>
      <w:pPr>
        <w:pStyle w:val="Heading2"/>
      </w:pPr>
      <w:r>
        <w:t xml:space="preserve">Root Object</w:t>
      </w:r>
    </w:p>
    <w:p>
      <w:pPr>
        <w:pStyle w:val="FirstParagraph"/>
      </w:pPr>
      <w:r>
        <w:t xml:space="preserve">The root object contains the calculation identifier, processing mode and race information.</w:t>
      </w:r>
      <w:r>
        <w:t xml:space="preserve"> </w:t>
      </w:r>
      <w:r>
        <w:t xml:space="preserve">Depending on the request type, it may also contain a competitor list.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3"/>
        <w:gridCol w:w="541"/>
        <w:gridCol w:w="676"/>
        <w:gridCol w:w="53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calculation identifier. Empty in the Initial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competitors. Initial Requests and Optional Secondary Requests SHALL contain exactly 11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mode. Recognized values are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(or omitted) and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Recognized values for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or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calculation.</w:t>
            </w:r>
          </w:p>
        </w:tc>
      </w:tr>
    </w:tbl>
    <w:bookmarkStart w:id="17" w:name="root-object-example"/>
    <w:p>
      <w:pPr>
        <w:pStyle w:val="Heading3"/>
      </w:pPr>
      <w:r>
        <w:t xml:space="preserve">Root Object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9" w:name="race-object"/>
    <w:p>
      <w:pPr>
        <w:pStyle w:val="Heading3"/>
      </w:pPr>
      <w:r>
        <w:t xml:space="preserve">Race Object</w:t>
      </w:r>
    </w:p>
    <w:p>
      <w:pPr>
        <w:pStyle w:val="FirstParagraph"/>
      </w:pPr>
      <w:r>
        <w:t xml:space="preserve">The race object identifies the competition associated with the calculation and specifies the competitor for whom an Equivalent Electronic Time (EET) is requested.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7"/>
        <w:gridCol w:w="546"/>
        <w:gridCol w:w="728"/>
        <w:gridCol w:w="50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Competition season.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Competition codex.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Competition run number.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missing_impulse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Missing timing impulse (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FINISH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eet_bib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Bib number of the competitor requiring an EET.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Competition 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Competition discipline.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Competition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Competition location.</w:t>
            </w:r>
          </w:p>
        </w:tc>
      </w:tr>
    </w:tbl>
    <w:bookmarkStart w:id="18" w:name="race-object-example"/>
    <w:p>
      <w:pPr>
        <w:pStyle w:val="Heading4"/>
      </w:pPr>
      <w:r>
        <w:t xml:space="preserve">Race Object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"missing_impulse"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"eet_bib"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Championships"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 d'Isère"</w:t>
      </w:r>
      <w:r>
        <w:br/>
      </w:r>
      <w:r>
        <w:rPr>
          <w:rStyle w:val="FunctionTok"/>
        </w:rPr>
        <w:t xml:space="preserve">}</w:t>
      </w:r>
    </w:p>
    <w:bookmarkEnd w:id="18"/>
    <w:bookmarkEnd w:id="19"/>
    <w:bookmarkEnd w:id="20"/>
    <w:bookmarkStart w:id="22" w:name="competitor-object"/>
    <w:p>
      <w:pPr>
        <w:pStyle w:val="Heading2"/>
      </w:pPr>
      <w:r>
        <w:t xml:space="preserve">Competitor Object</w:t>
      </w:r>
    </w:p>
    <w:p>
      <w:pPr>
        <w:pStyle w:val="FirstParagraph"/>
      </w:pPr>
      <w:r>
        <w:t xml:space="preserve">Each element of the</w:t>
      </w:r>
      <w:r>
        <w:t xml:space="preserve"> </w:t>
      </w:r>
      <w:r>
        <w:rPr>
          <w:rStyle w:val="VerbatimChar"/>
        </w:rPr>
        <w:t xml:space="preserve">competitors</w:t>
      </w:r>
      <w:r>
        <w:t xml:space="preserve"> </w:t>
      </w:r>
      <w:r>
        <w:t xml:space="preserve">array represents one competitor included in the EET calculation.</w:t>
      </w:r>
    </w:p>
    <w:p>
      <w:pPr>
        <w:pStyle w:val="BodyText"/>
      </w:pPr>
      <w:r>
        <w:t xml:space="preserve">The competitor whose electronic timing impulse is missing is identified by an empty</w:t>
      </w:r>
      <w:r>
        <w:t xml:space="preserve"> </w:t>
      </w:r>
      <w:r>
        <w:rPr>
          <w:rStyle w:val="VerbatimChar"/>
        </w:rPr>
        <w:t xml:space="preserve">et_tod</w:t>
      </w:r>
      <w:r>
        <w:t xml:space="preserve"> </w:t>
      </w:r>
      <w:r>
        <w:t xml:space="preserve">value in the Initial Request.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880"/>
        <w:gridCol w:w="1100"/>
        <w:gridCol w:w="45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bib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et_tod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Time expressed as Time of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first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surname.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club.</w:t>
            </w:r>
          </w:p>
        </w:tc>
      </w:tr>
    </w:tbl>
    <w:bookmarkStart w:id="21" w:name="competitor-object-example"/>
    <w:p>
      <w:pPr>
        <w:pStyle w:val="Heading3"/>
      </w:pPr>
      <w:r>
        <w:t xml:space="preserve">Competitor Object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 Val d'Isère"</w:t>
      </w:r>
      <w:r>
        <w:br/>
      </w:r>
      <w:r>
        <w:rPr>
          <w:rStyle w:val="FunctionTok"/>
        </w:rPr>
        <w:t xml:space="preserve">}</w:t>
      </w:r>
    </w:p>
    <w:bookmarkEnd w:id="21"/>
    <w:bookmarkEnd w:id="22"/>
    <w:bookmarkEnd w:id="23"/>
    <w:bookmarkStart w:id="24" w:name="json-object-hierarchy"/>
    <w:p>
      <w:pPr>
        <w:pStyle w:val="Heading1"/>
      </w:pPr>
      <w:r>
        <w:t xml:space="preserve">JSON Object Hierarchy</w:t>
      </w:r>
    </w:p>
    <w:p>
      <w:pPr>
        <w:pStyle w:val="FirstParagraph"/>
      </w:pPr>
      <w:r>
        <w:t xml:space="preserve">The following hierarchy summarizes the structure of the EEP JSON document.</w:t>
      </w:r>
    </w:p>
    <w:p>
      <w:pPr>
        <w:pStyle w:val="SourceCode"/>
      </w:pPr>
      <w:r>
        <w:rPr>
          <w:rStyle w:val="VerbatimChar"/>
        </w:rPr>
        <w:t xml:space="preserve">Root Object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calculation_id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mode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race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season</w:t>
      </w:r>
      <w:r>
        <w:br/>
      </w:r>
      <w:r>
        <w:rPr>
          <w:rStyle w:val="VerbatimChar"/>
        </w:rPr>
        <w:t xml:space="preserve">|   +-- codex</w:t>
      </w:r>
      <w:r>
        <w:br/>
      </w:r>
      <w:r>
        <w:rPr>
          <w:rStyle w:val="VerbatimChar"/>
        </w:rPr>
        <w:t xml:space="preserve">|   +-- run</w:t>
      </w:r>
      <w:r>
        <w:br/>
      </w:r>
      <w:r>
        <w:rPr>
          <w:rStyle w:val="VerbatimChar"/>
        </w:rPr>
        <w:t xml:space="preserve">|   +-- missing_impulse</w:t>
      </w:r>
      <w:r>
        <w:br/>
      </w:r>
      <w:r>
        <w:rPr>
          <w:rStyle w:val="VerbatimChar"/>
        </w:rPr>
        <w:t xml:space="preserve">|   +-- eet_bib</w:t>
      </w:r>
      <w:r>
        <w:br/>
      </w:r>
      <w:r>
        <w:rPr>
          <w:rStyle w:val="VerbatimChar"/>
        </w:rPr>
        <w:t xml:space="preserve">|   +-- name</w:t>
      </w:r>
      <w:r>
        <w:br/>
      </w:r>
      <w:r>
        <w:rPr>
          <w:rStyle w:val="VerbatimChar"/>
        </w:rPr>
        <w:t xml:space="preserve">|   +-- discipline</w:t>
      </w:r>
      <w:r>
        <w:br/>
      </w:r>
      <w:r>
        <w:rPr>
          <w:rStyle w:val="VerbatimChar"/>
        </w:rPr>
        <w:t xml:space="preserve">|   +-- date</w:t>
      </w:r>
      <w:r>
        <w:br/>
      </w:r>
      <w:r>
        <w:rPr>
          <w:rStyle w:val="VerbatimChar"/>
        </w:rPr>
        <w:t xml:space="preserve">|   +-- location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competitors[]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bib</w:t>
      </w:r>
      <w:r>
        <w:br/>
      </w:r>
      <w:r>
        <w:rPr>
          <w:rStyle w:val="VerbatimChar"/>
        </w:rPr>
        <w:t xml:space="preserve">    +-- et_tod</w:t>
      </w:r>
      <w:r>
        <w:br/>
      </w:r>
      <w:r>
        <w:rPr>
          <w:rStyle w:val="VerbatimChar"/>
        </w:rPr>
        <w:t xml:space="preserve">    +-- name</w:t>
      </w:r>
      <w:r>
        <w:br/>
      </w:r>
      <w:r>
        <w:rPr>
          <w:rStyle w:val="VerbatimChar"/>
        </w:rPr>
        <w:t xml:space="preserve">    +-- surname</w:t>
      </w:r>
      <w:r>
        <w:br/>
      </w:r>
      <w:r>
        <w:rPr>
          <w:rStyle w:val="VerbatimChar"/>
        </w:rPr>
        <w:t xml:space="preserve">    +-- nation</w:t>
      </w:r>
      <w:r>
        <w:br/>
      </w:r>
      <w:r>
        <w:rPr>
          <w:rStyle w:val="VerbatimChar"/>
        </w:rPr>
        <w:t xml:space="preserve">    +-- club</w:t>
      </w:r>
    </w:p>
    <w:bookmarkEnd w:id="24"/>
    <w:bookmarkStart w:id="26" w:name="validation-rules"/>
    <w:p>
      <w:pPr>
        <w:pStyle w:val="Heading1"/>
      </w:pPr>
      <w:r>
        <w:t xml:space="preserve">Validation Rules</w:t>
      </w:r>
    </w:p>
    <w:p>
      <w:pPr>
        <w:pStyle w:val="FirstParagraph"/>
      </w:pPr>
      <w:r>
        <w:t xml:space="preserve">The following rules define the minimum validation requirements for protocol interoperability.</w:t>
      </w:r>
    </w:p>
    <w:p>
      <w:pPr>
        <w:pStyle w:val="BodyText"/>
      </w:pPr>
      <w:r>
        <w:t xml:space="preserve">Implementations MAY perform additional business validation without affecting interoperability.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Initial Requests and Optional Secondary Requests, the root object SHALL contain</w:t>
            </w:r>
            <w:r>
              <w:t xml:space="preserve"> </w:t>
            </w:r>
            <w:r>
              <w:rPr>
                <w:rStyle w:val="VerbatimChar"/>
              </w:rPr>
              <w:t xml:space="preserve">calculation_id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competitors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race object SHALL contain</w:t>
            </w:r>
            <w:r>
              <w:t xml:space="preserve"> </w:t>
            </w:r>
            <w:r>
              <w:rPr>
                <w:rStyle w:val="VerbatimChar"/>
              </w:rPr>
              <w:t xml:space="preserve">season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missing_impulse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eet_bib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competitor SHALL contain</w:t>
            </w:r>
            <w:r>
              <w:t xml:space="preserve"> </w:t>
            </w:r>
            <w:r>
              <w:rPr>
                <w:rStyle w:val="VerbatimChar"/>
              </w:rPr>
              <w:t xml:space="preserve">bib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et_tod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competitors</w:t>
            </w:r>
            <w:r>
              <w:t xml:space="preserve"> </w:t>
            </w:r>
            <w:r>
              <w:t xml:space="preserve">array SHALL contain exactly eleven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 Initial Request, exactly one competitor SHALL have an empty</w:t>
            </w:r>
            <w:r>
              <w:t xml:space="preserve"> </w:t>
            </w:r>
            <w:r>
              <w:rPr>
                <w:rStyle w:val="VerbatimChar"/>
              </w:rPr>
              <w:t xml:space="preserve">et_tod</w:t>
            </w:r>
            <w:r>
              <w:t xml:space="preserve"> </w:t>
            </w:r>
            <w:r>
              <w:t xml:space="preserve">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 Optional Secondary Request, no</w:t>
            </w:r>
            <w:r>
              <w:t xml:space="preserve"> </w:t>
            </w:r>
            <w:r>
              <w:rPr>
                <w:rStyle w:val="VerbatimChar"/>
              </w:rPr>
              <w:t xml:space="preserve">et_tod</w:t>
            </w:r>
            <w:r>
              <w:t xml:space="preserve"> </w:t>
            </w:r>
            <w:r>
              <w:t xml:space="preserve">value SHALL be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non-empty</w:t>
            </w:r>
            <w:r>
              <w:t xml:space="preserve"> </w:t>
            </w:r>
            <w:r>
              <w:rPr>
                <w:rStyle w:val="VerbatimChar"/>
              </w:rPr>
              <w:t xml:space="preserve">et_tod</w:t>
            </w:r>
            <w:r>
              <w:t xml:space="preserve"> </w:t>
            </w:r>
            <w:r>
              <w:t xml:space="preserve">value SHALL contain at least three decimal places.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</w:t>
            </w:r>
            <w:r>
              <w:t xml:space="preserve"> </w:t>
            </w:r>
            <w:r>
              <w:t xml:space="preserve">SHALL consist of exactly four digits.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missing_impulse</w:t>
            </w:r>
            <w:r>
              <w:t xml:space="preserve"> </w:t>
            </w:r>
            <w:r>
              <w:t xml:space="preserve">SHALL be either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FINISH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members SHALL be ignored to preserve forward compatibility.</w:t>
            </w:r>
          </w:p>
        </w:tc>
      </w:tr>
    </w:tbl>
    <w:bookmarkStart w:id="25" w:name="backward-compatibility-delete-requests"/>
    <w:p>
      <w:pPr>
        <w:pStyle w:val="Heading2"/>
      </w:pPr>
      <w:r>
        <w:t xml:space="preserve">Backward Compatibility — DELETE Requests</w:t>
      </w:r>
    </w:p>
    <w:p>
      <w:pPr>
        <w:pStyle w:val="FirstParagraph"/>
      </w:pPr>
      <w:r>
        <w:t xml:space="preserve">For backward compatibility with Version 1.1, an EEP Version 1.2 implementation MAY recognize a request with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BodyText"/>
      </w:pPr>
      <w:r>
        <w:t xml:space="preserve">Such a request SHALL NOT be processed and SHALL NOT result in the deletion of any stored calculation.</w:t>
      </w:r>
    </w:p>
    <w:p>
      <w:pPr>
        <w:pStyle w:val="BodyText"/>
      </w:pPr>
      <w:r>
        <w:t xml:space="preserve">The implementation SHALL return an error with the code</w:t>
      </w:r>
      <w:r>
        <w:t xml:space="preserve"> </w:t>
      </w:r>
      <w:r>
        <w:rPr>
          <w:rStyle w:val="VerbatimChar"/>
        </w:rPr>
        <w:t xml:space="preserve">UNSUPPORTED_MODE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mode is no longer a supported EEP operation in Version 1.2.</w:t>
      </w:r>
    </w:p>
    <w:bookmarkEnd w:id="25"/>
    <w:bookmarkEnd w:id="26"/>
    <w:bookmarkStart w:id="31" w:name="protocol-examples"/>
    <w:p>
      <w:pPr>
        <w:pStyle w:val="Heading1"/>
      </w:pPr>
      <w:r>
        <w:t xml:space="preserve">Protocol Examples</w:t>
      </w:r>
    </w:p>
    <w:p>
      <w:pPr>
        <w:pStyle w:val="FirstParagraph"/>
      </w:pPr>
      <w:r>
        <w:t xml:space="preserve">The following examples illustrate the HTTP messages exchanged between a timing system and an EET Calculator.</w:t>
      </w:r>
    </w:p>
    <w:p>
      <w:pPr>
        <w:pStyle w:val="BodyText"/>
      </w:pPr>
      <w:r>
        <w:t xml:space="preserve">The Optional Secondary Request differs from the Initial Request only by:</w:t>
      </w:r>
    </w:p>
    <w:p>
      <w:pPr>
        <w:pStyle w:val="Compact"/>
        <w:numPr>
          <w:ilvl w:val="0"/>
          <w:numId w:val="1003"/>
        </w:numPr>
      </w:pPr>
      <w:r>
        <w:t xml:space="preserve">the assigned</w:t>
      </w:r>
      <w:r>
        <w:t xml:space="preserve"> </w:t>
      </w:r>
      <w:r>
        <w:rPr>
          <w:rStyle w:val="VerbatimChar"/>
        </w:rPr>
        <w:t xml:space="preserve">calculation_id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previously missing</w:t>
      </w:r>
      <w:r>
        <w:t xml:space="preserve"> </w:t>
      </w:r>
      <w:r>
        <w:rPr>
          <w:rStyle w:val="VerbatimChar"/>
        </w:rPr>
        <w:t xml:space="preserve">et_tod</w:t>
      </w:r>
      <w:r>
        <w:t xml:space="preserve"> </w:t>
      </w:r>
      <w:r>
        <w:t xml:space="preserve">value.</w:t>
      </w:r>
    </w:p>
    <w:p>
      <w:pPr>
        <w:pStyle w:val="FirstParagraph"/>
      </w:pPr>
      <w:r>
        <w:t xml:space="preserve">For clarity, the examples include optional members. Implementations MAY omit any optional member.</w:t>
      </w:r>
    </w:p>
    <w:p>
      <w:pPr>
        <w:pStyle w:val="BodyText"/>
      </w:pPr>
      <w:r>
        <w:t xml:space="preserve">Optional competitor members are shown only for the competitor whose electronic timing impulse is missing.</w:t>
      </w:r>
    </w:p>
    <w:bookmarkStart w:id="27" w:name="initial-request"/>
    <w:p>
      <w:pPr>
        <w:pStyle w:val="Heading2"/>
      </w:pPr>
      <w:r>
        <w:t xml:space="preserve">Initial Request</w:t>
      </w:r>
    </w:p>
    <w:p>
      <w:pPr>
        <w:pStyle w:val="SourceCode"/>
      </w:pPr>
      <w:r>
        <w:rPr>
          <w:rStyle w:val="VerbatimChar"/>
        </w:rPr>
        <w:t xml:space="preserve">POST /eet HTTP/1.2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"missing_impulse"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"eet_bib"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Championships"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"discipline"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 d'Isère"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"10:16:12.481"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"10:16:24.106"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"10:16:32.547"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 Val d'Isère"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"10:16:51.234"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"10:17:03.118"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"10:17:14.904"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"10:17:26.431"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"10:17:39.055"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"10:17:52.601"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"10:18:05.227"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initial-response"/>
    <w:p>
      <w:pPr>
        <w:pStyle w:val="Heading2"/>
      </w:pPr>
      <w:r>
        <w:t xml:space="preserve">Initial Response</w:t>
      </w:r>
    </w:p>
    <w:p>
      <w:pPr>
        <w:pStyle w:val="SourceCode"/>
      </w:pPr>
      <w:r>
        <w:rPr>
          <w:rStyle w:val="VerbatimChar"/>
        </w:rPr>
        <w:t xml:space="preserve">HTTP/1.2 200 OK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"A7F4K2"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optional-secondary-request"/>
    <w:p>
      <w:pPr>
        <w:pStyle w:val="Heading2"/>
      </w:pPr>
      <w:r>
        <w:t xml:space="preserve">Optional Secondary Request</w:t>
      </w:r>
    </w:p>
    <w:p>
      <w:pPr>
        <w:pStyle w:val="SourceCode"/>
      </w:pPr>
      <w:r>
        <w:rPr>
          <w:rStyle w:val="VerbatimChar"/>
        </w:rPr>
        <w:t xml:space="preserve">POST /eet HTTP/1.2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"A7F4K2"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"missing_impulse"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"eet_bib"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"10:16:12.481"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"10:16:24.106"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"10:16:32.547"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"10:16:40.216"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 Val d'Isère"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"10:16:51.234"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"10:17:03.118"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"10:17:14.904"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"10:17:26.431"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"10:17:39.055"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"10:17:52.601"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"et_tod"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"10:18:05.227"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secondary-response"/>
    <w:p>
      <w:pPr>
        <w:pStyle w:val="Heading2"/>
      </w:pPr>
      <w:r>
        <w:t xml:space="preserve">Secondary Response</w:t>
      </w:r>
    </w:p>
    <w:p>
      <w:pPr>
        <w:pStyle w:val="SourceCode"/>
      </w:pPr>
      <w:r>
        <w:rPr>
          <w:rStyle w:val="VerbatimChar"/>
        </w:rPr>
        <w:t xml:space="preserve">HTTP/1.2 200 OK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"A7F4K2"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Implementation Note</w:t>
      </w:r>
    </w:p>
    <w:p>
      <w:pPr>
        <w:pStyle w:val="BlockText"/>
      </w:pPr>
      <w:r>
        <w:t xml:space="preserve">During processing of an Optional Secondary Request, implementations SHOULD update only the previously missing</w:t>
      </w:r>
      <w:r>
        <w:t xml:space="preserve"> </w:t>
      </w:r>
      <w:r>
        <w:rPr>
          <w:rStyle w:val="VerbatimChar"/>
        </w:rPr>
        <w:t xml:space="preserve">et_tod</w:t>
      </w:r>
      <w:r>
        <w:t xml:space="preserve"> </w:t>
      </w:r>
      <w:r>
        <w:t xml:space="preserve">value. All other document members SHOULD be ignored.</w:t>
      </w:r>
    </w:p>
    <w:bookmarkEnd w:id="30"/>
    <w:bookmarkEnd w:id="31"/>
    <w:bookmarkStart w:id="32" w:name="appendix-a-json-naming-conventions"/>
    <w:p>
      <w:pPr>
        <w:pStyle w:val="Heading1"/>
      </w:pPr>
      <w:r>
        <w:t xml:space="preserve">Appendix A — JSON Naming Conventions</w:t>
      </w:r>
    </w:p>
    <w:p>
      <w:pPr>
        <w:pStyle w:val="FirstParagraph"/>
      </w:pPr>
      <w:r>
        <w:t xml:space="preserve">EEP follows common JSON naming conventions.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names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separator</w:t>
            </w:r>
          </w:p>
        </w:tc>
        <w:tc>
          <w:tcPr/>
          <w:p>
            <w:pPr>
              <w:pStyle w:val="Compact"/>
            </w:pPr>
            <w:r>
              <w:t xml:space="preserve">underscore (</w:t>
            </w:r>
            <w:r>
              <w:rPr>
                <w:rStyle w:val="VerbatimChar"/>
              </w:rPr>
              <w:t xml:space="preserve">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plural nouns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 values</w:t>
            </w:r>
          </w:p>
        </w:tc>
        <w:tc>
          <w:tcPr/>
          <w:p>
            <w:pPr>
              <w:pStyle w:val="Compact"/>
            </w:pPr>
            <w:r>
              <w:t xml:space="preserve">empty string (</w:t>
            </w:r>
            <w:r>
              <w:rPr>
                <w:rStyle w:val="VerbatimChar"/>
              </w:rPr>
              <w:t xml:space="preserve">""</w:t>
            </w:r>
            <w:r>
              <w:t xml:space="preserve">); JSON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is not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t xml:space="preserve">ISO 8601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of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HH:MM:SS.sss</w:t>
            </w:r>
            <w:r>
              <w:t xml:space="preserve"> </w:t>
            </w:r>
            <w:r>
              <w:t xml:space="preserve">(minimum three decimal places)</w:t>
            </w:r>
          </w:p>
        </w:tc>
      </w:tr>
    </w:tbl>
    <w:p>
      <w:pPr>
        <w:pStyle w:val="BodyText"/>
      </w:pPr>
      <w:r>
        <w:t xml:space="preserve">These conventions are recommendations intended to improve readability and consistency across implementations.</w:t>
      </w:r>
    </w:p>
    <w:bookmarkEnd w:id="32"/>
    <w:bookmarkStart w:id="33" w:name="appendix-b-error-codes"/>
    <w:p>
      <w:pPr>
        <w:pStyle w:val="Heading1"/>
      </w:pPr>
      <w:r>
        <w:t xml:space="preserve">Appendix B — Error Codes</w:t>
      </w:r>
    </w:p>
    <w:p>
      <w:pPr>
        <w:pStyle w:val="FirstParagraph"/>
      </w:pPr>
      <w:r>
        <w:t xml:space="preserve">When a request cannot be processed, the EET Calculator returns an HTTP 400 (Bad Request) response with the following JSON structure.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"&lt;ERROR_CODE&gt;"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member is an array, allowing multiple validation errors to be returned in a single response.</w:t>
      </w:r>
    </w:p>
    <w:p>
      <w:pPr>
        <w:pStyle w:val="BodyText"/>
      </w:pPr>
      <w:r>
        <w:t xml:space="preserve">The following error codes are defined by the EEP protocol.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INVALID_COMPETITOR_COUNT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of competitors is outside the allowed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DUPLICATE_BIB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competitors list contains duplicate bib numbers.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INVALID_ET_COUNT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of electronic times does not satisfy the protocol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INVALID_ET_PRECISION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electronic time precision is outside the supported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manual times are invalid.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UNKNOWN_CALCULATION_ID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specified</w:t>
            </w:r>
            <w:r>
              <w:t xml:space="preserve"> </w:t>
            </w:r>
            <w:r>
              <w:rPr>
                <w:rStyle w:val="VerbatimChar"/>
              </w:rPr>
              <w:t xml:space="preserve">calculation_id</w:t>
            </w:r>
            <w:r>
              <w:t xml:space="preserve"> </w:t>
            </w:r>
            <w:r>
              <w:t xml:space="preserve">does not correspond to any stored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BUSINESS_KEY_MISMATCH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supplied business key (</w:t>
            </w:r>
            <w:r>
              <w:rPr>
                <w:rStyle w:val="VerbatimChar"/>
              </w:rPr>
              <w:t xml:space="preserve">season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eet_bib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missing_impulse</w:t>
            </w:r>
            <w:r>
              <w:t xml:space="preserve">) does not match the calculation identified by</w:t>
            </w:r>
            <w:r>
              <w:t xml:space="preserve"> </w:t>
            </w:r>
            <w:r>
              <w:rPr>
                <w:rStyle w:val="VerbatimChar"/>
              </w:rPr>
              <w:t xml:space="preserve">calculation_id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UNSUPPORTED_MODE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requested processing mode is not supported by this version of the EEP implementation.</w:t>
            </w:r>
          </w:p>
        </w:tc>
      </w:tr>
    </w:tbl>
    <w:p>
      <w:pPr>
        <w:pStyle w:val="BodyText"/>
      </w:pPr>
      <w:r>
        <w:t xml:space="preserve">Error codes are stable protocol identifiers intended for machine processing and</w:t>
      </w:r>
      <w:r>
        <w:t xml:space="preserve"> </w:t>
      </w:r>
      <w:r>
        <w:rPr>
          <w:b/>
          <w:bCs/>
        </w:rPr>
        <w:t xml:space="preserve">must not be translated</w:t>
      </w:r>
      <w:r>
        <w:t xml:space="preserve">. Client applications may display localized messages corresponding to these codes.</w:t>
      </w:r>
    </w:p>
    <w:bookmarkEnd w:id="33"/>
    <w:bookmarkStart w:id="34" w:name="copyright-and-permissions"/>
    <w:p>
      <w:pPr>
        <w:pStyle w:val="Heading1"/>
      </w:pPr>
      <w:r>
        <w:t xml:space="preserve">Copyright and Permissions</w:t>
      </w:r>
    </w:p>
    <w:p>
      <w:pPr>
        <w:pStyle w:val="FirstParagraph"/>
      </w:pPr>
      <w:r>
        <w:t xml:space="preserve">Copyright © 2026 Philippe Guérindon</w:t>
      </w:r>
    </w:p>
    <w:p>
      <w:pPr>
        <w:pStyle w:val="BodyText"/>
      </w:pPr>
      <w:r>
        <w:t xml:space="preserve">Permission is granted to copy and distribute this</w:t>
      </w:r>
      <w:r>
        <w:t xml:space="preserve"> </w:t>
      </w:r>
      <w:r>
        <w:t xml:space="preserve">specification in its original form.</w:t>
      </w:r>
    </w:p>
    <w:p>
      <w:pPr>
        <w:pStyle w:val="BodyText"/>
      </w:pPr>
      <w:r>
        <w:t xml:space="preserve">Anyone may implement the EEP protocol in software,</w:t>
      </w:r>
      <w:r>
        <w:t xml:space="preserve"> </w:t>
      </w:r>
      <w:r>
        <w:t xml:space="preserve">hardware or services.</w:t>
      </w:r>
    </w:p>
    <w:p>
      <w:pPr>
        <w:pStyle w:val="BodyText"/>
      </w:pPr>
      <w:r>
        <w:t xml:space="preserve">Modified versions of this specification shall clearly</w:t>
      </w:r>
      <w:r>
        <w:t xml:space="preserve"> </w:t>
      </w:r>
      <w:r>
        <w:t xml:space="preserve">identify the modifications and shall not be presented</w:t>
      </w:r>
      <w:r>
        <w:t xml:space="preserve"> </w:t>
      </w:r>
      <w:r>
        <w:t xml:space="preserve">as the official EEP Specification.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“EEP Specification”</w:t>
      </w:r>
      <w:r>
        <w:t xml:space="preserve"> </w:t>
      </w:r>
      <w:r>
        <w:t xml:space="preserve">refers exclusively</w:t>
      </w:r>
      <w:r>
        <w:t xml:space="preserve"> </w:t>
      </w:r>
      <w:r>
        <w:t xml:space="preserve">to the official specification published by the author.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Equivalent Time Exchange Protocol (EEP)</dc:title>
  <dc:creator/>
  <cp:keywords/>
  <dcterms:created xsi:type="dcterms:W3CDTF">2026-08-17T12:26:52Z</dcterms:created>
  <dcterms:modified xsi:type="dcterms:W3CDTF">2026-08-17T12:26:52Z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geometry">
    <vt:lpwstr/>
  </property>
  <property fmtid="{D5CDD505-2E9C-101B-9397-08002B2CF9AE}" pid="4" name="numbersections">
    <vt:lpwstr>True</vt:lpwstr>
  </property>
  <property fmtid="{D5CDD505-2E9C-101B-9397-08002B2CF9AE}" pid="5" name="subtitle">
    <vt:lpwstr>EEP Specification</vt:lpwstr>
  </property>
  <property fmtid="{D5CDD505-2E9C-101B-9397-08002B2CF9AE}" pid="6" name="toc">
    <vt:lpwstr>True</vt:lpwstr>
  </property>
</Properties>
</file>