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et-calculator"/>
    <w:p>
      <w:pPr>
        <w:pStyle w:val="Heading1"/>
      </w:pPr>
      <w:r>
        <w:t xml:space="preserve">EET Calculator</w:t>
      </w:r>
    </w:p>
    <w:p>
      <w:pPr>
        <w:pStyle w:val="FirstParagraph"/>
      </w:pPr>
      <w:r>
        <w:rPr>
          <w:b/>
          <w:bCs/>
        </w:rPr>
        <w:t xml:space="preserve">Version : 1.10</w:t>
      </w:r>
      <w:r>
        <w:t xml:space="preserve"> </w:t>
      </w:r>
      <w:r>
        <w:rPr>
          <w:b/>
          <w:bCs/>
        </w:rPr>
        <w:t xml:space="preserve">Auteur : Philippe Guérindon</w:t>
      </w:r>
    </w:p>
    <w:bookmarkStart w:id="9" w:name="présentation"/>
    <w:p>
      <w:pPr>
        <w:pStyle w:val="Heading2"/>
      </w:pPr>
      <w:r>
        <w:t xml:space="preserve">Présentation</w:t>
      </w:r>
    </w:p>
    <w:p>
      <w:pPr>
        <w:pStyle w:val="FirstParagraph"/>
      </w:pPr>
      <w:r>
        <w:t xml:space="preserve">EET Calculator est une application web permettant de calculer un</w:t>
      </w:r>
      <w:r>
        <w:t xml:space="preserve"> </w:t>
      </w:r>
      <w:r>
        <w:rPr>
          <w:b/>
          <w:bCs/>
        </w:rPr>
        <w:t xml:space="preserve">Temps Électronique Équivalent (Equivalent Electronic Time - EET)</w:t>
      </w:r>
      <w:r>
        <w:t xml:space="preserve"> </w:t>
      </w:r>
      <w:r>
        <w:t xml:space="preserve">conformément aux règles de chronométrage de la</w:t>
      </w:r>
      <w:r>
        <w:t xml:space="preserve"> </w:t>
      </w:r>
      <w:r>
        <w:rPr>
          <w:b/>
          <w:bCs/>
        </w:rPr>
        <w:t xml:space="preserve">Fédération Internationale de Ski (FIS)</w:t>
      </w:r>
      <w:r>
        <w:t xml:space="preserve">.</w:t>
      </w:r>
    </w:p>
    <w:p>
      <w:pPr>
        <w:pStyle w:val="BodyText"/>
      </w:pPr>
      <w:r>
        <w:t xml:space="preserve">L’application permet de déterminer le temps électronique manquant d’un concurrent à partir des temps électroniques et manuels des concurrents précédents.</w:t>
      </w:r>
    </w:p>
    <w:p>
      <w:pPr>
        <w:pStyle w:val="BodyText"/>
      </w:pPr>
      <w:r>
        <w:t xml:space="preserve">Le calcul est effectué en</w:t>
      </w:r>
      <w:r>
        <w:t xml:space="preserve"> </w:t>
      </w:r>
      <w:r>
        <w:rPr>
          <w:b/>
          <w:bCs/>
        </w:rPr>
        <w:t xml:space="preserve">microsecondes</w:t>
      </w:r>
      <w:r>
        <w:t xml:space="preserve"> </w:t>
      </w:r>
      <w:r>
        <w:t xml:space="preserve">afin de garantir la précision maximale avant l’arrondi à la précision souhaitée.</w:t>
      </w:r>
    </w:p>
    <w:p>
      <w:r>
        <w:pict>
          <v:rect style="width:0;height:1.5pt" o:hralign="center" o:hrstd="t" o:hr="t"/>
        </w:pict>
      </w:r>
    </w:p>
    <w:bookmarkEnd w:id="9"/>
    <w:bookmarkStart w:id="10" w:name="fonctionnalités"/>
    <w:p>
      <w:pPr>
        <w:pStyle w:val="Heading2"/>
      </w:pPr>
      <w:r>
        <w:t xml:space="preserve">Fonctionnalités</w:t>
      </w:r>
    </w:p>
    <w:p>
      <w:pPr>
        <w:numPr>
          <w:ilvl w:val="0"/>
          <w:numId w:val="1001"/>
        </w:numPr>
      </w:pPr>
      <w:r>
        <w:t xml:space="preserve">Calcul du Temps Électronique Équivalent (EET).</w:t>
      </w:r>
    </w:p>
    <w:p>
      <w:pPr>
        <w:numPr>
          <w:ilvl w:val="0"/>
          <w:numId w:val="1001"/>
        </w:numPr>
      </w:pPr>
      <w:r>
        <w:t xml:space="preserve">Conforme aux règles FIS.</w:t>
      </w:r>
    </w:p>
    <w:p>
      <w:pPr>
        <w:numPr>
          <w:ilvl w:val="0"/>
          <w:numId w:val="1001"/>
        </w:numPr>
      </w:pPr>
      <w:r>
        <w:t xml:space="preserve">Interface responsive (PC, tablette et smartphone).</w:t>
      </w:r>
    </w:p>
    <w:p>
      <w:pPr>
        <w:numPr>
          <w:ilvl w:val="0"/>
          <w:numId w:val="1001"/>
        </w:numPr>
      </w:pPr>
      <w:r>
        <w:t xml:space="preserve">Gestion multilingue :</w:t>
      </w:r>
    </w:p>
    <w:p>
      <w:pPr>
        <w:pStyle w:val="Compact"/>
        <w:numPr>
          <w:ilvl w:val="1"/>
          <w:numId w:val="1002"/>
        </w:numPr>
      </w:pPr>
      <w:r>
        <w:t xml:space="preserve">Français</w:t>
      </w:r>
    </w:p>
    <w:p>
      <w:pPr>
        <w:pStyle w:val="Compact"/>
        <w:numPr>
          <w:ilvl w:val="1"/>
          <w:numId w:val="1002"/>
        </w:numPr>
      </w:pPr>
      <w:r>
        <w:t xml:space="preserve">English</w:t>
      </w:r>
    </w:p>
    <w:p>
      <w:pPr>
        <w:pStyle w:val="Compact"/>
        <w:numPr>
          <w:ilvl w:val="1"/>
          <w:numId w:val="1002"/>
        </w:numPr>
      </w:pPr>
      <w:r>
        <w:t xml:space="preserve">Deutsch</w:t>
      </w:r>
    </w:p>
    <w:p>
      <w:pPr>
        <w:numPr>
          <w:ilvl w:val="0"/>
          <w:numId w:val="1001"/>
        </w:numPr>
      </w:pPr>
      <w:r>
        <w:t xml:space="preserve">Génération d’un rapport PDF.</w:t>
      </w:r>
    </w:p>
    <w:p>
      <w:pPr>
        <w:numPr>
          <w:ilvl w:val="0"/>
          <w:numId w:val="1001"/>
        </w:numPr>
      </w:pPr>
      <w:r>
        <w:t xml:space="preserve">Historique des deux derniers calculs.</w:t>
      </w:r>
    </w:p>
    <w:p>
      <w:pPr>
        <w:numPr>
          <w:ilvl w:val="0"/>
          <w:numId w:val="1001"/>
        </w:numPr>
      </w:pPr>
      <w:r>
        <w:t xml:space="preserve">Persistance des calculs pendant toute la session utilisateur.</w:t>
      </w:r>
    </w:p>
    <w:p>
      <w:pPr>
        <w:numPr>
          <w:ilvl w:val="0"/>
          <w:numId w:val="1001"/>
        </w:numPr>
      </w:pPr>
      <w:r>
        <w:t xml:space="preserve">Fonction</w:t>
      </w:r>
      <w:r>
        <w:t xml:space="preserve"> </w:t>
      </w:r>
      <w:r>
        <w:rPr>
          <w:b/>
          <w:bCs/>
        </w:rPr>
        <w:t xml:space="preserve">Recharger</w:t>
      </w:r>
      <w:r>
        <w:t xml:space="preserve"> </w:t>
      </w:r>
      <w:r>
        <w:t xml:space="preserve">permettant de permuter les deux derniers calculs.</w:t>
      </w:r>
    </w:p>
    <w:p>
      <w:r>
        <w:pict>
          <v:rect style="width:0;height:1.5pt" o:hralign="center" o:hrstd="t" o:hr="t"/>
        </w:pict>
      </w:r>
    </w:p>
    <w:bookmarkEnd w:id="10"/>
    <w:bookmarkStart w:id="12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run.py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app.py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services/</w:t>
      </w:r>
      <w:r>
        <w:br/>
      </w:r>
      <w:r>
        <w:rPr>
          <w:rStyle w:val="VerbatimChar"/>
        </w:rPr>
        <w:t xml:space="preserve">    │      ├── formulaire.py</w:t>
      </w:r>
      <w:r>
        <w:br/>
      </w:r>
      <w:r>
        <w:rPr>
          <w:rStyle w:val="VerbatimChar"/>
        </w:rPr>
        <w:t xml:space="preserve">    │      ├── eet_calculator.py</w:t>
      </w:r>
      <w:r>
        <w:br/>
      </w:r>
      <w:r>
        <w:rPr>
          <w:rStyle w:val="VerbatimChar"/>
        </w:rPr>
        <w:t xml:space="preserve">    │      ├── eet.py</w:t>
      </w:r>
      <w:r>
        <w:br/>
      </w:r>
      <w:r>
        <w:rPr>
          <w:rStyle w:val="VerbatimChar"/>
        </w:rPr>
        <w:t xml:space="preserve">    │      ├── temps.py</w:t>
      </w:r>
      <w:r>
        <w:br/>
      </w:r>
      <w:r>
        <w:rPr>
          <w:rStyle w:val="VerbatimChar"/>
        </w:rPr>
        <w:t xml:space="preserve">    │      └── views.py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pdf.py</w:t>
      </w:r>
      <w:r>
        <w:br/>
      </w:r>
      <w:r>
        <w:rPr>
          <w:rStyle w:val="VerbatimChar"/>
        </w:rPr>
        <w:t xml:space="preserve">    ├── translation.py</w:t>
      </w:r>
      <w:r>
        <w:br/>
      </w:r>
      <w:r>
        <w:rPr>
          <w:rStyle w:val="VerbatimChar"/>
        </w:rPr>
        <w:t xml:space="preserve">    └── config.py</w:t>
      </w:r>
    </w:p>
    <w:bookmarkStart w:id="11" w:name="description-des-modules"/>
    <w:p>
      <w:pPr>
        <w:pStyle w:val="Heading3"/>
      </w:pPr>
      <w:r>
        <w:t xml:space="preserve">Description des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0"/>
        <w:gridCol w:w="50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app.py</w:t>
            </w:r>
          </w:p>
        </w:tc>
        <w:tc>
          <w:tcPr/>
          <w:p>
            <w:pPr>
              <w:pStyle w:val="Compact"/>
            </w:pPr>
            <w:r>
              <w:t xml:space="preserve">Routes Flask et orchestration de l’application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config.py</w:t>
            </w:r>
          </w:p>
        </w:tc>
        <w:tc>
          <w:tcPr/>
          <w:p>
            <w:pPr>
              <w:pStyle w:val="Compact"/>
            </w:pPr>
            <w:r>
              <w:t xml:space="preserve">Paramètres généraux de l’application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translation.py</w:t>
            </w:r>
          </w:p>
        </w:tc>
        <w:tc>
          <w:tcPr/>
          <w:p>
            <w:pPr>
              <w:pStyle w:val="Compact"/>
            </w:pPr>
            <w:r>
              <w:t xml:space="preserve">Gestion des traductions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pdf.py</w:t>
            </w:r>
          </w:p>
        </w:tc>
        <w:tc>
          <w:tcPr/>
          <w:p>
            <w:pPr>
              <w:pStyle w:val="Compact"/>
            </w:pPr>
            <w:r>
              <w:t xml:space="preserve">Génération des rapports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services/formulaire.py</w:t>
            </w:r>
          </w:p>
        </w:tc>
        <w:tc>
          <w:tcPr/>
          <w:p>
            <w:pPr>
              <w:pStyle w:val="Compact"/>
            </w:pPr>
            <w:r>
              <w:t xml:space="preserve">Lecture et initialisation du formulaire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services/eet_calculator.py</w:t>
            </w:r>
          </w:p>
        </w:tc>
        <w:tc>
          <w:tcPr/>
          <w:p>
            <w:pPr>
              <w:pStyle w:val="Compact"/>
            </w:pPr>
            <w:r>
              <w:t xml:space="preserve">Orchestration du calcul 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services/eet.py</w:t>
            </w:r>
          </w:p>
        </w:tc>
        <w:tc>
          <w:tcPr/>
          <w:p>
            <w:pPr>
              <w:pStyle w:val="Compact"/>
            </w:pPr>
            <w:r>
              <w:t xml:space="preserve">Algorithmes de calcul 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services/temps.py</w:t>
            </w:r>
          </w:p>
        </w:tc>
        <w:tc>
          <w:tcPr/>
          <w:p>
            <w:pPr>
              <w:pStyle w:val="Compact"/>
            </w:pPr>
            <w:r>
              <w:t xml:space="preserve">Manipulation des temps et conversions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services/views.py</w:t>
            </w:r>
          </w:p>
        </w:tc>
        <w:tc>
          <w:tcPr/>
          <w:p>
            <w:pPr>
              <w:pStyle w:val="Compact"/>
            </w:pPr>
            <w:r>
              <w:t xml:space="preserve">Affichage des pages HTML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installation"/>
    <w:p>
      <w:pPr>
        <w:pStyle w:val="Heading2"/>
      </w:pPr>
      <w:r>
        <w:t xml:space="preserve">Installation</w:t>
      </w:r>
    </w:p>
    <w:bookmarkStart w:id="13" w:name="prérequis"/>
    <w:p>
      <w:pPr>
        <w:pStyle w:val="Heading3"/>
      </w:pPr>
      <w:r>
        <w:t xml:space="preserve">Prérequis</w:t>
      </w:r>
    </w:p>
    <w:p>
      <w:pPr>
        <w:pStyle w:val="Compact"/>
        <w:numPr>
          <w:ilvl w:val="0"/>
          <w:numId w:val="1003"/>
        </w:numPr>
      </w:pPr>
      <w:r>
        <w:t xml:space="preserve">Python 3.12 ou supérieur</w:t>
      </w:r>
    </w:p>
    <w:p>
      <w:pPr>
        <w:pStyle w:val="Compact"/>
        <w:numPr>
          <w:ilvl w:val="0"/>
          <w:numId w:val="1003"/>
        </w:numPr>
      </w:pPr>
      <w:r>
        <w:t xml:space="preserve">pip</w:t>
      </w:r>
    </w:p>
    <w:p>
      <w:pPr>
        <w:pStyle w:val="Compact"/>
        <w:numPr>
          <w:ilvl w:val="0"/>
          <w:numId w:val="1003"/>
        </w:numPr>
      </w:pPr>
      <w:r>
        <w:t xml:space="preserve">python3-venv</w:t>
      </w:r>
    </w:p>
    <w:bookmarkEnd w:id="13"/>
    <w:bookmarkStart w:id="14" w:name="installation-1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</w:p>
    <w:p>
      <w:pPr>
        <w:pStyle w:val="FirstParagraph"/>
      </w:pPr>
      <w:r>
        <w:t xml:space="preserve">Activation de l’environnement virtuel :</w:t>
      </w:r>
    </w:p>
    <w:p>
      <w:pPr>
        <w:pStyle w:val="BodyText"/>
      </w:pPr>
      <w:r>
        <w:t xml:space="preserve">Linux 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p>
      <w:pPr>
        <w:pStyle w:val="FirstParagraph"/>
      </w:pPr>
      <w:r>
        <w:t xml:space="preserve">Windows :</w:t>
      </w:r>
    </w:p>
    <w:p>
      <w:pPr>
        <w:pStyle w:val="SourceCode"/>
      </w:pPr>
      <w:r>
        <w:rPr>
          <w:rStyle w:val="NormalTok"/>
        </w:rPr>
        <w:t xml:space="preserve">venv\Scripts\activate</w:t>
      </w:r>
    </w:p>
    <w:p>
      <w:pPr>
        <w:pStyle w:val="FirstParagraph"/>
      </w:pPr>
      <w:r>
        <w:t xml:space="preserve">Installation des dépendances 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lancement"/>
    <w:p>
      <w:pPr>
        <w:pStyle w:val="Heading2"/>
      </w:pPr>
      <w:r>
        <w:t xml:space="preserve">Lancement</w:t>
      </w:r>
    </w:p>
    <w:p>
      <w:pPr>
        <w:pStyle w:val="FirstParagraph"/>
      </w:pPr>
      <w:r>
        <w:t xml:space="preserve">Développement 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run.py</w:t>
      </w:r>
    </w:p>
    <w:p>
      <w:pPr>
        <w:pStyle w:val="FirstParagraph"/>
      </w:pPr>
      <w:r>
        <w:t xml:space="preserve">L’application est alors accessible à l’adresse :</w:t>
      </w:r>
    </w:p>
    <w:p>
      <w:pPr>
        <w:pStyle w:val="SourceCode"/>
      </w:pPr>
      <w:r>
        <w:rPr>
          <w:rStyle w:val="VerbatimChar"/>
        </w:rPr>
        <w:t xml:space="preserve">http://localhost:5000</w:t>
      </w:r>
    </w:p>
    <w:p>
      <w:r>
        <w:pict>
          <v:rect style="width:0;height:1.5pt" o:hralign="center" o:hrstd="t" o:hr="t"/>
        </w:pict>
      </w:r>
    </w:p>
    <w:bookmarkEnd w:id="16"/>
    <w:bookmarkStart w:id="17" w:name="déploiement"/>
    <w:p>
      <w:pPr>
        <w:pStyle w:val="Heading2"/>
      </w:pPr>
      <w:r>
        <w:t xml:space="preserve">Déploiement</w:t>
      </w:r>
    </w:p>
    <w:p>
      <w:pPr>
        <w:pStyle w:val="FirstParagraph"/>
      </w:pPr>
      <w:r>
        <w:t xml:space="preserve">En production, l’application est prévue pour fonctionner avec :</w:t>
      </w:r>
    </w:p>
    <w:p>
      <w:pPr>
        <w:pStyle w:val="Compact"/>
        <w:numPr>
          <w:ilvl w:val="0"/>
          <w:numId w:val="1004"/>
        </w:numPr>
      </w:pPr>
      <w:r>
        <w:t xml:space="preserve">Gunicorn</w:t>
      </w:r>
    </w:p>
    <w:p>
      <w:pPr>
        <w:pStyle w:val="Compact"/>
        <w:numPr>
          <w:ilvl w:val="0"/>
          <w:numId w:val="1004"/>
        </w:numPr>
      </w:pPr>
      <w:r>
        <w:t xml:space="preserve">Nginx (ou Apache en reverse proxy)</w:t>
      </w:r>
    </w:p>
    <w:p>
      <w:pPr>
        <w:pStyle w:val="FirstParagraph"/>
      </w:pPr>
      <w:r>
        <w:t xml:space="preserve">Consulter les documents présents dans le dossier</w:t>
      </w:r>
      <w:r>
        <w:t xml:space="preserve"> </w:t>
      </w:r>
      <w:r>
        <w:rPr>
          <w:b/>
          <w:bCs/>
        </w:rPr>
        <w:t xml:space="preserve">Documentation/</w:t>
      </w:r>
      <w:r>
        <w:t xml:space="preserve"> </w:t>
      </w:r>
      <w:r>
        <w:t xml:space="preserve">pour les procédures complètes de déploiement.</w:t>
      </w:r>
    </w:p>
    <w:p>
      <w:r>
        <w:pict>
          <v:rect style="width:0;height:1.5pt" o:hralign="center" o:hrstd="t" o:hr="t"/>
        </w:pict>
      </w:r>
    </w:p>
    <w:bookmarkEnd w:id="17"/>
    <w:bookmarkStart w:id="18" w:name="structure-du-projet"/>
    <w:p>
      <w:pPr>
        <w:pStyle w:val="Heading2"/>
      </w:pPr>
      <w:r>
        <w:t xml:space="preserve">Structure du projet</w:t>
      </w:r>
    </w:p>
    <w:p>
      <w:pPr>
        <w:pStyle w:val="SourceCode"/>
      </w:pPr>
      <w:r>
        <w:rPr>
          <w:rStyle w:val="VerbatimChar"/>
        </w:rPr>
        <w:t xml:space="preserve">app.py</w:t>
      </w:r>
      <w:r>
        <w:br/>
      </w:r>
      <w:r>
        <w:rPr>
          <w:rStyle w:val="VerbatimChar"/>
        </w:rPr>
        <w:t xml:space="preserve">config.py</w:t>
      </w:r>
      <w:r>
        <w:br/>
      </w:r>
      <w:r>
        <w:rPr>
          <w:rStyle w:val="VerbatimChar"/>
        </w:rPr>
        <w:t xml:space="preserve">pdf.py</w:t>
      </w:r>
      <w:r>
        <w:br/>
      </w:r>
      <w:r>
        <w:rPr>
          <w:rStyle w:val="VerbatimChar"/>
        </w:rPr>
        <w:t xml:space="preserve">run.py</w:t>
      </w:r>
      <w:r>
        <w:br/>
      </w:r>
      <w:r>
        <w:rPr>
          <w:rStyle w:val="VerbatimChar"/>
        </w:rPr>
        <w:t xml:space="preserve">translation.py</w:t>
      </w:r>
      <w:r>
        <w:br/>
      </w:r>
      <w:r>
        <w:rPr>
          <w:rStyle w:val="VerbatimChar"/>
        </w:rPr>
        <w:t xml:space="preserve">requirements.txt</w:t>
      </w:r>
      <w:r>
        <w:br/>
      </w:r>
      <w:r>
        <w:br/>
      </w:r>
      <w:r>
        <w:rPr>
          <w:rStyle w:val="VerbatimChar"/>
        </w:rPr>
        <w:t xml:space="preserve">services/</w:t>
      </w:r>
      <w:r>
        <w:br/>
      </w:r>
      <w:r>
        <w:rPr>
          <w:rStyle w:val="VerbatimChar"/>
        </w:rPr>
        <w:t xml:space="preserve">templates/</w:t>
      </w:r>
      <w:r>
        <w:br/>
      </w:r>
      <w:r>
        <w:rPr>
          <w:rStyle w:val="VerbatimChar"/>
        </w:rPr>
        <w:t xml:space="preserve">static/</w:t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Documentation/</w:t>
      </w:r>
    </w:p>
    <w:p>
      <w:r>
        <w:pict>
          <v:rect style="width:0;height:1.5pt" o:hralign="center" o:hrstd="t" o:hr="t"/>
        </w:pict>
      </w:r>
    </w:p>
    <w:bookmarkEnd w:id="18"/>
    <w:bookmarkStart w:id="19" w:name="tests"/>
    <w:p>
      <w:pPr>
        <w:pStyle w:val="Heading2"/>
      </w:pPr>
      <w:r>
        <w:t xml:space="preserve">Tests</w:t>
      </w:r>
    </w:p>
    <w:p>
      <w:pPr>
        <w:pStyle w:val="FirstParagraph"/>
      </w:pPr>
      <w:r>
        <w:t xml:space="preserve">Les fonctions de calcul sont indépendantes de l’interface Flask et peuvent être testées séparément.</w:t>
      </w:r>
    </w:p>
    <w:p>
      <w:pPr>
        <w:pStyle w:val="BodyText"/>
      </w:pPr>
      <w:r>
        <w:t xml:space="preserve">Le dossier</w:t>
      </w:r>
      <w:r>
        <w:t xml:space="preserve"> </w:t>
      </w:r>
      <w:r>
        <w:rPr>
          <w:b/>
          <w:bCs/>
        </w:rPr>
        <w:t xml:space="preserve">tests/</w:t>
      </w:r>
      <w:r>
        <w:t xml:space="preserve"> </w:t>
      </w:r>
      <w:r>
        <w:t xml:space="preserve">contient les scripts de validation du moteur de calcul.</w:t>
      </w:r>
    </w:p>
    <w:p>
      <w:r>
        <w:pict>
          <v:rect style="width:0;height:1.5pt" o:hralign="center" o:hrstd="t" o:hr="t"/>
        </w:pict>
      </w:r>
    </w:p>
    <w:bookmarkEnd w:id="19"/>
    <w:bookmarkStart w:id="20" w:name="licence"/>
    <w:p>
      <w:pPr>
        <w:pStyle w:val="Heading2"/>
      </w:pPr>
      <w:r>
        <w:t xml:space="preserve">Licence</w:t>
      </w:r>
    </w:p>
    <w:p>
      <w:pPr>
        <w:pStyle w:val="FirstParagraph"/>
      </w:pPr>
      <w:r>
        <w:t xml:space="preserve">Application développée par Philippe Guérindon.</w:t>
      </w:r>
    </w:p>
    <w:p>
      <w:pPr>
        <w:pStyle w:val="BodyText"/>
      </w:pPr>
      <w:r>
        <w:t xml:space="preserve">Tous droits réservés.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2026-06-28T14:37:50Z</dcterms:created>
  <dcterms:modified xsi:type="dcterms:W3CDTF">2026-06-28T14:37:50Z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