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60" w:before="0"/>
        <w:jc w:val="center"/>
      </w:pPr>
      <w:r>
        <w:rPr>
          <w:rFonts w:ascii="Calibri" w:cs="Calibri" w:eastAsia="Calibri" w:hAnsi="Calibri"/>
          <w:b/>
          <w:bCs/>
          <w:caps/>
          <w:color w:val="C62828"/>
          <w:sz w:val="22"/>
          <w:szCs w:val="22"/>
        </w:rPr>
        <w:t xml:space="preserve">NOT FOR INTERN DISTRIBUTION</w:t>
      </w:r>
    </w:p>
    <w:p>
      <w:pPr>
        <w:spacing w:after="80" w:before="0"/>
        <w:jc w:val="center"/>
      </w:pPr>
      <w:r>
        <w:rPr>
          <w:rFonts w:ascii="Calibri" w:cs="Calibri" w:eastAsia="Calibri" w:hAnsi="Calibri"/>
          <w:b/>
          <w:bCs/>
          <w:color w:val="0D2B4E"/>
          <w:sz w:val="52"/>
          <w:szCs w:val="52"/>
        </w:rPr>
        <w:t xml:space="preserve">Mentor Panel Guide</w:t>
      </w:r>
    </w:p>
    <w:p>
      <w:pPr>
        <w:spacing w:after="60" w:before="0"/>
        <w:jc w:val="center"/>
      </w:pPr>
      <w:r>
        <w:rPr>
          <w:rFonts w:ascii="Calibri" w:cs="Calibri" w:eastAsia="Calibri" w:hAnsi="Calibri"/>
          <w:i/>
          <w:iCs/>
          <w:color w:val="1565C0"/>
          <w:sz w:val="26"/>
          <w:szCs w:val="26"/>
        </w:rPr>
        <w:t xml:space="preserve">Tasty Bytes Global Expansion — SPCS Capstone</w:t>
      </w:r>
    </w:p>
    <w:p>
      <w:pPr>
        <w:pBdr>
          <w:bottom w:val="single" w:color="00897B" w:sz="6" w:space="1"/>
        </w:pBdr>
        <w:spacing w:after="200" w:before="40"/>
        <w:jc w:val="center"/>
      </w:pPr>
      <w:r>
        <w:t xml:space="preserve"/>
      </w:r>
    </w:p>
    <w:p>
      <w:pPr>
        <w:spacing w:after="60" w:before="0"/>
      </w:pPr>
      <w:r>
        <w:t xml:space="preserve"/>
      </w:r>
    </w:p>
    <w:p>
      <w:pPr>
        <w:spacing w:after="100" w:before="40"/>
      </w:pPr>
      <w:r>
        <w:rPr>
          <w:rFonts w:ascii="Calibri" w:cs="Calibri" w:eastAsia="Calibri" w:hAnsi="Calibri"/>
          <w:color w:val="455A64"/>
          <w:sz w:val="20"/>
          <w:szCs w:val="20"/>
        </w:rPr>
        <w:t xml:space="preserve">This guide contains the question bank for the final presentation panel, expected answers, and notes on how to calibrate difficulty. Select questions dynamically — the goal is not to trip every group identically, but to probe where each group is weakest.</w:t>
      </w:r>
    </w:p>
    <w:p>
      <w:pPr>
        <w:spacing w:after="500" w:before="0"/>
      </w:pPr>
      <w:r>
        <w:t xml:space="preserve"/>
      </w:r>
    </w:p>
    <w:p>
      <w:pPr>
        <w:spacing w:after="0" w:before="0"/>
        <w:jc w:val="center"/>
      </w:pPr>
      <w:r>
        <w:rPr>
          <w:rFonts w:ascii="Calibri" w:cs="Calibri" w:eastAsia="Calibri" w:hAnsi="Calibri"/>
          <w:color w:val="00897B"/>
          <w:sz w:val="18"/>
          <w:szCs w:val="18"/>
        </w:rPr>
        <w:t xml:space="preserve">hakkoda.io</w:t>
      </w:r>
    </w:p>
    <w:p>
      <w:r>
        <w:br w:type="page"/>
      </w:r>
    </w:p>
    <w:p>
      <w:pPr>
        <w:pStyle w:val="Heading1"/>
        <w:spacing w:after="140" w:before="300"/>
      </w:pPr>
      <w:r>
        <w:rPr>
          <w:rFonts w:ascii="Calibri" w:cs="Calibri" w:eastAsia="Calibri" w:hAnsi="Calibri"/>
          <w:b/>
          <w:bCs/>
          <w:color w:val="0D2B4E"/>
          <w:sz w:val="34"/>
          <w:szCs w:val="34"/>
        </w:rPr>
        <w:t xml:space="preserve">How to Use This Guide</w:t>
      </w:r>
    </w:p>
    <w:p>
      <w:pPr>
        <w:spacing w:after="100" w:before="40"/>
      </w:pPr>
      <w:r>
        <w:rPr>
          <w:rFonts w:ascii="Calibri" w:cs="Calibri" w:eastAsia="Calibri" w:hAnsi="Calibri"/>
          <w:color w:val="455A64"/>
          <w:sz w:val="20"/>
          <w:szCs w:val="20"/>
        </w:rPr>
        <w:t xml:space="preserve">The intern scenario document gives them the problem and hints but deliberately withholds the mechanisms and details. The panel Q&amp;A is where you separate the groups that dug deep from those that stayed on the surface.</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Before the Presentation</w:t>
      </w:r>
    </w:p>
    <w:p>
      <w:pPr>
        <w:pStyle w:val="ListParagraph"/>
        <w:numPr>
          <w:ilvl w:val="0"/>
          <w:numId w:val="2"/>
        </w:numPr>
        <w:spacing w:after="50" w:before="30"/>
      </w:pPr>
      <w:r>
        <w:rPr>
          <w:rFonts w:ascii="Calibri" w:cs="Calibri" w:eastAsia="Calibri" w:hAnsi="Calibri"/>
          <w:color w:val="455A64"/>
          <w:sz w:val="20"/>
          <w:szCs w:val="20"/>
        </w:rPr>
        <w:t xml:space="preserve">Read through all questions so they are fresh in your mind</w:t>
      </w:r>
    </w:p>
    <w:p>
      <w:pPr>
        <w:pStyle w:val="ListParagraph"/>
        <w:numPr>
          <w:ilvl w:val="0"/>
          <w:numId w:val="2"/>
        </w:numPr>
        <w:spacing w:after="50" w:before="30"/>
      </w:pPr>
      <w:r>
        <w:rPr>
          <w:rFonts w:ascii="Calibri" w:cs="Calibri" w:eastAsia="Calibri" w:hAnsi="Calibri"/>
          <w:color w:val="455A64"/>
          <w:sz w:val="20"/>
          <w:szCs w:val="20"/>
        </w:rPr>
        <w:t xml:space="preserve">Decide which stakeholder role you are playing and lean into its concerns</w:t>
      </w:r>
    </w:p>
    <w:p>
      <w:pPr>
        <w:pStyle w:val="ListParagraph"/>
        <w:numPr>
          <w:ilvl w:val="0"/>
          <w:numId w:val="2"/>
        </w:numPr>
        <w:spacing w:after="50" w:before="30"/>
      </w:pPr>
      <w:r>
        <w:rPr>
          <w:rFonts w:ascii="Calibri" w:cs="Calibri" w:eastAsia="Calibri" w:hAnsi="Calibri"/>
          <w:color w:val="455A64"/>
          <w:sz w:val="20"/>
          <w:szCs w:val="20"/>
        </w:rPr>
        <w:t xml:space="preserve">None of these questions are in the scenario document — some answers are in the repo, some require independent research, some require connecting dots across both</w:t>
      </w:r>
    </w:p>
    <w:p>
      <w:pPr>
        <w:pStyle w:val="ListParagraph"/>
        <w:numPr>
          <w:ilvl w:val="0"/>
          <w:numId w:val="2"/>
        </w:numPr>
        <w:spacing w:after="50" w:before="30"/>
      </w:pPr>
      <w:r>
        <w:rPr>
          <w:rFonts w:ascii="Calibri" w:cs="Calibri" w:eastAsia="Calibri" w:hAnsi="Calibri"/>
          <w:color w:val="455A64"/>
          <w:sz w:val="20"/>
          <w:szCs w:val="20"/>
        </w:rPr>
        <w:t xml:space="preserve">Tip: encourage interns to actually try running the app locally — those who do will answer Tier 2 questions much better</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During the Presentation</w:t>
      </w:r>
    </w:p>
    <w:p>
      <w:pPr>
        <w:pStyle w:val="ListParagraph"/>
        <w:numPr>
          <w:ilvl w:val="0"/>
          <w:numId w:val="2"/>
        </w:numPr>
        <w:spacing w:after="50" w:before="30"/>
      </w:pPr>
      <w:r>
        <w:rPr>
          <w:rFonts w:ascii="Calibri" w:cs="Calibri" w:eastAsia="Calibri" w:hAnsi="Calibri"/>
          <w:color w:val="455A64"/>
          <w:sz w:val="20"/>
          <w:szCs w:val="20"/>
        </w:rPr>
        <w:t xml:space="preserve">Let them finish presenting before starting questions</w:t>
      </w:r>
    </w:p>
    <w:p>
      <w:pPr>
        <w:pStyle w:val="ListParagraph"/>
        <w:numPr>
          <w:ilvl w:val="0"/>
          <w:numId w:val="2"/>
        </w:numPr>
        <w:spacing w:after="50" w:before="30"/>
      </w:pPr>
      <w:r>
        <w:rPr>
          <w:rFonts w:ascii="Calibri" w:cs="Calibri" w:eastAsia="Calibri" w:hAnsi="Calibri"/>
          <w:color w:val="455A64"/>
          <w:sz w:val="20"/>
          <w:szCs w:val="20"/>
        </w:rPr>
        <w:t xml:space="preserve">Start with a Tier 1 question to set them at ease, then escalate</w:t>
      </w:r>
    </w:p>
    <w:p>
      <w:pPr>
        <w:pStyle w:val="ListParagraph"/>
        <w:numPr>
          <w:ilvl w:val="0"/>
          <w:numId w:val="2"/>
        </w:numPr>
        <w:spacing w:after="50" w:before="30"/>
      </w:pPr>
      <w:r>
        <w:rPr>
          <w:rFonts w:ascii="Calibri" w:cs="Calibri" w:eastAsia="Calibri" w:hAnsi="Calibri"/>
          <w:color w:val="455A64"/>
          <w:sz w:val="20"/>
          <w:szCs w:val="20"/>
        </w:rPr>
        <w:t xml:space="preserve">If a group is clearly strong, go directly to Tier 3</w:t>
      </w:r>
    </w:p>
    <w:p>
      <w:pPr>
        <w:pStyle w:val="ListParagraph"/>
        <w:numPr>
          <w:ilvl w:val="0"/>
          <w:numId w:val="2"/>
        </w:numPr>
        <w:spacing w:after="50" w:before="30"/>
      </w:pPr>
      <w:r>
        <w:rPr>
          <w:rFonts w:ascii="Calibri" w:cs="Calibri" w:eastAsia="Calibri" w:hAnsi="Calibri"/>
          <w:color w:val="455A64"/>
          <w:sz w:val="20"/>
          <w:szCs w:val="20"/>
        </w:rPr>
        <w:t xml:space="preserve">If a group is struggling, stick to Tier 1-2 and use follow-ups to guide them toward the insight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4"/>
              <w:left w:val="single" w:color="00897B" w:sz="16"/>
              <w:bottom w:val="single" w:color="00897B" w:sz="4"/>
              <w:right w:val="none" w:color="FFFFFF" w:sz="0"/>
            </w:tcBorders>
            <w:shd w:fill="F1F8F6" w:val="clear"/>
            <w:tcMar>
              <w:top w:type="dxa" w:w="140"/>
              <w:left w:type="dxa" w:w="220"/>
              <w:bottom w:type="dxa" w:w="140"/>
              <w:right w:type="dxa" w:w="220"/>
            </w:tcMar>
          </w:tcPr>
          <w:p>
            <w:pPr>
              <w:spacing w:after="60" w:before="0"/>
            </w:pPr>
            <w:r>
              <w:rPr>
                <w:rFonts w:ascii="Calibri" w:cs="Calibri" w:eastAsia="Calibri" w:hAnsi="Calibri"/>
                <w:b/>
                <w:bCs/>
                <w:color w:val="00897B"/>
                <w:sz w:val="20"/>
                <w:szCs w:val="20"/>
              </w:rPr>
              <w:t xml:space="preserve">Scoring Philosophy</w:t>
            </w:r>
          </w:p>
          <w:p>
            <w:pPr>
              <w:spacing w:after="40" w:before="0"/>
            </w:pPr>
            <w:r>
              <w:rPr>
                <w:rFonts w:ascii="Calibri" w:cs="Calibri" w:eastAsia="Calibri" w:hAnsi="Calibri"/>
                <w:color w:val="455A64"/>
                <w:sz w:val="20"/>
                <w:szCs w:val="20"/>
              </w:rPr>
              <w:t xml:space="preserve">The goal is not to fail anyone. The goal is to surface who researched independently, who connected dots across the repo and the business problem, and who can think on their feet.</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A group that says 'we don't know but here's how we'd find out' scores higher than a group that guesses confidently and is wrong.</w:t>
            </w:r>
          </w:p>
        </w:tc>
      </w:tr>
    </w:tbl>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Tier 1 — Baseline Questions</w:t>
      </w:r>
    </w:p>
    <w:p>
      <w:pPr>
        <w:spacing w:after="100" w:before="40"/>
      </w:pPr>
      <w:r>
        <w:rPr>
          <w:rFonts w:ascii="Calibri" w:cs="Calibri" w:eastAsia="Calibri" w:hAnsi="Calibri"/>
          <w:color w:val="455A64"/>
          <w:sz w:val="20"/>
          <w:szCs w:val="20"/>
        </w:rPr>
        <w:t xml:space="preserve">These test whether the group explored the repository and understood the scenario. Any group that did the work should answer these.</w:t>
      </w:r>
    </w:p>
    <w:p>
      <w:pPr>
        <w:spacing w:after="80" w:before="0"/>
      </w:pPr>
      <w:r>
        <w:t xml:space="preserve"/>
      </w:r>
    </w:p>
    <w:p>
      <w:pPr>
        <w:spacing w:after="40" w:before="80"/>
      </w:pPr>
      <w:r>
        <w:rPr>
          <w:rFonts w:ascii="Calibri" w:cs="Calibri" w:eastAsia="Calibri" w:hAnsi="Calibri"/>
          <w:b/>
          <w:bCs/>
          <w:color w:val="C62828"/>
          <w:sz w:val="22"/>
          <w:szCs w:val="22"/>
        </w:rPr>
        <w:t xml:space="preserve">Q1</w:t>
      </w:r>
      <w:r>
        <w:rPr>
          <w:rFonts w:ascii="Calibri" w:cs="Calibri" w:eastAsia="Calibri" w:hAnsi="Calibri"/>
          <w:b/>
          <w:bCs/>
          <w:color w:val="0D2B4E"/>
          <w:sz w:val="22"/>
          <w:szCs w:val="22"/>
        </w:rPr>
        <w:t xml:space="preserve">  —  What does the NGINX router actually do in this architecture, and why can't you just remove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understand CORS and why the browser blocks cross-origin API calls — requires reading the code.</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The router is a reverse proxy. When the React app (running in the user's browser) calls the backend API, the browser's CORS policy blocks it because they're different origins. The router solves this by acting as a single public entry point — /api/* calls are rewritten and forwarded to the backend internally, which is a service-to-service call that doesn't trigger CORS. Without the router, all API calls from the browser would be blocked, and SPCS doesn't allow adding custom CORS headers because it strips request headers at the ingress for security reasons.</w:t>
      </w:r>
    </w:p>
    <w:p>
      <w:pPr>
        <w:spacing w:after="80" w:before="0"/>
      </w:pPr>
      <w:r>
        <w:t xml:space="preserve"/>
      </w:r>
    </w:p>
    <w:p>
      <w:pPr>
        <w:spacing w:after="60" w:before="160"/>
      </w:pPr>
      <w:r>
        <w:rPr>
          <w:rFonts w:ascii="Calibri" w:cs="Calibri" w:eastAsia="Calibri" w:hAnsi="Calibri"/>
          <w:b/>
          <w:bCs/>
          <w:color w:val="00897B"/>
          <w:sz w:val="22"/>
          <w:szCs w:val="22"/>
        </w:rPr>
        <w:t xml:space="preserve">Follow-up if they answer well</w:t>
      </w:r>
    </w:p>
    <w:p>
      <w:pPr>
        <w:spacing w:after="100" w:before="40"/>
      </w:pPr>
      <w:r>
        <w:rPr>
          <w:rFonts w:ascii="Calibri" w:cs="Calibri" w:eastAsia="Calibri" w:hAnsi="Calibri"/>
          <w:color w:val="455A64"/>
          <w:sz w:val="20"/>
          <w:szCs w:val="20"/>
        </w:rPr>
        <w:t xml:space="preserve">"If you could add your own headers to the ingress endpoint, would you still need the router?" Expected: No — but SPCS prevents this intentionally to stop spoofed authentication headers, which is also why the Sf-Context-Current-User header is trustworthy.</w:t>
      </w:r>
    </w:p>
    <w:p>
      <w:pPr>
        <w:spacing w:after="100" w:before="0"/>
      </w:pPr>
      <w:r>
        <w:t xml:space="preserve"/>
      </w:r>
    </w:p>
    <w:p>
      <w:pPr>
        <w:spacing w:after="40" w:before="80"/>
      </w:pPr>
      <w:r>
        <w:rPr>
          <w:rFonts w:ascii="Calibri" w:cs="Calibri" w:eastAsia="Calibri" w:hAnsi="Calibri"/>
          <w:b/>
          <w:bCs/>
          <w:color w:val="C62828"/>
          <w:sz w:val="22"/>
          <w:szCs w:val="22"/>
        </w:rPr>
        <w:t xml:space="preserve">Q2</w:t>
      </w:r>
      <w:r>
        <w:rPr>
          <w:rFonts w:ascii="Calibri" w:cs="Calibri" w:eastAsia="Calibri" w:hAnsi="Calibri"/>
          <w:b/>
          <w:bCs/>
          <w:color w:val="0D2B4E"/>
          <w:sz w:val="22"/>
          <w:szCs w:val="22"/>
        </w:rPr>
        <w:t xml:space="preserve">  —  Walk me through what happens to franchise data between when the query runs and when it appears on screen. In the new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can trace the data flow end-to-end and articulate that data never leaves Snowflake's network boundary.</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The franchisee's browser calls the public ingress endpoint. SPCS OAuth has authenticated them, so Sf-Context-Current-User is injected. The request hits the NGINX router, which forwards to the backend container running inside Snowflake. The backend executes SQL against the ORDERS table using an OAuth token mounted at /snowflake/session/token. The result returns through the same internal path as JSON. At no point does data travel outside Snowflake's network boundary.</w:t>
      </w:r>
    </w:p>
    <w:p>
      <w:pPr>
        <w:spacing w:after="80" w:before="0"/>
      </w:pPr>
      <w:r>
        <w:t xml:space="preserve"/>
      </w:r>
    </w:p>
    <w:p>
      <w:pPr>
        <w:spacing w:after="60" w:before="160"/>
      </w:pPr>
      <w:r>
        <w:rPr>
          <w:rFonts w:ascii="Calibri" w:cs="Calibri" w:eastAsia="Calibri" w:hAnsi="Calibri"/>
          <w:b/>
          <w:bCs/>
          <w:color w:val="00897B"/>
          <w:sz w:val="22"/>
          <w:szCs w:val="22"/>
        </w:rPr>
        <w:t xml:space="preserve">Pressure test</w:t>
      </w:r>
    </w:p>
    <w:p>
      <w:pPr>
        <w:spacing w:after="100" w:before="40"/>
      </w:pPr>
      <w:r>
        <w:rPr>
          <w:rFonts w:ascii="Calibri" w:cs="Calibri" w:eastAsia="Calibri" w:hAnsi="Calibri"/>
          <w:color w:val="455A64"/>
          <w:sz w:val="20"/>
          <w:szCs w:val="20"/>
        </w:rPr>
        <w:t xml:space="preserve">"In the old architecture on EC2, where did the data go?" Expected: From Snowflake, across the public internet (encrypted), to EC2, then back to the browser. Two network hops instead of zero.</w:t>
      </w:r>
    </w:p>
    <w:p>
      <w:pPr>
        <w:spacing w:after="100" w:before="0"/>
      </w:pPr>
      <w:r>
        <w:t xml:space="preserve"/>
      </w:r>
    </w:p>
    <w:p>
      <w:pPr>
        <w:spacing w:after="40" w:before="80"/>
      </w:pPr>
      <w:r>
        <w:rPr>
          <w:rFonts w:ascii="Calibri" w:cs="Calibri" w:eastAsia="Calibri" w:hAnsi="Calibri"/>
          <w:b/>
          <w:bCs/>
          <w:color w:val="C62828"/>
          <w:sz w:val="22"/>
          <w:szCs w:val="22"/>
        </w:rPr>
        <w:t xml:space="preserve">Q3</w:t>
      </w:r>
      <w:r>
        <w:rPr>
          <w:rFonts w:ascii="Calibri" w:cs="Calibri" w:eastAsia="Calibri" w:hAnsi="Calibri"/>
          <w:b/>
          <w:bCs/>
          <w:color w:val="0D2B4E"/>
          <w:sz w:val="22"/>
          <w:szCs w:val="22"/>
        </w:rPr>
        <w:t xml:space="preserve">  —  Why does SPCS use two separate Compute Pools for the frontend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read the SQL setup files and understood the instance family choices.</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The backend does compute-intensive work — querying Snowflake, processing data — so it uses a larger instance family (CPU_X64_S). The frontend mostly serves static files so it uses CPU_X64_XS. Separating the pools allows independent scaling: if franchise usage spikes at lunch, you can scale backend nodes without wasting money on frontend.</w:t>
      </w:r>
    </w:p>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Tier 2 — Inference Questions</w:t>
      </w:r>
    </w:p>
    <w:p>
      <w:pPr>
        <w:spacing w:after="100" w:before="40"/>
      </w:pPr>
      <w:r>
        <w:rPr>
          <w:rFonts w:ascii="Calibri" w:cs="Calibri" w:eastAsia="Calibri" w:hAnsi="Calibri"/>
          <w:color w:val="455A64"/>
          <w:sz w:val="20"/>
          <w:szCs w:val="20"/>
        </w:rPr>
        <w:t xml:space="preserve">These require connecting information hinted at in the scenario but never explained. The answer is in the repo or Snowflake docs — but they had to find it themselves.</w:t>
      </w:r>
    </w:p>
    <w:p>
      <w:pPr>
        <w:spacing w:after="80" w:before="0"/>
      </w:pPr>
      <w:r>
        <w:t xml:space="preserve"/>
      </w:r>
    </w:p>
    <w:p>
      <w:pPr>
        <w:spacing w:after="40" w:before="80"/>
      </w:pPr>
      <w:r>
        <w:rPr>
          <w:rFonts w:ascii="Calibri" w:cs="Calibri" w:eastAsia="Calibri" w:hAnsi="Calibri"/>
          <w:b/>
          <w:bCs/>
          <w:color w:val="C62828"/>
          <w:sz w:val="22"/>
          <w:szCs w:val="22"/>
        </w:rPr>
        <w:t xml:space="preserve">Q4</w:t>
      </w:r>
      <w:r>
        <w:rPr>
          <w:rFonts w:ascii="Calibri" w:cs="Calibri" w:eastAsia="Calibri" w:hAnsi="Calibri"/>
          <w:b/>
          <w:bCs/>
          <w:color w:val="0D2B4E"/>
          <w:sz w:val="22"/>
          <w:szCs w:val="22"/>
        </w:rPr>
        <w:t xml:space="preserve">  —  In the old architecture the backend connected to Snowflake with a service account and password. How does that change in SPCS, and why is it more 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explored connect.js and understood the /snowflake/session/token OAuth mechanism.</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In SPCS, each running service gets an OAuth token automatically mounted at /snowflake/session/token. The backend reads this file at startup and uses it to authenticate — no username, password, or private key to manage or rotate. The token is ephemeral and scoped to the role that owns the service. This is more secure because there are no long-lived credentials that could be leaked through a misconfigured environment variable or stolen .env file.</w:t>
      </w:r>
    </w:p>
    <w:p>
      <w:pPr>
        <w:spacing w:after="80" w:before="0"/>
      </w:pPr>
      <w:r>
        <w:t xml:space="preserve"/>
      </w:r>
    </w:p>
    <w:p>
      <w:pPr>
        <w:spacing w:after="60" w:before="160"/>
      </w:pPr>
      <w:r>
        <w:rPr>
          <w:rFonts w:ascii="Calibri" w:cs="Calibri" w:eastAsia="Calibri" w:hAnsi="Calibri"/>
          <w:b/>
          <w:bCs/>
          <w:color w:val="00897B"/>
          <w:sz w:val="22"/>
          <w:szCs w:val="22"/>
        </w:rPr>
        <w:t xml:space="preserve">Follow-up</w:t>
      </w:r>
    </w:p>
    <w:p>
      <w:pPr>
        <w:spacing w:after="100" w:before="40"/>
      </w:pPr>
      <w:r>
        <w:rPr>
          <w:rFonts w:ascii="Calibri" w:cs="Calibri" w:eastAsia="Calibri" w:hAnsi="Calibri"/>
          <w:color w:val="455A64"/>
          <w:sz w:val="20"/>
          <w:szCs w:val="20"/>
        </w:rPr>
        <w:t xml:space="preserve">"What role does the service connect as?" Expected: tasty_app_admin_role — the owner role. In production you'd want minimum permissions on that role.</w:t>
      </w:r>
    </w:p>
    <w:p>
      <w:pPr>
        <w:spacing w:after="100" w:before="0"/>
      </w:pPr>
      <w:r>
        <w:t xml:space="preserve"/>
      </w:r>
    </w:p>
    <w:p>
      <w:pPr>
        <w:spacing w:after="40" w:before="80"/>
      </w:pPr>
      <w:r>
        <w:rPr>
          <w:rFonts w:ascii="Calibri" w:cs="Calibri" w:eastAsia="Calibri" w:hAnsi="Calibri"/>
          <w:b/>
          <w:bCs/>
          <w:color w:val="C62828"/>
          <w:sz w:val="22"/>
          <w:szCs w:val="22"/>
        </w:rPr>
        <w:t xml:space="preserve">Q5</w:t>
      </w:r>
      <w:r>
        <w:rPr>
          <w:rFonts w:ascii="Calibri" w:cs="Calibri" w:eastAsia="Calibri" w:hAnsi="Calibri"/>
          <w:b/>
          <w:bCs/>
          <w:color w:val="0D2B4E"/>
          <w:sz w:val="22"/>
          <w:szCs w:val="22"/>
        </w:rPr>
        <w:t xml:space="preserve">  —  Your proposal uses SPCS compute pools for scaling. How exactly does scaling work — and what does it cost when no franchisees are using the app at 3am?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researched SPCS pricing — not in the scenario doc at all. Requires independent research.</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Compute pools scale by adding nodes between MIN_NODES and MAX_NODES. In the reference implementation both pools are MIN=1, MAX=1. In production you'd set a higher MAX and Snowflake adds nodes under load. Critical pricing detail: you are billed per node per second whether idle or active. At 3am with MIN_NODES=1, you're still paying for that node. The solution is MIN_NODES=0 (cold start latency tradeoff) or Job Services for batch workloads.</w:t>
      </w:r>
    </w:p>
    <w:p>
      <w:pPr>
        <w:spacing w:after="100" w:before="0"/>
      </w:pPr>
      <w:r>
        <w:t xml:space="preserve"/>
      </w:r>
    </w:p>
    <w:p>
      <w:pPr>
        <w:spacing w:after="40" w:before="80"/>
      </w:pPr>
      <w:r>
        <w:rPr>
          <w:rFonts w:ascii="Calibri" w:cs="Calibri" w:eastAsia="Calibri" w:hAnsi="Calibri"/>
          <w:b/>
          <w:bCs/>
          <w:color w:val="C62828"/>
          <w:sz w:val="22"/>
          <w:szCs w:val="22"/>
        </w:rPr>
        <w:t xml:space="preserve">Q6</w:t>
      </w:r>
      <w:r>
        <w:rPr>
          <w:rFonts w:ascii="Calibri" w:cs="Calibri" w:eastAsia="Calibri" w:hAnsi="Calibri"/>
          <w:b/>
          <w:bCs/>
          <w:color w:val="0D2B4E"/>
          <w:sz w:val="22"/>
          <w:szCs w:val="22"/>
        </w:rPr>
        <w:t xml:space="preserve">  —  Does running on SPCS automatically make Tasty Bytes GDPR and LGPD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Critical thinking — the scenario implied SPCS helps with compliance but 'helps' and 'guarantees' are different.</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No. SPCS eliminates one specific risk — data leaving Snowflake's network during processing. But GDPR and LGPD also require data residency controls (which cloud region?), right-to-erasure capabilities, audit logging, data processing agreements with Snowflake as a sub-processor, and potentially a DPIA. SPCS is a useful architectural control, but compliance is a broader organizational and legal effort.</w:t>
      </w:r>
    </w:p>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Tier 3 — Curveball Questions</w:t>
      </w:r>
    </w:p>
    <w:p>
      <w:pPr>
        <w:spacing w:after="100" w:before="40"/>
      </w:pPr>
      <w:r>
        <w:rPr>
          <w:rFonts w:ascii="Calibri" w:cs="Calibri" w:eastAsia="Calibri" w:hAnsi="Calibri"/>
          <w:color w:val="455A64"/>
          <w:sz w:val="20"/>
          <w:szCs w:val="20"/>
        </w:rPr>
        <w:t xml:space="preserve">No direct answer in the scenario or repo. Requires synthesis, extrapolation, or knowledge the intern brought from their CS background. Use for strong groups or to close a Q&amp;A on a challenge.</w:t>
      </w:r>
    </w:p>
    <w:p>
      <w:pPr>
        <w:spacing w:after="80" w:before="0"/>
      </w:pPr>
      <w:r>
        <w:t xml:space="preserve"/>
      </w:r>
    </w:p>
    <w:p>
      <w:pPr>
        <w:spacing w:after="40" w:before="80"/>
      </w:pPr>
      <w:r>
        <w:rPr>
          <w:rFonts w:ascii="Calibri" w:cs="Calibri" w:eastAsia="Calibri" w:hAnsi="Calibri"/>
          <w:b/>
          <w:bCs/>
          <w:color w:val="C62828"/>
          <w:sz w:val="22"/>
          <w:szCs w:val="22"/>
        </w:rPr>
        <w:t xml:space="preserve">Q7</w:t>
      </w:r>
      <w:r>
        <w:rPr>
          <w:rFonts w:ascii="Calibri" w:cs="Calibri" w:eastAsia="Calibri" w:hAnsi="Calibri"/>
          <w:b/>
          <w:bCs/>
          <w:color w:val="0D2B4E"/>
          <w:sz w:val="22"/>
          <w:szCs w:val="22"/>
        </w:rPr>
        <w:t xml:space="preserve">  —  Tasty Bytes wants to add AI-powered menu recommendations based on historical sales. How does your architecture support or need to change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understand SPCS GPU support and Snowflake ML capabilities, and can extrapolate into a new use case.</w:t>
            </w:r>
          </w:p>
        </w:tc>
      </w:tr>
    </w:tbl>
    <w:p>
      <w:pPr>
        <w:spacing w:after="40" w:before="0"/>
      </w:pPr>
      <w:r>
        <w:t xml:space="preserve"/>
      </w:r>
    </w:p>
    <w:p>
      <w:pPr>
        <w:spacing w:after="60" w:before="160"/>
      </w:pPr>
      <w:r>
        <w:rPr>
          <w:rFonts w:ascii="Calibri" w:cs="Calibri" w:eastAsia="Calibri" w:hAnsi="Calibri"/>
          <w:b/>
          <w:bCs/>
          <w:color w:val="00897B"/>
          <w:sz w:val="22"/>
          <w:szCs w:val="22"/>
        </w:rPr>
        <w:t xml:space="preserve">Key points</w:t>
      </w:r>
    </w:p>
    <w:p>
      <w:pPr>
        <w:pStyle w:val="ListParagraph"/>
        <w:numPr>
          <w:ilvl w:val="0"/>
          <w:numId w:val="2"/>
        </w:numPr>
        <w:spacing w:after="50" w:before="30"/>
      </w:pPr>
      <w:r>
        <w:rPr>
          <w:rFonts w:ascii="Calibri" w:cs="Calibri" w:eastAsia="Calibri" w:hAnsi="Calibri"/>
          <w:color w:val="455A64"/>
          <w:sz w:val="20"/>
          <w:szCs w:val="20"/>
        </w:rPr>
        <w:t xml:space="preserve">SPCS supports GPU instance families — model inference could run as a separate SPCS service</w:t>
      </w:r>
    </w:p>
    <w:p>
      <w:pPr>
        <w:pStyle w:val="ListParagraph"/>
        <w:numPr>
          <w:ilvl w:val="0"/>
          <w:numId w:val="2"/>
        </w:numPr>
        <w:spacing w:after="50" w:before="30"/>
      </w:pPr>
      <w:r>
        <w:rPr>
          <w:rFonts w:ascii="Calibri" w:cs="Calibri" w:eastAsia="Calibri" w:hAnsi="Calibri"/>
          <w:color w:val="455A64"/>
          <w:sz w:val="20"/>
          <w:szCs w:val="20"/>
        </w:rPr>
        <w:t xml:space="preserve">Snowflake Cortex ML Functions can run inference directly in SQL without a separate service</w:t>
      </w:r>
    </w:p>
    <w:p>
      <w:pPr>
        <w:pStyle w:val="ListParagraph"/>
        <w:numPr>
          <w:ilvl w:val="0"/>
          <w:numId w:val="2"/>
        </w:numPr>
        <w:spacing w:after="50" w:before="30"/>
      </w:pPr>
      <w:r>
        <w:rPr>
          <w:rFonts w:ascii="Calibri" w:cs="Calibri" w:eastAsia="Calibri" w:hAnsi="Calibri"/>
          <w:color w:val="455A64"/>
          <w:sz w:val="20"/>
          <w:szCs w:val="20"/>
        </w:rPr>
        <w:t xml:space="preserve">The training data (ORDERS) is already in Snowflake — no ETL needed</w:t>
      </w:r>
    </w:p>
    <w:p>
      <w:pPr>
        <w:pStyle w:val="ListParagraph"/>
        <w:numPr>
          <w:ilvl w:val="0"/>
          <w:numId w:val="2"/>
        </w:numPr>
        <w:spacing w:after="50" w:before="30"/>
      </w:pPr>
      <w:r>
        <w:rPr>
          <w:rFonts w:ascii="Calibri" w:cs="Calibri" w:eastAsia="Calibri" w:hAnsi="Calibri"/>
          <w:color w:val="455A64"/>
          <w:sz w:val="20"/>
          <w:szCs w:val="20"/>
        </w:rPr>
        <w:t xml:space="preserve">Strong answer: propose a separate ML service in SPCS so recommendation logic is isolated from the analytics API</w:t>
      </w:r>
    </w:p>
    <w:p>
      <w:pPr>
        <w:spacing w:after="100" w:before="0"/>
      </w:pPr>
      <w:r>
        <w:t xml:space="preserve"/>
      </w:r>
    </w:p>
    <w:p>
      <w:pPr>
        <w:spacing w:after="40" w:before="80"/>
      </w:pPr>
      <w:r>
        <w:rPr>
          <w:rFonts w:ascii="Calibri" w:cs="Calibri" w:eastAsia="Calibri" w:hAnsi="Calibri"/>
          <w:b/>
          <w:bCs/>
          <w:color w:val="C62828"/>
          <w:sz w:val="22"/>
          <w:szCs w:val="22"/>
        </w:rPr>
        <w:t xml:space="preserve">Q8</w:t>
      </w:r>
      <w:r>
        <w:rPr>
          <w:rFonts w:ascii="Calibri" w:cs="Calibri" w:eastAsia="Calibri" w:hAnsi="Calibri"/>
          <w:b/>
          <w:bCs/>
          <w:color w:val="0D2B4E"/>
          <w:sz w:val="22"/>
          <w:szCs w:val="22"/>
        </w:rPr>
        <w:t xml:space="preserve">  —  A franchisee in Brazil says the app is down. Walk me through how you'd diagnose the problem in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Operational thinking. Strong CS students know architectures but often haven't thought about observability — a deliberate gap.</w:t>
            </w:r>
          </w:p>
        </w:tc>
      </w:tr>
    </w:tbl>
    <w:p>
      <w:pPr>
        <w:spacing w:after="40" w:before="0"/>
      </w:pPr>
      <w:r>
        <w:t xml:space="preserve"/>
      </w:r>
    </w:p>
    <w:p>
      <w:pPr>
        <w:spacing w:after="60" w:before="160"/>
      </w:pPr>
      <w:r>
        <w:rPr>
          <w:rFonts w:ascii="Calibri" w:cs="Calibri" w:eastAsia="Calibri" w:hAnsi="Calibri"/>
          <w:b/>
          <w:bCs/>
          <w:color w:val="00897B"/>
          <w:sz w:val="22"/>
          <w:szCs w:val="22"/>
        </w:rPr>
        <w:t xml:space="preserve">Key points</w:t>
      </w:r>
    </w:p>
    <w:p>
      <w:pPr>
        <w:pStyle w:val="ListParagraph"/>
        <w:numPr>
          <w:ilvl w:val="0"/>
          <w:numId w:val="2"/>
        </w:numPr>
        <w:spacing w:after="50" w:before="30"/>
      </w:pPr>
      <w:r>
        <w:rPr>
          <w:rFonts w:ascii="Calibri" w:cs="Calibri" w:eastAsia="Calibri" w:hAnsi="Calibri"/>
          <w:color w:val="455A64"/>
          <w:sz w:val="20"/>
          <w:szCs w:val="20"/>
        </w:rPr>
        <w:t xml:space="preserve">SYSTEM$GET_SERVICE_STATUS — check if service is READY, FAILED, or PENDING</w:t>
      </w:r>
    </w:p>
    <w:p>
      <w:pPr>
        <w:pStyle w:val="ListParagraph"/>
        <w:numPr>
          <w:ilvl w:val="0"/>
          <w:numId w:val="2"/>
        </w:numPr>
        <w:spacing w:after="50" w:before="30"/>
      </w:pPr>
      <w:r>
        <w:rPr>
          <w:rFonts w:ascii="Calibri" w:cs="Calibri" w:eastAsia="Calibri" w:hAnsi="Calibri"/>
          <w:color w:val="455A64"/>
          <w:sz w:val="20"/>
          <w:szCs w:val="20"/>
        </w:rPr>
        <w:t xml:space="preserve">SYSTEM$GET_SERVICE_LOGS — pull container logs (separate calls for frontend and router containers)</w:t>
      </w:r>
    </w:p>
    <w:p>
      <w:pPr>
        <w:pStyle w:val="ListParagraph"/>
        <w:numPr>
          <w:ilvl w:val="0"/>
          <w:numId w:val="2"/>
        </w:numPr>
        <w:spacing w:after="50" w:before="30"/>
      </w:pPr>
      <w:r>
        <w:rPr>
          <w:rFonts w:ascii="Calibri" w:cs="Calibri" w:eastAsia="Calibri" w:hAnsi="Calibri"/>
          <w:color w:val="455A64"/>
          <w:sz w:val="20"/>
          <w:szCs w:val="20"/>
        </w:rPr>
        <w:t xml:space="preserve">Check if compute pool has available nodes — could be at MAX_NODES</w:t>
      </w:r>
    </w:p>
    <w:p>
      <w:pPr>
        <w:pStyle w:val="ListParagraph"/>
        <w:numPr>
          <w:ilvl w:val="0"/>
          <w:numId w:val="2"/>
        </w:numPr>
        <w:spacing w:after="50" w:before="30"/>
      </w:pPr>
      <w:r>
        <w:rPr>
          <w:rFonts w:ascii="Calibri" w:cs="Calibri" w:eastAsia="Calibri" w:hAnsi="Calibri"/>
          <w:color w:val="455A64"/>
          <w:sz w:val="20"/>
          <w:szCs w:val="20"/>
        </w:rPr>
        <w:t xml:space="preserve">Check the Virtual Warehouse — if suspended or at capacity, queries will queue</w:t>
      </w:r>
    </w:p>
    <w:p>
      <w:pPr>
        <w:pStyle w:val="ListParagraph"/>
        <w:numPr>
          <w:ilvl w:val="0"/>
          <w:numId w:val="2"/>
        </w:numPr>
        <w:spacing w:after="50" w:before="30"/>
      </w:pPr>
      <w:r>
        <w:rPr>
          <w:rFonts w:ascii="Calibri" w:cs="Calibri" w:eastAsia="Calibri" w:hAnsi="Calibri"/>
          <w:color w:val="455A64"/>
          <w:sz w:val="20"/>
          <w:szCs w:val="20"/>
        </w:rPr>
        <w:t xml:space="preserve">Strong answer: mention that SPCS doesn't natively expose metrics to tools like Datadog — external monitoring is a gap</w:t>
      </w:r>
    </w:p>
    <w:p>
      <w:pPr>
        <w:spacing w:after="100" w:before="0"/>
      </w:pPr>
      <w:r>
        <w:t xml:space="preserve"/>
      </w:r>
    </w:p>
    <w:p>
      <w:pPr>
        <w:spacing w:after="40" w:before="80"/>
      </w:pPr>
      <w:r>
        <w:rPr>
          <w:rFonts w:ascii="Calibri" w:cs="Calibri" w:eastAsia="Calibri" w:hAnsi="Calibri"/>
          <w:b/>
          <w:bCs/>
          <w:color w:val="C62828"/>
          <w:sz w:val="22"/>
          <w:szCs w:val="22"/>
        </w:rPr>
        <w:t xml:space="preserve">Q9</w:t>
      </w:r>
      <w:r>
        <w:rPr>
          <w:rFonts w:ascii="Calibri" w:cs="Calibri" w:eastAsia="Calibri" w:hAnsi="Calibri"/>
          <w:b/>
          <w:bCs/>
          <w:color w:val="0D2B4E"/>
          <w:sz w:val="22"/>
          <w:szCs w:val="22"/>
        </w:rPr>
        <w:t xml:space="preserve">  —  The CTO asks: 'What happens if we want to leave Snowflake in three years?' How do you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Vendor lock-in is the elephant in the room for this architecture. Most groups won't have thought about it.</w:t>
            </w:r>
          </w:p>
        </w:tc>
      </w:tr>
    </w:tbl>
    <w:p>
      <w:pPr>
        <w:spacing w:after="40" w:before="0"/>
      </w:pPr>
      <w:r>
        <w:t xml:space="preserve"/>
      </w:r>
    </w:p>
    <w:p>
      <w:pPr>
        <w:spacing w:after="60" w:before="160"/>
      </w:pPr>
      <w:r>
        <w:rPr>
          <w:rFonts w:ascii="Calibri" w:cs="Calibri" w:eastAsia="Calibri" w:hAnsi="Calibri"/>
          <w:b/>
          <w:bCs/>
          <w:color w:val="00897B"/>
          <w:sz w:val="22"/>
          <w:szCs w:val="22"/>
        </w:rPr>
        <w:t xml:space="preserve">Key points</w:t>
      </w:r>
    </w:p>
    <w:p>
      <w:pPr>
        <w:pStyle w:val="ListParagraph"/>
        <w:numPr>
          <w:ilvl w:val="0"/>
          <w:numId w:val="2"/>
        </w:numPr>
        <w:spacing w:after="50" w:before="30"/>
      </w:pPr>
      <w:r>
        <w:rPr>
          <w:rFonts w:ascii="Calibri" w:cs="Calibri" w:eastAsia="Calibri" w:hAnsi="Calibri"/>
          <w:color w:val="455A64"/>
          <w:sz w:val="20"/>
          <w:szCs w:val="20"/>
        </w:rPr>
        <w:t xml:space="preserve">Application code (Node.js + React) is portable — runs in any container environment</w:t>
      </w:r>
    </w:p>
    <w:p>
      <w:pPr>
        <w:pStyle w:val="ListParagraph"/>
        <w:numPr>
          <w:ilvl w:val="0"/>
          <w:numId w:val="2"/>
        </w:numPr>
        <w:spacing w:after="50" w:before="30"/>
      </w:pPr>
      <w:r>
        <w:rPr>
          <w:rFonts w:ascii="Calibri" w:cs="Calibri" w:eastAsia="Calibri" w:hAnsi="Calibri"/>
          <w:color w:val="455A64"/>
          <w:sz w:val="20"/>
          <w:szCs w:val="20"/>
        </w:rPr>
        <w:t xml:space="preserve">SPCS-specific parts: Sf-Context-Current-User header auth and /snowflake/session/token — both need refactoring</w:t>
      </w:r>
    </w:p>
    <w:p>
      <w:pPr>
        <w:pStyle w:val="ListParagraph"/>
        <w:numPr>
          <w:ilvl w:val="0"/>
          <w:numId w:val="2"/>
        </w:numPr>
        <w:spacing w:after="50" w:before="30"/>
      </w:pPr>
      <w:r>
        <w:rPr>
          <w:rFonts w:ascii="Calibri" w:cs="Calibri" w:eastAsia="Calibri" w:hAnsi="Calibri"/>
          <w:color w:val="455A64"/>
          <w:sz w:val="20"/>
          <w:szCs w:val="20"/>
        </w:rPr>
        <w:t xml:space="preserve">The data itself (ORDERS table) is the highest migration cost</w:t>
      </w:r>
    </w:p>
    <w:p>
      <w:pPr>
        <w:pStyle w:val="ListParagraph"/>
        <w:numPr>
          <w:ilvl w:val="0"/>
          <w:numId w:val="2"/>
        </w:numPr>
        <w:spacing w:after="50" w:before="30"/>
      </w:pPr>
      <w:r>
        <w:rPr>
          <w:rFonts w:ascii="Calibri" w:cs="Calibri" w:eastAsia="Calibri" w:hAnsi="Calibri"/>
          <w:color w:val="455A64"/>
          <w:sz w:val="20"/>
          <w:szCs w:val="20"/>
        </w:rPr>
        <w:t xml:space="preserve">Strong answer: lock-in is real but manageable. A phased exit starts with rehosting containers on ECS/GKE with a Snowflake connector, before tackling data migration</w:t>
      </w:r>
    </w:p>
    <w:p>
      <w:pPr>
        <w:spacing w:after="100" w:before="0"/>
      </w:pPr>
      <w:r>
        <w:t xml:space="preserve"/>
      </w:r>
    </w:p>
    <w:p>
      <w:pPr>
        <w:spacing w:after="40" w:before="80"/>
      </w:pPr>
      <w:r>
        <w:rPr>
          <w:rFonts w:ascii="Calibri" w:cs="Calibri" w:eastAsia="Calibri" w:hAnsi="Calibri"/>
          <w:b/>
          <w:bCs/>
          <w:color w:val="C62828"/>
          <w:sz w:val="22"/>
          <w:szCs w:val="22"/>
        </w:rPr>
        <w:t xml:space="preserve">Q10</w:t>
      </w:r>
      <w:r>
        <w:rPr>
          <w:rFonts w:ascii="Calibri" w:cs="Calibri" w:eastAsia="Calibri" w:hAnsi="Calibri"/>
          <w:b/>
          <w:bCs/>
          <w:color w:val="0D2B4E"/>
          <w:sz w:val="22"/>
          <w:szCs w:val="22"/>
        </w:rPr>
        <w:t xml:space="preserve">  —  The original quickstart used password-based authentication. This repo uses keypair auth locally. Why, and what does that tell you about running this in a real enterprise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What you're testing</w:t>
            </w:r>
          </w:p>
          <w:p>
            <w:pPr>
              <w:spacing w:after="40" w:before="0"/>
            </w:pPr>
            <w:r>
              <w:rPr>
                <w:rFonts w:ascii="Calibri" w:cs="Calibri" w:eastAsia="Calibri" w:hAnsi="Calibri"/>
                <w:color w:val="455A64"/>
                <w:sz w:val="20"/>
                <w:szCs w:val="20"/>
              </w:rPr>
              <w:t xml:space="preserve">Whether they actually tried running the app and encountered the MFA issue — this rewards groups that went hands-on with the repo.</w:t>
            </w:r>
          </w:p>
        </w:tc>
      </w:tr>
    </w:tbl>
    <w:p>
      <w:pPr>
        <w:spacing w:after="40" w:before="0"/>
      </w:pPr>
      <w:r>
        <w:t xml:space="preserve"/>
      </w:r>
    </w:p>
    <w:p>
      <w:pPr>
        <w:spacing w:after="60" w:before="160"/>
      </w:pPr>
      <w:r>
        <w:rPr>
          <w:rFonts w:ascii="Calibri" w:cs="Calibri" w:eastAsia="Calibri" w:hAnsi="Calibri"/>
          <w:b/>
          <w:bCs/>
          <w:color w:val="00897B"/>
          <w:sz w:val="22"/>
          <w:szCs w:val="22"/>
        </w:rPr>
        <w:t xml:space="preserve">Expected Answer</w:t>
      </w:r>
    </w:p>
    <w:p>
      <w:pPr>
        <w:spacing w:after="100" w:before="40"/>
      </w:pPr>
      <w:r>
        <w:rPr>
          <w:rFonts w:ascii="Calibri" w:cs="Calibri" w:eastAsia="Calibri" w:hAnsi="Calibri"/>
          <w:color w:val="455A64"/>
          <w:sz w:val="20"/>
          <w:szCs w:val="20"/>
        </w:rPr>
        <w:t xml:space="preserve">Enterprise Snowflake accounts typically enforce Multi-Factor Authentication (MFA) for all users. Password-only authentication is blocked by the platform. Keypair authentication (using RSA private/public keys registered on the Snowflake user) bypasses MFA because it's a cryptographic proof of identity rather than a shared secret. This is the recommended pattern for service accounts and automated connections in enterprise environments. It also means no credentials are stored in environment variables — just a path to a key file, which is more secure.</w:t>
      </w:r>
    </w:p>
    <w:p>
      <w:pPr>
        <w:spacing w:after="80" w:before="0"/>
      </w:pPr>
      <w:r>
        <w:t xml:space="preserve"/>
      </w:r>
    </w:p>
    <w:p>
      <w:pPr>
        <w:spacing w:after="60" w:before="160"/>
      </w:pPr>
      <w:r>
        <w:rPr>
          <w:rFonts w:ascii="Calibri" w:cs="Calibri" w:eastAsia="Calibri" w:hAnsi="Calibri"/>
          <w:b/>
          <w:bCs/>
          <w:color w:val="00897B"/>
          <w:sz w:val="22"/>
          <w:szCs w:val="22"/>
        </w:rPr>
        <w:t xml:space="preserve">Follow-up for strong groups</w:t>
      </w:r>
    </w:p>
    <w:p>
      <w:pPr>
        <w:spacing w:after="100" w:before="40"/>
      </w:pPr>
      <w:r>
        <w:rPr>
          <w:rFonts w:ascii="Calibri" w:cs="Calibri" w:eastAsia="Calibri" w:hAnsi="Calibri"/>
          <w:color w:val="455A64"/>
          <w:sz w:val="20"/>
          <w:szCs w:val="20"/>
        </w:rPr>
        <w:t xml:space="preserve">"How would you handle key rotation in production?" Expected: generate a new keypair, register RSA_PUBLIC_KEY2 on the user (Snowflake supports two simultaneously), update the service, then remove the old key — zero downtime rotation.</w:t>
      </w:r>
    </w:p>
    <w:p>
      <w:pPr>
        <w:pBdr>
          <w:bottom w:val="single" w:color="00897B" w:sz="4" w:space="1"/>
        </w:pBdr>
        <w:spacing w:after="120" w:before="120"/>
      </w:pPr>
      <w:r>
        <w:t xml:space="preserve"/>
      </w:r>
    </w:p>
    <w:p>
      <w:pPr>
        <w:spacing w:after="40" w:before="0"/>
      </w:pPr>
      <w:r>
        <w:t xml:space="preserve"/>
      </w:r>
    </w:p>
    <w:p>
      <w:pPr>
        <w:spacing w:after="0" w:before="40"/>
        <w:jc w:val="center"/>
      </w:pPr>
      <w:r>
        <w:rPr>
          <w:rFonts w:ascii="Calibri" w:cs="Calibri" w:eastAsia="Calibri" w:hAnsi="Calibri"/>
          <w:i/>
          <w:iCs/>
          <w:color w:val="00897B"/>
          <w:sz w:val="18"/>
          <w:szCs w:val="18"/>
        </w:rPr>
        <w:t xml:space="preserve">Remember: the goal is growth, not gotcha. Push them — then tell them what they missed.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2828" w:sz="4" w:space="1"/>
      </w:pBdr>
      <w:spacing w:after="0" w:before="100"/>
      <w:jc w:val="center"/>
    </w:pPr>
    <w:r>
      <w:rPr>
        <w:rFonts w:ascii="Calibri" w:cs="Calibri" w:eastAsia="Calibri" w:hAnsi="Calibri"/>
        <w:color w:val="C62828"/>
        <w:sz w:val="16"/>
        <w:szCs w:val="16"/>
      </w:rPr>
      <w:t xml:space="preserve">Confidential — Mentor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1"/>
      </w:pBdr>
      <w:spacing w:after="100" w:before="0"/>
      <w:jc w:val="right"/>
    </w:pPr>
    <w:r>
      <w:rPr>
        <w:rFonts w:ascii="Calibri" w:cs="Calibri" w:eastAsia="Calibri" w:hAnsi="Calibri"/>
        <w:b/>
        <w:bCs/>
        <w:color w:val="C62828"/>
        <w:sz w:val="16"/>
        <w:szCs w:val="16"/>
      </w:rPr>
      <w:t xml:space="preserve">MENTOR GUIDE — NOT FOR INTERN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0D2B4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565C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089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2026-05-21T01:50:05.306Z</dcterms:created>
  <dcterms:modified xsi:type="dcterms:W3CDTF">2026-05-21T01:50:05.306Z</dcterms:modified>
</cp:coreProperties>
</file>

<file path=docProps/custom.xml><?xml version="1.0" encoding="utf-8"?>
<Properties xmlns="http://schemas.openxmlformats.org/officeDocument/2006/custom-properties" xmlns:vt="http://schemas.openxmlformats.org/officeDocument/2006/docPropsVTypes"/>
</file>