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0"/>
      </w:pPr>
      <w:r>
        <w:t xml:space="preserve"/>
      </w:r>
    </w:p>
    <w:p>
      <w:pPr>
        <w:spacing w:after="60" w:before="0"/>
        <w:jc w:val="center"/>
      </w:pPr>
      <w:r>
        <w:rPr>
          <w:rFonts w:ascii="Calibri" w:cs="Calibri" w:eastAsia="Calibri" w:hAnsi="Calibri"/>
          <w:b/>
          <w:bCs/>
          <w:caps/>
          <w:color w:val="C62828"/>
          <w:sz w:val="22"/>
          <w:szCs w:val="22"/>
        </w:rPr>
        <w:t xml:space="preserve">NOT FOR INTERN DISTRIBUTION</w:t>
      </w:r>
    </w:p>
    <w:p>
      <w:pPr>
        <w:spacing w:after="80" w:before="0"/>
        <w:jc w:val="center"/>
      </w:pPr>
      <w:r>
        <w:rPr>
          <w:rFonts w:ascii="Calibri" w:cs="Calibri" w:eastAsia="Calibri" w:hAnsi="Calibri"/>
          <w:b/>
          <w:bCs/>
          <w:color w:val="0D2B4E"/>
          <w:sz w:val="52"/>
          <w:szCs w:val="52"/>
        </w:rPr>
        <w:t xml:space="preserve">Mentor Panel Guide</w:t>
      </w:r>
    </w:p>
    <w:p>
      <w:pPr>
        <w:spacing w:after="60" w:before="0"/>
        <w:jc w:val="center"/>
      </w:pPr>
      <w:r>
        <w:rPr>
          <w:rFonts w:ascii="Calibri" w:cs="Calibri" w:eastAsia="Calibri" w:hAnsi="Calibri"/>
          <w:i/>
          <w:iCs/>
          <w:color w:val="1565C0"/>
          <w:sz w:val="26"/>
          <w:szCs w:val="26"/>
        </w:rPr>
        <w:t xml:space="preserve">Tasty Bytes Global Expansion — SPCS Capstone</w:t>
      </w:r>
    </w:p>
    <w:p>
      <w:pPr>
        <w:pBdr>
          <w:bottom w:val="single" w:color="00897B" w:sz="6" w:space="1"/>
        </w:pBdr>
        <w:spacing w:after="200" w:before="40"/>
        <w:jc w:val="center"/>
      </w:pPr>
      <w:r>
        <w:t xml:space="preserve"/>
      </w:r>
    </w:p>
    <w:p>
      <w:pPr>
        <w:spacing w:after="60" w:before="0"/>
      </w:pPr>
      <w:r>
        <w:t xml:space="preserve"/>
      </w:r>
    </w:p>
    <w:p>
      <w:pPr>
        <w:spacing w:after="100" w:before="40"/>
      </w:pPr>
      <w:r>
        <w:rPr>
          <w:rFonts w:ascii="Calibri" w:cs="Calibri" w:eastAsia="Calibri" w:hAnsi="Calibri"/>
          <w:color w:val="455A64"/>
          <w:sz w:val="20"/>
          <w:szCs w:val="20"/>
        </w:rPr>
        <w:t xml:space="preserve">This guide contains the question bank for the final presentation panel, expected answers, and notes on how to calibrate difficulty. Select questions dynamically — probe where each group is weakest.</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97B" w:sz="4"/>
              <w:left w:val="single" w:color="00897B" w:sz="16"/>
              <w:bottom w:val="single" w:color="00897B" w:sz="4"/>
              <w:right w:val="none" w:color="FFFFFF" w:sz="0"/>
            </w:tcBorders>
            <w:shd w:fill="E8F5E9" w:val="clear"/>
            <w:tcMar>
              <w:top w:type="dxa" w:w="140"/>
              <w:left w:type="dxa" w:w="220"/>
              <w:bottom w:type="dxa" w:w="140"/>
              <w:right w:type="dxa" w:w="220"/>
            </w:tcMar>
          </w:tcPr>
          <w:p>
            <w:pPr>
              <w:spacing w:after="60" w:before="0"/>
            </w:pPr>
            <w:r>
              <w:rPr>
                <w:rFonts w:ascii="Calibri" w:cs="Calibri" w:eastAsia="Calibri" w:hAnsi="Calibri"/>
                <w:b/>
                <w:bCs/>
                <w:color w:val="00897B"/>
                <w:sz w:val="20"/>
                <w:szCs w:val="20"/>
              </w:rPr>
              <w:t xml:space="preserve">Live App Info</w:t>
            </w:r>
          </w:p>
          <w:p>
            <w:pPr>
              <w:spacing w:after="40" w:before="0"/>
            </w:pPr>
            <w:r>
              <w:rPr>
                <w:rFonts w:ascii="Calibri" w:cs="Calibri" w:eastAsia="Calibri" w:hAnsi="Calibri"/>
                <w:color w:val="455A64"/>
                <w:sz w:val="20"/>
                <w:szCs w:val="20"/>
              </w:rPr>
              <w:t xml:space="preserve">URL: https://nsamyoub-se58322-snowflake-containers-adrianm.snowflakecomputing.app</w:t>
            </w:r>
          </w:p>
          <w:p>
            <w:pPr>
              <w:spacing w:after="40" w:before="30"/>
            </w:pPr>
            <w:r>
              <w:rPr>
                <w:rFonts w:ascii="Calibri" w:cs="Calibri" w:eastAsia="Calibri" w:hAnsi="Calibri"/>
                <w:color w:val="455A64"/>
                <w:sz w:val="20"/>
                <w:szCs w:val="20"/>
              </w:rPr>
              <w:t xml:space="preserve">Repo: github.com/pguerrero112/hakkoda-spcs-tasty-bytes</w:t>
            </w:r>
          </w:p>
          <w:p>
            <w:pPr>
              <w:spacing w:after="40" w:before="30"/>
            </w:pPr>
            <w:r>
              <w:rPr>
                <w:rFonts w:ascii="Calibri" w:cs="Calibri" w:eastAsia="Calibri" w:hAnsi="Calibri"/>
                <w:color w:val="455A64"/>
                <w:sz w:val="20"/>
                <w:szCs w:val="20"/>
              </w:rPr>
              <w:t xml:space="preserve"/>
            </w:r>
          </w:p>
          <w:p>
            <w:pPr>
              <w:spacing w:after="40" w:before="30"/>
            </w:pPr>
            <w:r>
              <w:rPr>
                <w:rFonts w:ascii="Calibri" w:cs="Calibri" w:eastAsia="Calibri" w:hAnsi="Calibri"/>
                <w:color w:val="455A64"/>
                <w:sz w:val="20"/>
                <w:szCs w:val="20"/>
              </w:rPr>
              <w:t xml:space="preserve">Interns have access to the live app — groups that logged in and explored it will answer questions significantly better than those who only read the scenario doc.</w:t>
            </w:r>
          </w:p>
        </w:tc>
      </w:tr>
    </w:tbl>
    <w:p>
      <w:pPr>
        <w:spacing w:after="400" w:before="0"/>
      </w:pPr>
      <w:r>
        <w:t xml:space="preserve"/>
      </w:r>
    </w:p>
    <w:p>
      <w:pPr>
        <w:spacing w:after="0" w:before="0"/>
        <w:jc w:val="center"/>
      </w:pPr>
      <w:r>
        <w:rPr>
          <w:rFonts w:ascii="Calibri" w:cs="Calibri" w:eastAsia="Calibri" w:hAnsi="Calibri"/>
          <w:color w:val="00897B"/>
          <w:sz w:val="18"/>
          <w:szCs w:val="18"/>
        </w:rPr>
        <w:t xml:space="preserve">hakkoda.io</w:t>
      </w:r>
    </w:p>
    <w:p>
      <w:r>
        <w:br w:type="page"/>
      </w:r>
    </w:p>
    <w:p>
      <w:pPr>
        <w:pStyle w:val="Heading1"/>
        <w:spacing w:after="140" w:before="300"/>
      </w:pPr>
      <w:r>
        <w:rPr>
          <w:rFonts w:ascii="Calibri" w:cs="Calibri" w:eastAsia="Calibri" w:hAnsi="Calibri"/>
          <w:b/>
          <w:bCs/>
          <w:color w:val="0D2B4E"/>
          <w:sz w:val="34"/>
          <w:szCs w:val="34"/>
        </w:rPr>
        <w:t xml:space="preserve">How to Use This Guide</w:t>
      </w:r>
    </w:p>
    <w:p>
      <w:pPr>
        <w:spacing w:after="100" w:before="40"/>
      </w:pPr>
      <w:r>
        <w:rPr>
          <w:rFonts w:ascii="Calibri" w:cs="Calibri" w:eastAsia="Calibri" w:hAnsi="Calibri"/>
          <w:color w:val="455A64"/>
          <w:sz w:val="20"/>
          <w:szCs w:val="20"/>
        </w:rPr>
        <w:t xml:space="preserve">The intern scenario document gives them the problem and hints but deliberately withholds the mechanisms. The panel Q&amp;A is where you separate groups that dug deep from those that stayed on the surface.</w:t>
      </w:r>
    </w:p>
    <w:p>
      <w:pPr>
        <w:spacing w:after="80" w:before="0"/>
      </w:pPr>
      <w:r>
        <w:t xml:space="preserve"/>
      </w:r>
    </w:p>
    <w:p>
      <w:pPr>
        <w:pStyle w:val="Heading2"/>
        <w:spacing w:after="100" w:before="220"/>
      </w:pPr>
      <w:r>
        <w:rPr>
          <w:rFonts w:ascii="Calibri" w:cs="Calibri" w:eastAsia="Calibri" w:hAnsi="Calibri"/>
          <w:b/>
          <w:bCs/>
          <w:color w:val="1565C0"/>
          <w:sz w:val="26"/>
          <w:szCs w:val="26"/>
        </w:rPr>
        <w:t xml:space="preserve">Before the Presentation</w:t>
      </w:r>
    </w:p>
    <w:p>
      <w:pPr>
        <w:pStyle w:val="ListParagraph"/>
        <w:numPr>
          <w:ilvl w:val="0"/>
          <w:numId w:val="2"/>
        </w:numPr>
        <w:spacing w:after="50" w:before="30"/>
      </w:pPr>
      <w:r>
        <w:rPr>
          <w:rFonts w:ascii="Calibri" w:cs="Calibri" w:eastAsia="Calibri" w:hAnsi="Calibri"/>
          <w:color w:val="455A64"/>
          <w:sz w:val="20"/>
          <w:szCs w:val="20"/>
        </w:rPr>
        <w:t xml:space="preserve">Read through all questions so they are fresh in your mind</w:t>
      </w:r>
    </w:p>
    <w:p>
      <w:pPr>
        <w:pStyle w:val="ListParagraph"/>
        <w:numPr>
          <w:ilvl w:val="0"/>
          <w:numId w:val="2"/>
        </w:numPr>
        <w:spacing w:after="50" w:before="30"/>
      </w:pPr>
      <w:r>
        <w:rPr>
          <w:rFonts w:ascii="Calibri" w:cs="Calibri" w:eastAsia="Calibri" w:hAnsi="Calibri"/>
          <w:color w:val="455A64"/>
          <w:sz w:val="20"/>
          <w:szCs w:val="20"/>
        </w:rPr>
        <w:t xml:space="preserve">Decide which stakeholder role you are playing</w:t>
      </w:r>
    </w:p>
    <w:p>
      <w:pPr>
        <w:pStyle w:val="ListParagraph"/>
        <w:numPr>
          <w:ilvl w:val="0"/>
          <w:numId w:val="2"/>
        </w:numPr>
        <w:spacing w:after="50" w:before="30"/>
      </w:pPr>
      <w:r>
        <w:rPr>
          <w:rFonts w:ascii="Calibri" w:cs="Calibri" w:eastAsia="Calibri" w:hAnsi="Calibri"/>
          <w:color w:val="455A64"/>
          <w:sz w:val="20"/>
          <w:szCs w:val="20"/>
        </w:rPr>
        <w:t xml:space="preserve">None of these questions are in the scenario doc — answers are in the repo, the live app, or require independent research</w:t>
      </w:r>
    </w:p>
    <w:p>
      <w:pPr>
        <w:pStyle w:val="ListParagraph"/>
        <w:numPr>
          <w:ilvl w:val="0"/>
          <w:numId w:val="2"/>
        </w:numPr>
        <w:spacing w:after="50" w:before="30"/>
      </w:pPr>
      <w:r>
        <w:rPr>
          <w:rFonts w:ascii="Calibri" w:cs="Calibri" w:eastAsia="Calibri" w:hAnsi="Calibri"/>
          <w:color w:val="455A64"/>
          <w:sz w:val="20"/>
          <w:szCs w:val="20"/>
        </w:rPr>
        <w:t xml:space="preserve">Groups that logged into the live app and explored it will answer Tier 2 questions much better</w:t>
      </w:r>
    </w:p>
    <w:p>
      <w:pPr>
        <w:spacing w:after="80" w:before="0"/>
      </w:pPr>
      <w:r>
        <w:t xml:space="preserve"/>
      </w:r>
    </w:p>
    <w:p>
      <w:pPr>
        <w:pStyle w:val="Heading2"/>
        <w:spacing w:after="100" w:before="220"/>
      </w:pPr>
      <w:r>
        <w:rPr>
          <w:rFonts w:ascii="Calibri" w:cs="Calibri" w:eastAsia="Calibri" w:hAnsi="Calibri"/>
          <w:b/>
          <w:bCs/>
          <w:color w:val="1565C0"/>
          <w:sz w:val="26"/>
          <w:szCs w:val="26"/>
        </w:rPr>
        <w:t xml:space="preserve">Calibration Guide</w:t>
      </w:r>
    </w:p>
    <w:p>
      <w:pPr>
        <w:pStyle w:val="ListParagraph"/>
        <w:numPr>
          <w:ilvl w:val="0"/>
          <w:numId w:val="2"/>
        </w:numPr>
        <w:spacing w:after="50" w:before="30"/>
      </w:pPr>
      <w:r>
        <w:rPr>
          <w:rFonts w:ascii="Calibri" w:cs="Calibri" w:eastAsia="Calibri" w:hAnsi="Calibri"/>
          <w:color w:val="455A64"/>
          <w:sz w:val="20"/>
          <w:szCs w:val="20"/>
        </w:rPr>
        <w:t xml:space="preserve">Start with Tier 1 to set them at ease, then escalate</w:t>
      </w:r>
    </w:p>
    <w:p>
      <w:pPr>
        <w:pStyle w:val="ListParagraph"/>
        <w:numPr>
          <w:ilvl w:val="0"/>
          <w:numId w:val="2"/>
        </w:numPr>
        <w:spacing w:after="50" w:before="30"/>
      </w:pPr>
      <w:r>
        <w:rPr>
          <w:rFonts w:ascii="Calibri" w:cs="Calibri" w:eastAsia="Calibri" w:hAnsi="Calibri"/>
          <w:color w:val="455A64"/>
          <w:sz w:val="20"/>
          <w:szCs w:val="20"/>
        </w:rPr>
        <w:t xml:space="preserve">If clearly strong → go directly to Tier 3</w:t>
      </w:r>
    </w:p>
    <w:p>
      <w:pPr>
        <w:pStyle w:val="ListParagraph"/>
        <w:numPr>
          <w:ilvl w:val="0"/>
          <w:numId w:val="2"/>
        </w:numPr>
        <w:spacing w:after="50" w:before="30"/>
      </w:pPr>
      <w:r>
        <w:rPr>
          <w:rFonts w:ascii="Calibri" w:cs="Calibri" w:eastAsia="Calibri" w:hAnsi="Calibri"/>
          <w:color w:val="455A64"/>
          <w:sz w:val="20"/>
          <w:szCs w:val="20"/>
        </w:rPr>
        <w:t xml:space="preserve">If struggling → stick to Tier 1-2, use follow-ups to guide toward the insight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97B" w:sz="4"/>
              <w:left w:val="single" w:color="00897B" w:sz="16"/>
              <w:bottom w:val="single" w:color="00897B" w:sz="4"/>
              <w:right w:val="none" w:color="FFFFFF" w:sz="0"/>
            </w:tcBorders>
            <w:shd w:fill="F1F8F6" w:val="clear"/>
            <w:tcMar>
              <w:top w:type="dxa" w:w="140"/>
              <w:left w:type="dxa" w:w="220"/>
              <w:bottom w:type="dxa" w:w="140"/>
              <w:right w:type="dxa" w:w="220"/>
            </w:tcMar>
          </w:tcPr>
          <w:p>
            <w:pPr>
              <w:spacing w:after="60" w:before="0"/>
            </w:pPr>
            <w:r>
              <w:rPr>
                <w:rFonts w:ascii="Calibri" w:cs="Calibri" w:eastAsia="Calibri" w:hAnsi="Calibri"/>
                <w:b/>
                <w:bCs/>
                <w:color w:val="00897B"/>
                <w:sz w:val="20"/>
                <w:szCs w:val="20"/>
              </w:rPr>
              <w:t xml:space="preserve">Scoring Philosophy</w:t>
            </w:r>
          </w:p>
          <w:p>
            <w:pPr>
              <w:spacing w:after="40" w:before="0"/>
            </w:pPr>
            <w:r>
              <w:rPr>
                <w:rFonts w:ascii="Calibri" w:cs="Calibri" w:eastAsia="Calibri" w:hAnsi="Calibri"/>
                <w:color w:val="455A64"/>
                <w:sz w:val="20"/>
                <w:szCs w:val="20"/>
              </w:rPr>
              <w:t xml:space="preserve">The goal is not to fail anyone. Surface who researched independently, who connected dots, and who thinks on their feet.</w:t>
            </w:r>
          </w:p>
          <w:p>
            <w:pPr>
              <w:spacing w:after="40" w:before="30"/>
            </w:pPr>
            <w:r>
              <w:rPr>
                <w:rFonts w:ascii="Calibri" w:cs="Calibri" w:eastAsia="Calibri" w:hAnsi="Calibri"/>
                <w:color w:val="455A64"/>
                <w:sz w:val="20"/>
                <w:szCs w:val="20"/>
              </w:rPr>
              <w:t xml:space="preserve"/>
            </w:r>
          </w:p>
          <w:p>
            <w:pPr>
              <w:spacing w:after="40" w:before="30"/>
            </w:pPr>
            <w:r>
              <w:rPr>
                <w:rFonts w:ascii="Calibri" w:cs="Calibri" w:eastAsia="Calibri" w:hAnsi="Calibri"/>
                <w:color w:val="455A64"/>
                <w:sz w:val="20"/>
                <w:szCs w:val="20"/>
              </w:rPr>
              <w:t xml:space="preserve">'We don't know but here's how we'd find out' scores higher than a confident wrong answer.</w:t>
            </w:r>
          </w:p>
        </w:tc>
      </w:tr>
    </w:tbl>
    <w:p>
      <w:pPr>
        <w:spacing w:after="120" w:before="0"/>
      </w:pPr>
      <w:r>
        <w:t xml:space="preserve"/>
      </w:r>
    </w:p>
    <w:p>
      <w:r>
        <w:br w:type="page"/>
      </w:r>
    </w:p>
    <w:p>
      <w:pPr>
        <w:pStyle w:val="Heading1"/>
        <w:spacing w:after="140" w:before="300"/>
      </w:pPr>
      <w:r>
        <w:rPr>
          <w:rFonts w:ascii="Calibri" w:cs="Calibri" w:eastAsia="Calibri" w:hAnsi="Calibri"/>
          <w:b/>
          <w:bCs/>
          <w:color w:val="0D2B4E"/>
          <w:sz w:val="34"/>
          <w:szCs w:val="34"/>
        </w:rPr>
        <w:t xml:space="preserve">Tier 1 — Baseline Questions</w:t>
      </w:r>
    </w:p>
    <w:p>
      <w:pPr>
        <w:spacing w:after="100" w:before="40"/>
      </w:pPr>
      <w:r>
        <w:rPr>
          <w:rFonts w:ascii="Calibri" w:cs="Calibri" w:eastAsia="Calibri" w:hAnsi="Calibri"/>
          <w:color w:val="455A64"/>
          <w:sz w:val="20"/>
          <w:szCs w:val="20"/>
        </w:rPr>
        <w:t xml:space="preserve">Any group that explored the repo and logged into the live app should answer these.</w:t>
      </w:r>
    </w:p>
    <w:p>
      <w:pPr>
        <w:spacing w:after="80" w:before="0"/>
      </w:pPr>
      <w:r>
        <w:t xml:space="preserve"/>
      </w:r>
    </w:p>
    <w:p>
      <w:pPr>
        <w:spacing w:after="40" w:before="80"/>
      </w:pPr>
      <w:r>
        <w:rPr>
          <w:rFonts w:ascii="Calibri" w:cs="Calibri" w:eastAsia="Calibri" w:hAnsi="Calibri"/>
          <w:b/>
          <w:bCs/>
          <w:color w:val="C62828"/>
          <w:sz w:val="22"/>
          <w:szCs w:val="22"/>
        </w:rPr>
        <w:t xml:space="preserve">Q1</w:t>
      </w:r>
      <w:r>
        <w:rPr>
          <w:rFonts w:ascii="Calibri" w:cs="Calibri" w:eastAsia="Calibri" w:hAnsi="Calibri"/>
          <w:b/>
          <w:bCs/>
          <w:color w:val="0D2B4E"/>
          <w:sz w:val="22"/>
          <w:szCs w:val="22"/>
        </w:rPr>
        <w:t xml:space="preserve">  —  What does the NGINX router actually do, and why can't you just remove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A825" w:sz="4"/>
              <w:left w:val="single" w:color="F9A825" w:sz="16"/>
              <w:bottom w:val="single" w:color="F9A825" w:sz="4"/>
              <w:right w:val="none" w:color="FFFFFF" w:sz="0"/>
            </w:tcBorders>
            <w:shd w:fill="FFF8E1" w:val="clear"/>
            <w:tcMar>
              <w:top w:type="dxa" w:w="140"/>
              <w:left w:type="dxa" w:w="220"/>
              <w:bottom w:type="dxa" w:w="140"/>
              <w:right w:type="dxa" w:w="220"/>
            </w:tcMar>
          </w:tcPr>
          <w:p>
            <w:pPr>
              <w:spacing w:after="60" w:before="0"/>
            </w:pPr>
            <w:r>
              <w:rPr>
                <w:rFonts w:ascii="Calibri" w:cs="Calibri" w:eastAsia="Calibri" w:hAnsi="Calibri"/>
                <w:b/>
                <w:bCs/>
                <w:color w:val="F9A825"/>
                <w:sz w:val="20"/>
                <w:szCs w:val="20"/>
              </w:rPr>
              <w:t xml:space="preserve">Testing</w:t>
            </w:r>
          </w:p>
          <w:p>
            <w:pPr>
              <w:spacing w:after="40" w:before="0"/>
            </w:pPr>
            <w:r>
              <w:rPr>
                <w:rFonts w:ascii="Calibri" w:cs="Calibri" w:eastAsia="Calibri" w:hAnsi="Calibri"/>
                <w:color w:val="455A64"/>
                <w:sz w:val="20"/>
                <w:szCs w:val="20"/>
              </w:rPr>
              <w:t xml:space="preserve">Whether they understand CORS — requires reading the code or exploring the network tab in browser DevTools on the live app.</w:t>
            </w:r>
          </w:p>
        </w:tc>
      </w:tr>
    </w:tbl>
    <w:p>
      <w:pPr>
        <w:spacing w:after="40" w:before="0"/>
      </w:pPr>
      <w:r>
        <w:t xml:space="preserve"/>
      </w:r>
    </w:p>
    <w:p>
      <w:pPr>
        <w:spacing w:after="60" w:before="160"/>
      </w:pPr>
      <w:r>
        <w:rPr>
          <w:rFonts w:ascii="Calibri" w:cs="Calibri" w:eastAsia="Calibri" w:hAnsi="Calibri"/>
          <w:b/>
          <w:bCs/>
          <w:color w:val="00897B"/>
          <w:sz w:val="22"/>
          <w:szCs w:val="22"/>
        </w:rPr>
        <w:t xml:space="preserve">Expected Answer</w:t>
      </w:r>
    </w:p>
    <w:p>
      <w:pPr>
        <w:spacing w:after="100" w:before="40"/>
      </w:pPr>
      <w:r>
        <w:rPr>
          <w:rFonts w:ascii="Calibri" w:cs="Calibri" w:eastAsia="Calibri" w:hAnsi="Calibri"/>
          <w:color w:val="455A64"/>
          <w:sz w:val="20"/>
          <w:szCs w:val="20"/>
        </w:rPr>
        <w:t xml:space="preserve">The router is a reverse proxy. The React app runs in the user's browser and calls /api/* — the router rewrites these to the backend service internally, bypassing CORS. Without it, the browser would block all API calls because SPCS strips custom headers (including CORS headers) from ingress requests for security reasons.</w:t>
      </w:r>
    </w:p>
    <w:p>
      <w:pPr>
        <w:spacing w:after="80" w:before="0"/>
      </w:pPr>
      <w:r>
        <w:t xml:space="preserve"/>
      </w:r>
    </w:p>
    <w:p>
      <w:pPr>
        <w:spacing w:after="60" w:before="160"/>
      </w:pPr>
      <w:r>
        <w:rPr>
          <w:rFonts w:ascii="Calibri" w:cs="Calibri" w:eastAsia="Calibri" w:hAnsi="Calibri"/>
          <w:b/>
          <w:bCs/>
          <w:color w:val="00897B"/>
          <w:sz w:val="22"/>
          <w:szCs w:val="22"/>
        </w:rPr>
        <w:t xml:space="preserve">Follow-up</w:t>
      </w:r>
    </w:p>
    <w:p>
      <w:pPr>
        <w:spacing w:after="100" w:before="40"/>
      </w:pPr>
      <w:r>
        <w:rPr>
          <w:rFonts w:ascii="Calibri" w:cs="Calibri" w:eastAsia="Calibri" w:hAnsi="Calibri"/>
          <w:color w:val="455A64"/>
          <w:sz w:val="20"/>
          <w:szCs w:val="20"/>
        </w:rPr>
        <w:t xml:space="preserve">"If you open the live app's network tab, what URL does the frontend call for franchise data?" Expected: /api/franchise/1 — they can verify this by logging into the app.</w:t>
      </w:r>
    </w:p>
    <w:p>
      <w:pPr>
        <w:spacing w:after="100" w:before="0"/>
      </w:pPr>
      <w:r>
        <w:t xml:space="preserve"/>
      </w:r>
    </w:p>
    <w:p>
      <w:pPr>
        <w:spacing w:after="40" w:before="80"/>
      </w:pPr>
      <w:r>
        <w:rPr>
          <w:rFonts w:ascii="Calibri" w:cs="Calibri" w:eastAsia="Calibri" w:hAnsi="Calibri"/>
          <w:b/>
          <w:bCs/>
          <w:color w:val="C62828"/>
          <w:sz w:val="22"/>
          <w:szCs w:val="22"/>
        </w:rPr>
        <w:t xml:space="preserve">Q2</w:t>
      </w:r>
      <w:r>
        <w:rPr>
          <w:rFonts w:ascii="Calibri" w:cs="Calibri" w:eastAsia="Calibri" w:hAnsi="Calibri"/>
          <w:b/>
          <w:bCs/>
          <w:color w:val="0D2B4E"/>
          <w:sz w:val="22"/>
          <w:szCs w:val="22"/>
        </w:rPr>
        <w:t xml:space="preserve">  —  Walk me through what happens to data between when the query runs and when it appears on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A825" w:sz="4"/>
              <w:left w:val="single" w:color="F9A825" w:sz="16"/>
              <w:bottom w:val="single" w:color="F9A825" w:sz="4"/>
              <w:right w:val="none" w:color="FFFFFF" w:sz="0"/>
            </w:tcBorders>
            <w:shd w:fill="FFF8E1" w:val="clear"/>
            <w:tcMar>
              <w:top w:type="dxa" w:w="140"/>
              <w:left w:type="dxa" w:w="220"/>
              <w:bottom w:type="dxa" w:w="140"/>
              <w:right w:type="dxa" w:w="220"/>
            </w:tcMar>
          </w:tcPr>
          <w:p>
            <w:pPr>
              <w:spacing w:after="60" w:before="0"/>
            </w:pPr>
            <w:r>
              <w:rPr>
                <w:rFonts w:ascii="Calibri" w:cs="Calibri" w:eastAsia="Calibri" w:hAnsi="Calibri"/>
                <w:b/>
                <w:bCs/>
                <w:color w:val="F9A825"/>
                <w:sz w:val="20"/>
                <w:szCs w:val="20"/>
              </w:rPr>
              <w:t xml:space="preserve">Testing</w:t>
            </w:r>
          </w:p>
          <w:p>
            <w:pPr>
              <w:spacing w:after="40" w:before="0"/>
            </w:pPr>
            <w:r>
              <w:rPr>
                <w:rFonts w:ascii="Calibri" w:cs="Calibri" w:eastAsia="Calibri" w:hAnsi="Calibri"/>
                <w:color w:val="455A64"/>
                <w:sz w:val="20"/>
                <w:szCs w:val="20"/>
              </w:rPr>
              <w:t xml:space="preserve">Whether they can trace the full data flow and articulate that data never leaves Snowflake's network.</w:t>
            </w:r>
          </w:p>
        </w:tc>
      </w:tr>
    </w:tbl>
    <w:p>
      <w:pPr>
        <w:spacing w:after="40" w:before="0"/>
      </w:pPr>
      <w:r>
        <w:t xml:space="preserve"/>
      </w:r>
    </w:p>
    <w:p>
      <w:pPr>
        <w:spacing w:after="60" w:before="160"/>
      </w:pPr>
      <w:r>
        <w:rPr>
          <w:rFonts w:ascii="Calibri" w:cs="Calibri" w:eastAsia="Calibri" w:hAnsi="Calibri"/>
          <w:b/>
          <w:bCs/>
          <w:color w:val="00897B"/>
          <w:sz w:val="22"/>
          <w:szCs w:val="22"/>
        </w:rPr>
        <w:t xml:space="preserve">Expected Answer</w:t>
      </w:r>
    </w:p>
    <w:p>
      <w:pPr>
        <w:spacing w:after="100" w:before="40"/>
      </w:pPr>
      <w:r>
        <w:rPr>
          <w:rFonts w:ascii="Calibri" w:cs="Calibri" w:eastAsia="Calibri" w:hAnsi="Calibri"/>
          <w:color w:val="455A64"/>
          <w:sz w:val="20"/>
          <w:szCs w:val="20"/>
        </w:rPr>
        <w:t xml:space="preserve">Browser → public ingress (Snowflake OAuth) → NGINX router → backend container inside Snowflake → SQL query via OAuth token → ORDERS table → same path back as JSON. Data never crosses a network boundary outside Snowflake.</w:t>
      </w:r>
    </w:p>
    <w:p>
      <w:pPr>
        <w:spacing w:after="80" w:before="0"/>
      </w:pPr>
      <w:r>
        <w:t xml:space="preserve"/>
      </w:r>
    </w:p>
    <w:p>
      <w:pPr>
        <w:spacing w:after="60" w:before="160"/>
      </w:pPr>
      <w:r>
        <w:rPr>
          <w:rFonts w:ascii="Calibri" w:cs="Calibri" w:eastAsia="Calibri" w:hAnsi="Calibri"/>
          <w:b/>
          <w:bCs/>
          <w:color w:val="00897B"/>
          <w:sz w:val="22"/>
          <w:szCs w:val="22"/>
        </w:rPr>
        <w:t xml:space="preserve">Pressure test</w:t>
      </w:r>
    </w:p>
    <w:p>
      <w:pPr>
        <w:spacing w:after="100" w:before="40"/>
      </w:pPr>
      <w:r>
        <w:rPr>
          <w:rFonts w:ascii="Calibri" w:cs="Calibri" w:eastAsia="Calibri" w:hAnsi="Calibri"/>
          <w:color w:val="455A64"/>
          <w:sz w:val="20"/>
          <w:szCs w:val="20"/>
        </w:rPr>
        <w:t xml:space="preserve">"In the old EC2 architecture, how many network hops does the data make?" Expected: Two — Snowflake to EC2, then EC2 to browser.</w:t>
      </w:r>
    </w:p>
    <w:p>
      <w:pPr>
        <w:spacing w:after="100" w:before="0"/>
      </w:pPr>
      <w:r>
        <w:t xml:space="preserve"/>
      </w:r>
    </w:p>
    <w:p>
      <w:pPr>
        <w:spacing w:after="40" w:before="80"/>
      </w:pPr>
      <w:r>
        <w:rPr>
          <w:rFonts w:ascii="Calibri" w:cs="Calibri" w:eastAsia="Calibri" w:hAnsi="Calibri"/>
          <w:b/>
          <w:bCs/>
          <w:color w:val="C62828"/>
          <w:sz w:val="22"/>
          <w:szCs w:val="22"/>
        </w:rPr>
        <w:t xml:space="preserve">Q3</w:t>
      </w:r>
      <w:r>
        <w:rPr>
          <w:rFonts w:ascii="Calibri" w:cs="Calibri" w:eastAsia="Calibri" w:hAnsi="Calibri"/>
          <w:b/>
          <w:bCs/>
          <w:color w:val="0D2B4E"/>
          <w:sz w:val="22"/>
          <w:szCs w:val="22"/>
        </w:rPr>
        <w:t xml:space="preserve">  —  Why does SPCS use two separate Compute Pools?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A825" w:sz="4"/>
              <w:left w:val="single" w:color="F9A825" w:sz="16"/>
              <w:bottom w:val="single" w:color="F9A825" w:sz="4"/>
              <w:right w:val="none" w:color="FFFFFF" w:sz="0"/>
            </w:tcBorders>
            <w:shd w:fill="FFF8E1" w:val="clear"/>
            <w:tcMar>
              <w:top w:type="dxa" w:w="140"/>
              <w:left w:type="dxa" w:w="220"/>
              <w:bottom w:type="dxa" w:w="140"/>
              <w:right w:type="dxa" w:w="220"/>
            </w:tcMar>
          </w:tcPr>
          <w:p>
            <w:pPr>
              <w:spacing w:after="60" w:before="0"/>
            </w:pPr>
            <w:r>
              <w:rPr>
                <w:rFonts w:ascii="Calibri" w:cs="Calibri" w:eastAsia="Calibri" w:hAnsi="Calibri"/>
                <w:b/>
                <w:bCs/>
                <w:color w:val="F9A825"/>
                <w:sz w:val="20"/>
                <w:szCs w:val="20"/>
              </w:rPr>
              <w:t xml:space="preserve">Testing</w:t>
            </w:r>
          </w:p>
          <w:p>
            <w:pPr>
              <w:spacing w:after="40" w:before="0"/>
            </w:pPr>
            <w:r>
              <w:rPr>
                <w:rFonts w:ascii="Calibri" w:cs="Calibri" w:eastAsia="Calibri" w:hAnsi="Calibri"/>
                <w:color w:val="455A64"/>
                <w:sz w:val="20"/>
                <w:szCs w:val="20"/>
              </w:rPr>
              <w:t xml:space="preserve">Whether they read the SQL setup and understood the instance family choices.</w:t>
            </w:r>
          </w:p>
        </w:tc>
      </w:tr>
    </w:tbl>
    <w:p>
      <w:pPr>
        <w:spacing w:after="40" w:before="0"/>
      </w:pPr>
      <w:r>
        <w:t xml:space="preserve"/>
      </w:r>
    </w:p>
    <w:p>
      <w:pPr>
        <w:spacing w:after="60" w:before="160"/>
      </w:pPr>
      <w:r>
        <w:rPr>
          <w:rFonts w:ascii="Calibri" w:cs="Calibri" w:eastAsia="Calibri" w:hAnsi="Calibri"/>
          <w:b/>
          <w:bCs/>
          <w:color w:val="00897B"/>
          <w:sz w:val="22"/>
          <w:szCs w:val="22"/>
        </w:rPr>
        <w:t xml:space="preserve">Expected Answer</w:t>
      </w:r>
    </w:p>
    <w:p>
      <w:pPr>
        <w:spacing w:after="100" w:before="40"/>
      </w:pPr>
      <w:r>
        <w:rPr>
          <w:rFonts w:ascii="Calibri" w:cs="Calibri" w:eastAsia="Calibri" w:hAnsi="Calibri"/>
          <w:color w:val="455A64"/>
          <w:sz w:val="20"/>
          <w:szCs w:val="20"/>
        </w:rPr>
        <w:t xml:space="preserve">Backend is compute-intensive (SQL queries, auth logic) → CPU_X64_S. Frontend serves static files → CPU_X64_XS. Separate pools allow independent scaling — scale backend at lunchtime without paying for frontend scaling.</w:t>
      </w:r>
    </w:p>
    <w:p>
      <w:pPr>
        <w:spacing w:after="120" w:before="0"/>
      </w:pPr>
      <w:r>
        <w:t xml:space="preserve"/>
      </w:r>
    </w:p>
    <w:p>
      <w:r>
        <w:br w:type="page"/>
      </w:r>
    </w:p>
    <w:p>
      <w:pPr>
        <w:pStyle w:val="Heading1"/>
        <w:spacing w:after="140" w:before="300"/>
      </w:pPr>
      <w:r>
        <w:rPr>
          <w:rFonts w:ascii="Calibri" w:cs="Calibri" w:eastAsia="Calibri" w:hAnsi="Calibri"/>
          <w:b/>
          <w:bCs/>
          <w:color w:val="0D2B4E"/>
          <w:sz w:val="34"/>
          <w:szCs w:val="34"/>
        </w:rPr>
        <w:t xml:space="preserve">Tier 2 — Inference Questions</w:t>
      </w:r>
    </w:p>
    <w:p>
      <w:pPr>
        <w:spacing w:after="100" w:before="40"/>
      </w:pPr>
      <w:r>
        <w:rPr>
          <w:rFonts w:ascii="Calibri" w:cs="Calibri" w:eastAsia="Calibri" w:hAnsi="Calibri"/>
          <w:color w:val="455A64"/>
          <w:sz w:val="20"/>
          <w:szCs w:val="20"/>
        </w:rPr>
        <w:t xml:space="preserve">Requires connecting hints from the scenario with findings from the repo or live app.</w:t>
      </w:r>
    </w:p>
    <w:p>
      <w:pPr>
        <w:spacing w:after="80" w:before="0"/>
      </w:pPr>
      <w:r>
        <w:t xml:space="preserve"/>
      </w:r>
    </w:p>
    <w:p>
      <w:pPr>
        <w:spacing w:after="40" w:before="80"/>
      </w:pPr>
      <w:r>
        <w:rPr>
          <w:rFonts w:ascii="Calibri" w:cs="Calibri" w:eastAsia="Calibri" w:hAnsi="Calibri"/>
          <w:b/>
          <w:bCs/>
          <w:color w:val="C62828"/>
          <w:sz w:val="22"/>
          <w:szCs w:val="22"/>
        </w:rPr>
        <w:t xml:space="preserve">Q4</w:t>
      </w:r>
      <w:r>
        <w:rPr>
          <w:rFonts w:ascii="Calibri" w:cs="Calibri" w:eastAsia="Calibri" w:hAnsi="Calibri"/>
          <w:b/>
          <w:bCs/>
          <w:color w:val="0D2B4E"/>
          <w:sz w:val="22"/>
          <w:szCs w:val="22"/>
        </w:rPr>
        <w:t xml:space="preserve">  —  How does the backend connect to Snowflake inside SPCS, and why is it more secure than the old approach?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A825" w:sz="4"/>
              <w:left w:val="single" w:color="F9A825" w:sz="16"/>
              <w:bottom w:val="single" w:color="F9A825" w:sz="4"/>
              <w:right w:val="none" w:color="FFFFFF" w:sz="0"/>
            </w:tcBorders>
            <w:shd w:fill="FFF8E1" w:val="clear"/>
            <w:tcMar>
              <w:top w:type="dxa" w:w="140"/>
              <w:left w:type="dxa" w:w="220"/>
              <w:bottom w:type="dxa" w:w="140"/>
              <w:right w:type="dxa" w:w="220"/>
            </w:tcMar>
          </w:tcPr>
          <w:p>
            <w:pPr>
              <w:spacing w:after="60" w:before="0"/>
            </w:pPr>
            <w:r>
              <w:rPr>
                <w:rFonts w:ascii="Calibri" w:cs="Calibri" w:eastAsia="Calibri" w:hAnsi="Calibri"/>
                <w:b/>
                <w:bCs/>
                <w:color w:val="F9A825"/>
                <w:sz w:val="20"/>
                <w:szCs w:val="20"/>
              </w:rPr>
              <w:t xml:space="preserve">Testing</w:t>
            </w:r>
          </w:p>
          <w:p>
            <w:pPr>
              <w:spacing w:after="40" w:before="0"/>
            </w:pPr>
            <w:r>
              <w:rPr>
                <w:rFonts w:ascii="Calibri" w:cs="Calibri" w:eastAsia="Calibri" w:hAnsi="Calibri"/>
                <w:color w:val="455A64"/>
                <w:sz w:val="20"/>
                <w:szCs w:val="20"/>
              </w:rPr>
              <w:t xml:space="preserve">Whether they explored connect.js — the /snowflake/session/token OAuth mechanism.</w:t>
            </w:r>
          </w:p>
        </w:tc>
      </w:tr>
    </w:tbl>
    <w:p>
      <w:pPr>
        <w:spacing w:after="40" w:before="0"/>
      </w:pPr>
      <w:r>
        <w:t xml:space="preserve"/>
      </w:r>
    </w:p>
    <w:p>
      <w:pPr>
        <w:spacing w:after="60" w:before="160"/>
      </w:pPr>
      <w:r>
        <w:rPr>
          <w:rFonts w:ascii="Calibri" w:cs="Calibri" w:eastAsia="Calibri" w:hAnsi="Calibri"/>
          <w:b/>
          <w:bCs/>
          <w:color w:val="00897B"/>
          <w:sz w:val="22"/>
          <w:szCs w:val="22"/>
        </w:rPr>
        <w:t xml:space="preserve">Expected Answer</w:t>
      </w:r>
    </w:p>
    <w:p>
      <w:pPr>
        <w:spacing w:after="100" w:before="40"/>
      </w:pPr>
      <w:r>
        <w:rPr>
          <w:rFonts w:ascii="Calibri" w:cs="Calibri" w:eastAsia="Calibri" w:hAnsi="Calibri"/>
          <w:color w:val="455A64"/>
          <w:sz w:val="20"/>
          <w:szCs w:val="20"/>
        </w:rPr>
        <w:t xml:space="preserve">SPCS mounts an OAuth token at /snowflake/session/token for each running service. The backend reads it at startup — no username, password, or key to manage. Token is ephemeral, scoped to the owner role. No credentials can be leaked through environment variables or a stolen .env file.</w:t>
      </w:r>
    </w:p>
    <w:p>
      <w:pPr>
        <w:spacing w:after="100" w:before="0"/>
      </w:pPr>
      <w:r>
        <w:t xml:space="preserve"/>
      </w:r>
    </w:p>
    <w:p>
      <w:pPr>
        <w:spacing w:after="40" w:before="80"/>
      </w:pPr>
      <w:r>
        <w:rPr>
          <w:rFonts w:ascii="Calibri" w:cs="Calibri" w:eastAsia="Calibri" w:hAnsi="Calibri"/>
          <w:b/>
          <w:bCs/>
          <w:color w:val="C62828"/>
          <w:sz w:val="22"/>
          <w:szCs w:val="22"/>
        </w:rPr>
        <w:t xml:space="preserve">Q5</w:t>
      </w:r>
      <w:r>
        <w:rPr>
          <w:rFonts w:ascii="Calibri" w:cs="Calibri" w:eastAsia="Calibri" w:hAnsi="Calibri"/>
          <w:b/>
          <w:bCs/>
          <w:color w:val="0D2B4E"/>
          <w:sz w:val="22"/>
          <w:szCs w:val="22"/>
        </w:rPr>
        <w:t xml:space="preserve">  —  What does it cost when no franchisees are using the app at 3am?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A825" w:sz="4"/>
              <w:left w:val="single" w:color="F9A825" w:sz="16"/>
              <w:bottom w:val="single" w:color="F9A825" w:sz="4"/>
              <w:right w:val="none" w:color="FFFFFF" w:sz="0"/>
            </w:tcBorders>
            <w:shd w:fill="FFF8E1" w:val="clear"/>
            <w:tcMar>
              <w:top w:type="dxa" w:w="140"/>
              <w:left w:type="dxa" w:w="220"/>
              <w:bottom w:type="dxa" w:w="140"/>
              <w:right w:type="dxa" w:w="220"/>
            </w:tcMar>
          </w:tcPr>
          <w:p>
            <w:pPr>
              <w:spacing w:after="60" w:before="0"/>
            </w:pPr>
            <w:r>
              <w:rPr>
                <w:rFonts w:ascii="Calibri" w:cs="Calibri" w:eastAsia="Calibri" w:hAnsi="Calibri"/>
                <w:b/>
                <w:bCs/>
                <w:color w:val="F9A825"/>
                <w:sz w:val="20"/>
                <w:szCs w:val="20"/>
              </w:rPr>
              <w:t xml:space="preserve">Testing</w:t>
            </w:r>
          </w:p>
          <w:p>
            <w:pPr>
              <w:spacing w:after="40" w:before="0"/>
            </w:pPr>
            <w:r>
              <w:rPr>
                <w:rFonts w:ascii="Calibri" w:cs="Calibri" w:eastAsia="Calibri" w:hAnsi="Calibri"/>
                <w:color w:val="455A64"/>
                <w:sz w:val="20"/>
                <w:szCs w:val="20"/>
              </w:rPr>
              <w:t xml:space="preserve">Whether they researched SPCS pricing — not in the scenario doc at all.</w:t>
            </w:r>
          </w:p>
        </w:tc>
      </w:tr>
    </w:tbl>
    <w:p>
      <w:pPr>
        <w:spacing w:after="40" w:before="0"/>
      </w:pPr>
      <w:r>
        <w:t xml:space="preserve"/>
      </w:r>
    </w:p>
    <w:p>
      <w:pPr>
        <w:spacing w:after="60" w:before="160"/>
      </w:pPr>
      <w:r>
        <w:rPr>
          <w:rFonts w:ascii="Calibri" w:cs="Calibri" w:eastAsia="Calibri" w:hAnsi="Calibri"/>
          <w:b/>
          <w:bCs/>
          <w:color w:val="00897B"/>
          <w:sz w:val="22"/>
          <w:szCs w:val="22"/>
        </w:rPr>
        <w:t xml:space="preserve">Expected Answer</w:t>
      </w:r>
    </w:p>
    <w:p>
      <w:pPr>
        <w:spacing w:after="100" w:before="40"/>
      </w:pPr>
      <w:r>
        <w:rPr>
          <w:rFonts w:ascii="Calibri" w:cs="Calibri" w:eastAsia="Calibri" w:hAnsi="Calibri"/>
          <w:color w:val="455A64"/>
          <w:sz w:val="20"/>
          <w:szCs w:val="20"/>
        </w:rPr>
        <w:t xml:space="preserve">You pay per compute pool node per second — idle or active. With MIN_NODES=1 you pay for one node continuously. At 3am, that's still running. Solutions: MIN_NODES=0 (cold start tradeoff) or autosuspend policies. The live app is currently running with MIN_NODES=1 — Hakkoda is paying for it right now.</w:t>
      </w:r>
    </w:p>
    <w:p>
      <w:pPr>
        <w:spacing w:after="100" w:before="0"/>
      </w:pPr>
      <w:r>
        <w:t xml:space="preserve"/>
      </w:r>
    </w:p>
    <w:p>
      <w:pPr>
        <w:spacing w:after="40" w:before="80"/>
      </w:pPr>
      <w:r>
        <w:rPr>
          <w:rFonts w:ascii="Calibri" w:cs="Calibri" w:eastAsia="Calibri" w:hAnsi="Calibri"/>
          <w:b/>
          <w:bCs/>
          <w:color w:val="C62828"/>
          <w:sz w:val="22"/>
          <w:szCs w:val="22"/>
        </w:rPr>
        <w:t xml:space="preserve">Q6</w:t>
      </w:r>
      <w:r>
        <w:rPr>
          <w:rFonts w:ascii="Calibri" w:cs="Calibri" w:eastAsia="Calibri" w:hAnsi="Calibri"/>
          <w:b/>
          <w:bCs/>
          <w:color w:val="0D2B4E"/>
          <w:sz w:val="22"/>
          <w:szCs w:val="22"/>
        </w:rPr>
        <w:t xml:space="preserve">  —  Does running on SPCS automatically make Tasty Bytes GDPR compliant?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A825" w:sz="4"/>
              <w:left w:val="single" w:color="F9A825" w:sz="16"/>
              <w:bottom w:val="single" w:color="F9A825" w:sz="4"/>
              <w:right w:val="none" w:color="FFFFFF" w:sz="0"/>
            </w:tcBorders>
            <w:shd w:fill="FFF8E1" w:val="clear"/>
            <w:tcMar>
              <w:top w:type="dxa" w:w="140"/>
              <w:left w:type="dxa" w:w="220"/>
              <w:bottom w:type="dxa" w:w="140"/>
              <w:right w:type="dxa" w:w="220"/>
            </w:tcMar>
          </w:tcPr>
          <w:p>
            <w:pPr>
              <w:spacing w:after="60" w:before="0"/>
            </w:pPr>
            <w:r>
              <w:rPr>
                <w:rFonts w:ascii="Calibri" w:cs="Calibri" w:eastAsia="Calibri" w:hAnsi="Calibri"/>
                <w:b/>
                <w:bCs/>
                <w:color w:val="F9A825"/>
                <w:sz w:val="20"/>
                <w:szCs w:val="20"/>
              </w:rPr>
              <w:t xml:space="preserve">Testing</w:t>
            </w:r>
          </w:p>
          <w:p>
            <w:pPr>
              <w:spacing w:after="40" w:before="0"/>
            </w:pPr>
            <w:r>
              <w:rPr>
                <w:rFonts w:ascii="Calibri" w:cs="Calibri" w:eastAsia="Calibri" w:hAnsi="Calibri"/>
                <w:color w:val="455A64"/>
                <w:sz w:val="20"/>
                <w:szCs w:val="20"/>
              </w:rPr>
              <w:t xml:space="preserve">Critical thinking — 'helps' vs 'guarantees'.</w:t>
            </w:r>
          </w:p>
        </w:tc>
      </w:tr>
    </w:tbl>
    <w:p>
      <w:pPr>
        <w:spacing w:after="40" w:before="0"/>
      </w:pPr>
      <w:r>
        <w:t xml:space="preserve"/>
      </w:r>
    </w:p>
    <w:p>
      <w:pPr>
        <w:spacing w:after="60" w:before="160"/>
      </w:pPr>
      <w:r>
        <w:rPr>
          <w:rFonts w:ascii="Calibri" w:cs="Calibri" w:eastAsia="Calibri" w:hAnsi="Calibri"/>
          <w:b/>
          <w:bCs/>
          <w:color w:val="00897B"/>
          <w:sz w:val="22"/>
          <w:szCs w:val="22"/>
        </w:rPr>
        <w:t xml:space="preserve">Expected Answer</w:t>
      </w:r>
    </w:p>
    <w:p>
      <w:pPr>
        <w:spacing w:after="100" w:before="40"/>
      </w:pPr>
      <w:r>
        <w:rPr>
          <w:rFonts w:ascii="Calibri" w:cs="Calibri" w:eastAsia="Calibri" w:hAnsi="Calibri"/>
          <w:color w:val="455A64"/>
          <w:sz w:val="20"/>
          <w:szCs w:val="20"/>
        </w:rPr>
        <w:t xml:space="preserve">No. SPCS eliminates data-in-transit risk. But GDPR also requires data residency controls, right-to-erasure, audit logging, DPAs with Snowflake as sub-processor, and potentially a DPIA. SPCS is one architectural control, not a compliance certificate.</w:t>
      </w:r>
    </w:p>
    <w:p>
      <w:pPr>
        <w:spacing w:after="120" w:before="0"/>
      </w:pPr>
      <w:r>
        <w:t xml:space="preserve"/>
      </w:r>
    </w:p>
    <w:p>
      <w:r>
        <w:br w:type="page"/>
      </w:r>
    </w:p>
    <w:p>
      <w:pPr>
        <w:pStyle w:val="Heading1"/>
        <w:spacing w:after="140" w:before="300"/>
      </w:pPr>
      <w:r>
        <w:rPr>
          <w:rFonts w:ascii="Calibri" w:cs="Calibri" w:eastAsia="Calibri" w:hAnsi="Calibri"/>
          <w:b/>
          <w:bCs/>
          <w:color w:val="0D2B4E"/>
          <w:sz w:val="34"/>
          <w:szCs w:val="34"/>
        </w:rPr>
        <w:t xml:space="preserve">Tier 3 — Curveball Questions</w:t>
      </w:r>
    </w:p>
    <w:p>
      <w:pPr>
        <w:spacing w:after="100" w:before="40"/>
      </w:pPr>
      <w:r>
        <w:rPr>
          <w:rFonts w:ascii="Calibri" w:cs="Calibri" w:eastAsia="Calibri" w:hAnsi="Calibri"/>
          <w:color w:val="455A64"/>
          <w:sz w:val="20"/>
          <w:szCs w:val="20"/>
        </w:rPr>
        <w:t xml:space="preserve">No direct answer in the scenario or repo. Requires synthesis or knowledge the intern brought themselves.</w:t>
      </w:r>
    </w:p>
    <w:p>
      <w:pPr>
        <w:spacing w:after="80" w:before="0"/>
      </w:pPr>
      <w:r>
        <w:t xml:space="preserve"/>
      </w:r>
    </w:p>
    <w:p>
      <w:pPr>
        <w:spacing w:after="40" w:before="80"/>
      </w:pPr>
      <w:r>
        <w:rPr>
          <w:rFonts w:ascii="Calibri" w:cs="Calibri" w:eastAsia="Calibri" w:hAnsi="Calibri"/>
          <w:b/>
          <w:bCs/>
          <w:color w:val="C62828"/>
          <w:sz w:val="22"/>
          <w:szCs w:val="22"/>
        </w:rPr>
        <w:t xml:space="preserve">Q7</w:t>
      </w:r>
      <w:r>
        <w:rPr>
          <w:rFonts w:ascii="Calibri" w:cs="Calibri" w:eastAsia="Calibri" w:hAnsi="Calibri"/>
          <w:b/>
          <w:bCs/>
          <w:color w:val="0D2B4E"/>
          <w:sz w:val="22"/>
          <w:szCs w:val="22"/>
        </w:rPr>
        <w:t xml:space="preserve">  —  Tasty Bytes wants AI-powered menu recommendations. How does your architecture support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A825" w:sz="4"/>
              <w:left w:val="single" w:color="F9A825" w:sz="16"/>
              <w:bottom w:val="single" w:color="F9A825" w:sz="4"/>
              <w:right w:val="none" w:color="FFFFFF" w:sz="0"/>
            </w:tcBorders>
            <w:shd w:fill="FFF8E1" w:val="clear"/>
            <w:tcMar>
              <w:top w:type="dxa" w:w="140"/>
              <w:left w:type="dxa" w:w="220"/>
              <w:bottom w:type="dxa" w:w="140"/>
              <w:right w:type="dxa" w:w="220"/>
            </w:tcMar>
          </w:tcPr>
          <w:p>
            <w:pPr>
              <w:spacing w:after="60" w:before="0"/>
            </w:pPr>
            <w:r>
              <w:rPr>
                <w:rFonts w:ascii="Calibri" w:cs="Calibri" w:eastAsia="Calibri" w:hAnsi="Calibri"/>
                <w:b/>
                <w:bCs/>
                <w:color w:val="F9A825"/>
                <w:sz w:val="20"/>
                <w:szCs w:val="20"/>
              </w:rPr>
              <w:t xml:space="preserve">Testing</w:t>
            </w:r>
          </w:p>
          <w:p>
            <w:pPr>
              <w:spacing w:after="40" w:before="0"/>
            </w:pPr>
            <w:r>
              <w:rPr>
                <w:rFonts w:ascii="Calibri" w:cs="Calibri" w:eastAsia="Calibri" w:hAnsi="Calibri"/>
                <w:color w:val="455A64"/>
                <w:sz w:val="20"/>
                <w:szCs w:val="20"/>
              </w:rPr>
              <w:t xml:space="preserve">SPCS GPU support and Snowflake ML — extrapolating to a new use case.</w:t>
            </w:r>
          </w:p>
        </w:tc>
      </w:tr>
    </w:tbl>
    <w:p>
      <w:pPr>
        <w:spacing w:after="40" w:before="0"/>
      </w:pPr>
      <w:r>
        <w:t xml:space="preserve"/>
      </w:r>
    </w:p>
    <w:p>
      <w:pPr>
        <w:spacing w:after="60" w:before="160"/>
      </w:pPr>
      <w:r>
        <w:rPr>
          <w:rFonts w:ascii="Calibri" w:cs="Calibri" w:eastAsia="Calibri" w:hAnsi="Calibri"/>
          <w:b/>
          <w:bCs/>
          <w:color w:val="00897B"/>
          <w:sz w:val="22"/>
          <w:szCs w:val="22"/>
        </w:rPr>
        <w:t xml:space="preserve">Key points</w:t>
      </w:r>
    </w:p>
    <w:p>
      <w:pPr>
        <w:pStyle w:val="ListParagraph"/>
        <w:numPr>
          <w:ilvl w:val="0"/>
          <w:numId w:val="2"/>
        </w:numPr>
        <w:spacing w:after="50" w:before="30"/>
      </w:pPr>
      <w:r>
        <w:rPr>
          <w:rFonts w:ascii="Calibri" w:cs="Calibri" w:eastAsia="Calibri" w:hAnsi="Calibri"/>
          <w:color w:val="455A64"/>
          <w:sz w:val="20"/>
          <w:szCs w:val="20"/>
        </w:rPr>
        <w:t xml:space="preserve">SPCS supports GPU instance families for model inference</w:t>
      </w:r>
    </w:p>
    <w:p>
      <w:pPr>
        <w:pStyle w:val="ListParagraph"/>
        <w:numPr>
          <w:ilvl w:val="0"/>
          <w:numId w:val="2"/>
        </w:numPr>
        <w:spacing w:after="50" w:before="30"/>
      </w:pPr>
      <w:r>
        <w:rPr>
          <w:rFonts w:ascii="Calibri" w:cs="Calibri" w:eastAsia="Calibri" w:hAnsi="Calibri"/>
          <w:color w:val="455A64"/>
          <w:sz w:val="20"/>
          <w:szCs w:val="20"/>
        </w:rPr>
        <w:t xml:space="preserve">Snowflake Cortex ML Functions can run inference in SQL without a separate service</w:t>
      </w:r>
    </w:p>
    <w:p>
      <w:pPr>
        <w:pStyle w:val="ListParagraph"/>
        <w:numPr>
          <w:ilvl w:val="0"/>
          <w:numId w:val="2"/>
        </w:numPr>
        <w:spacing w:after="50" w:before="30"/>
      </w:pPr>
      <w:r>
        <w:rPr>
          <w:rFonts w:ascii="Calibri" w:cs="Calibri" w:eastAsia="Calibri" w:hAnsi="Calibri"/>
          <w:color w:val="455A64"/>
          <w:sz w:val="20"/>
          <w:szCs w:val="20"/>
        </w:rPr>
        <w:t xml:space="preserve">Training data (ORDERS) already in Snowflake — no ETL needed</w:t>
      </w:r>
    </w:p>
    <w:p>
      <w:pPr>
        <w:pStyle w:val="ListParagraph"/>
        <w:numPr>
          <w:ilvl w:val="0"/>
          <w:numId w:val="2"/>
        </w:numPr>
        <w:spacing w:after="50" w:before="30"/>
      </w:pPr>
      <w:r>
        <w:rPr>
          <w:rFonts w:ascii="Calibri" w:cs="Calibri" w:eastAsia="Calibri" w:hAnsi="Calibri"/>
          <w:color w:val="455A64"/>
          <w:sz w:val="20"/>
          <w:szCs w:val="20"/>
        </w:rPr>
        <w:t xml:space="preserve">Strong answer: separate ML service in SPCS, called from backend internally</w:t>
      </w:r>
    </w:p>
    <w:p>
      <w:pPr>
        <w:spacing w:after="100" w:before="0"/>
      </w:pPr>
      <w:r>
        <w:t xml:space="preserve"/>
      </w:r>
    </w:p>
    <w:p>
      <w:pPr>
        <w:spacing w:after="40" w:before="80"/>
      </w:pPr>
      <w:r>
        <w:rPr>
          <w:rFonts w:ascii="Calibri" w:cs="Calibri" w:eastAsia="Calibri" w:hAnsi="Calibri"/>
          <w:b/>
          <w:bCs/>
          <w:color w:val="C62828"/>
          <w:sz w:val="22"/>
          <w:szCs w:val="22"/>
        </w:rPr>
        <w:t xml:space="preserve">Q8</w:t>
      </w:r>
      <w:r>
        <w:rPr>
          <w:rFonts w:ascii="Calibri" w:cs="Calibri" w:eastAsia="Calibri" w:hAnsi="Calibri"/>
          <w:b/>
          <w:bCs/>
          <w:color w:val="0D2B4E"/>
          <w:sz w:val="22"/>
          <w:szCs w:val="22"/>
        </w:rPr>
        <w:t xml:space="preserve">  —  A franchisee in Brazil says the app is down. How do you diagnose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A825" w:sz="4"/>
              <w:left w:val="single" w:color="F9A825" w:sz="16"/>
              <w:bottom w:val="single" w:color="F9A825" w:sz="4"/>
              <w:right w:val="none" w:color="FFFFFF" w:sz="0"/>
            </w:tcBorders>
            <w:shd w:fill="FFF8E1" w:val="clear"/>
            <w:tcMar>
              <w:top w:type="dxa" w:w="140"/>
              <w:left w:type="dxa" w:w="220"/>
              <w:bottom w:type="dxa" w:w="140"/>
              <w:right w:type="dxa" w:w="220"/>
            </w:tcMar>
          </w:tcPr>
          <w:p>
            <w:pPr>
              <w:spacing w:after="60" w:before="0"/>
            </w:pPr>
            <w:r>
              <w:rPr>
                <w:rFonts w:ascii="Calibri" w:cs="Calibri" w:eastAsia="Calibri" w:hAnsi="Calibri"/>
                <w:b/>
                <w:bCs/>
                <w:color w:val="F9A825"/>
                <w:sz w:val="20"/>
                <w:szCs w:val="20"/>
              </w:rPr>
              <w:t xml:space="preserve">Testing</w:t>
            </w:r>
          </w:p>
          <w:p>
            <w:pPr>
              <w:spacing w:after="40" w:before="0"/>
            </w:pPr>
            <w:r>
              <w:rPr>
                <w:rFonts w:ascii="Calibri" w:cs="Calibri" w:eastAsia="Calibri" w:hAnsi="Calibri"/>
                <w:color w:val="455A64"/>
                <w:sz w:val="20"/>
                <w:szCs w:val="20"/>
              </w:rPr>
              <w:t xml:space="preserve">Operational thinking — observability is a deliberate gap in what interns were taught.</w:t>
            </w:r>
          </w:p>
        </w:tc>
      </w:tr>
    </w:tbl>
    <w:p>
      <w:pPr>
        <w:spacing w:after="40" w:before="0"/>
      </w:pPr>
      <w:r>
        <w:t xml:space="preserve"/>
      </w:r>
    </w:p>
    <w:p>
      <w:pPr>
        <w:spacing w:after="60" w:before="160"/>
      </w:pPr>
      <w:r>
        <w:rPr>
          <w:rFonts w:ascii="Calibri" w:cs="Calibri" w:eastAsia="Calibri" w:hAnsi="Calibri"/>
          <w:b/>
          <w:bCs/>
          <w:color w:val="00897B"/>
          <w:sz w:val="22"/>
          <w:szCs w:val="22"/>
        </w:rPr>
        <w:t xml:space="preserve">Key points</w:t>
      </w:r>
    </w:p>
    <w:p>
      <w:pPr>
        <w:pStyle w:val="ListParagraph"/>
        <w:numPr>
          <w:ilvl w:val="0"/>
          <w:numId w:val="2"/>
        </w:numPr>
        <w:spacing w:after="50" w:before="30"/>
      </w:pPr>
      <w:r>
        <w:rPr>
          <w:rFonts w:ascii="Calibri" w:cs="Calibri" w:eastAsia="Calibri" w:hAnsi="Calibri"/>
          <w:color w:val="455A64"/>
          <w:sz w:val="20"/>
          <w:szCs w:val="20"/>
        </w:rPr>
        <w:t xml:space="preserve">SYSTEM$GET_SERVICE_STATUS — check READY/FAILED/PENDING</w:t>
      </w:r>
    </w:p>
    <w:p>
      <w:pPr>
        <w:pStyle w:val="ListParagraph"/>
        <w:numPr>
          <w:ilvl w:val="0"/>
          <w:numId w:val="2"/>
        </w:numPr>
        <w:spacing w:after="50" w:before="30"/>
      </w:pPr>
      <w:r>
        <w:rPr>
          <w:rFonts w:ascii="Calibri" w:cs="Calibri" w:eastAsia="Calibri" w:hAnsi="Calibri"/>
          <w:color w:val="455A64"/>
          <w:sz w:val="20"/>
          <w:szCs w:val="20"/>
        </w:rPr>
        <w:t xml:space="preserve">SYSTEM$GET_SERVICE_LOGS — separate calls for frontend and router containers</w:t>
      </w:r>
    </w:p>
    <w:p>
      <w:pPr>
        <w:pStyle w:val="ListParagraph"/>
        <w:numPr>
          <w:ilvl w:val="0"/>
          <w:numId w:val="2"/>
        </w:numPr>
        <w:spacing w:after="50" w:before="30"/>
      </w:pPr>
      <w:r>
        <w:rPr>
          <w:rFonts w:ascii="Calibri" w:cs="Calibri" w:eastAsia="Calibri" w:hAnsi="Calibri"/>
          <w:color w:val="455A64"/>
          <w:sz w:val="20"/>
          <w:szCs w:val="20"/>
        </w:rPr>
        <w:t xml:space="preserve">Check compute pool node availability</w:t>
      </w:r>
    </w:p>
    <w:p>
      <w:pPr>
        <w:pStyle w:val="ListParagraph"/>
        <w:numPr>
          <w:ilvl w:val="0"/>
          <w:numId w:val="2"/>
        </w:numPr>
        <w:spacing w:after="50" w:before="30"/>
      </w:pPr>
      <w:r>
        <w:rPr>
          <w:rFonts w:ascii="Calibri" w:cs="Calibri" w:eastAsia="Calibri" w:hAnsi="Calibri"/>
          <w:color w:val="455A64"/>
          <w:sz w:val="20"/>
          <w:szCs w:val="20"/>
        </w:rPr>
        <w:t xml:space="preserve">Check the Virtual Warehouse — suspended or at capacity queues queries</w:t>
      </w:r>
    </w:p>
    <w:p>
      <w:pPr>
        <w:pStyle w:val="ListParagraph"/>
        <w:numPr>
          <w:ilvl w:val="0"/>
          <w:numId w:val="2"/>
        </w:numPr>
        <w:spacing w:after="50" w:before="30"/>
      </w:pPr>
      <w:r>
        <w:rPr>
          <w:rFonts w:ascii="Calibri" w:cs="Calibri" w:eastAsia="Calibri" w:hAnsi="Calibri"/>
          <w:color w:val="455A64"/>
          <w:sz w:val="20"/>
          <w:szCs w:val="20"/>
        </w:rPr>
        <w:t xml:space="preserve">Strong answer: SPCS doesn't natively expose metrics to Datadog — external monitoring is a gap</w:t>
      </w:r>
    </w:p>
    <w:p>
      <w:pPr>
        <w:spacing w:after="100" w:before="0"/>
      </w:pPr>
      <w:r>
        <w:t xml:space="preserve"/>
      </w:r>
    </w:p>
    <w:p>
      <w:pPr>
        <w:spacing w:after="40" w:before="80"/>
      </w:pPr>
      <w:r>
        <w:rPr>
          <w:rFonts w:ascii="Calibri" w:cs="Calibri" w:eastAsia="Calibri" w:hAnsi="Calibri"/>
          <w:b/>
          <w:bCs/>
          <w:color w:val="C62828"/>
          <w:sz w:val="22"/>
          <w:szCs w:val="22"/>
        </w:rPr>
        <w:t xml:space="preserve">Q9</w:t>
      </w:r>
      <w:r>
        <w:rPr>
          <w:rFonts w:ascii="Calibri" w:cs="Calibri" w:eastAsia="Calibri" w:hAnsi="Calibri"/>
          <w:b/>
          <w:bCs/>
          <w:color w:val="0D2B4E"/>
          <w:sz w:val="22"/>
          <w:szCs w:val="22"/>
        </w:rPr>
        <w:t xml:space="preserve">  —  The CTO asks: 'What if we want to leave Snowflake in three years?'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A825" w:sz="4"/>
              <w:left w:val="single" w:color="F9A825" w:sz="16"/>
              <w:bottom w:val="single" w:color="F9A825" w:sz="4"/>
              <w:right w:val="none" w:color="FFFFFF" w:sz="0"/>
            </w:tcBorders>
            <w:shd w:fill="FFF8E1" w:val="clear"/>
            <w:tcMar>
              <w:top w:type="dxa" w:w="140"/>
              <w:left w:type="dxa" w:w="220"/>
              <w:bottom w:type="dxa" w:w="140"/>
              <w:right w:type="dxa" w:w="220"/>
            </w:tcMar>
          </w:tcPr>
          <w:p>
            <w:pPr>
              <w:spacing w:after="60" w:before="0"/>
            </w:pPr>
            <w:r>
              <w:rPr>
                <w:rFonts w:ascii="Calibri" w:cs="Calibri" w:eastAsia="Calibri" w:hAnsi="Calibri"/>
                <w:b/>
                <w:bCs/>
                <w:color w:val="F9A825"/>
                <w:sz w:val="20"/>
                <w:szCs w:val="20"/>
              </w:rPr>
              <w:t xml:space="preserve">Testing</w:t>
            </w:r>
          </w:p>
          <w:p>
            <w:pPr>
              <w:spacing w:after="40" w:before="0"/>
            </w:pPr>
            <w:r>
              <w:rPr>
                <w:rFonts w:ascii="Calibri" w:cs="Calibri" w:eastAsia="Calibri" w:hAnsi="Calibri"/>
                <w:color w:val="455A64"/>
                <w:sz w:val="20"/>
                <w:szCs w:val="20"/>
              </w:rPr>
              <w:t xml:space="preserve">Vendor lock-in — most groups won't have thought about it.</w:t>
            </w:r>
          </w:p>
        </w:tc>
      </w:tr>
    </w:tbl>
    <w:p>
      <w:pPr>
        <w:spacing w:after="40" w:before="0"/>
      </w:pPr>
      <w:r>
        <w:t xml:space="preserve"/>
      </w:r>
    </w:p>
    <w:p>
      <w:pPr>
        <w:spacing w:after="60" w:before="160"/>
      </w:pPr>
      <w:r>
        <w:rPr>
          <w:rFonts w:ascii="Calibri" w:cs="Calibri" w:eastAsia="Calibri" w:hAnsi="Calibri"/>
          <w:b/>
          <w:bCs/>
          <w:color w:val="00897B"/>
          <w:sz w:val="22"/>
          <w:szCs w:val="22"/>
        </w:rPr>
        <w:t xml:space="preserve">Key points</w:t>
      </w:r>
    </w:p>
    <w:p>
      <w:pPr>
        <w:pStyle w:val="ListParagraph"/>
        <w:numPr>
          <w:ilvl w:val="0"/>
          <w:numId w:val="2"/>
        </w:numPr>
        <w:spacing w:after="50" w:before="30"/>
      </w:pPr>
      <w:r>
        <w:rPr>
          <w:rFonts w:ascii="Calibri" w:cs="Calibri" w:eastAsia="Calibri" w:hAnsi="Calibri"/>
          <w:color w:val="455A64"/>
          <w:sz w:val="20"/>
          <w:szCs w:val="20"/>
        </w:rPr>
        <w:t xml:space="preserve">App code (Node.js + React) is portable — runs in any container environment</w:t>
      </w:r>
    </w:p>
    <w:p>
      <w:pPr>
        <w:pStyle w:val="ListParagraph"/>
        <w:numPr>
          <w:ilvl w:val="0"/>
          <w:numId w:val="2"/>
        </w:numPr>
        <w:spacing w:after="50" w:before="30"/>
      </w:pPr>
      <w:r>
        <w:rPr>
          <w:rFonts w:ascii="Calibri" w:cs="Calibri" w:eastAsia="Calibri" w:hAnsi="Calibri"/>
          <w:color w:val="455A64"/>
          <w:sz w:val="20"/>
          <w:szCs w:val="20"/>
        </w:rPr>
        <w:t xml:space="preserve">SPCS-specific: Sf-Context-Current-User header and /snowflake/session/token need refactoring</w:t>
      </w:r>
    </w:p>
    <w:p>
      <w:pPr>
        <w:pStyle w:val="ListParagraph"/>
        <w:numPr>
          <w:ilvl w:val="0"/>
          <w:numId w:val="2"/>
        </w:numPr>
        <w:spacing w:after="50" w:before="30"/>
      </w:pPr>
      <w:r>
        <w:rPr>
          <w:rFonts w:ascii="Calibri" w:cs="Calibri" w:eastAsia="Calibri" w:hAnsi="Calibri"/>
          <w:color w:val="455A64"/>
          <w:sz w:val="20"/>
          <w:szCs w:val="20"/>
        </w:rPr>
        <w:t xml:space="preserve">Data migration (231M rows) is the highest cost</w:t>
      </w:r>
    </w:p>
    <w:p>
      <w:pPr>
        <w:pStyle w:val="ListParagraph"/>
        <w:numPr>
          <w:ilvl w:val="0"/>
          <w:numId w:val="2"/>
        </w:numPr>
        <w:spacing w:after="50" w:before="30"/>
      </w:pPr>
      <w:r>
        <w:rPr>
          <w:rFonts w:ascii="Calibri" w:cs="Calibri" w:eastAsia="Calibri" w:hAnsi="Calibri"/>
          <w:color w:val="455A64"/>
          <w:sz w:val="20"/>
          <w:szCs w:val="20"/>
        </w:rPr>
        <w:t xml:space="preserve">Strong answer: phased exit — rehost containers on ECS/GKE first, tackle data migration separately</w:t>
      </w:r>
    </w:p>
    <w:p>
      <w:pPr>
        <w:spacing w:after="100" w:before="0"/>
      </w:pPr>
      <w:r>
        <w:t xml:space="preserve"/>
      </w:r>
    </w:p>
    <w:p>
      <w:pPr>
        <w:spacing w:after="40" w:before="80"/>
      </w:pPr>
      <w:r>
        <w:rPr>
          <w:rFonts w:ascii="Calibri" w:cs="Calibri" w:eastAsia="Calibri" w:hAnsi="Calibri"/>
          <w:b/>
          <w:bCs/>
          <w:color w:val="C62828"/>
          <w:sz w:val="22"/>
          <w:szCs w:val="22"/>
        </w:rPr>
        <w:t xml:space="preserve">Q10</w:t>
      </w:r>
      <w:r>
        <w:rPr>
          <w:rFonts w:ascii="Calibri" w:cs="Calibri" w:eastAsia="Calibri" w:hAnsi="Calibri"/>
          <w:b/>
          <w:bCs/>
          <w:color w:val="0D2B4E"/>
          <w:sz w:val="22"/>
          <w:szCs w:val="22"/>
        </w:rPr>
        <w:t xml:space="preserve">  —  The repo uses keypair authentication locally instead of password. Why — and what does that tell you about running this in enterprise?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A825" w:sz="4"/>
              <w:left w:val="single" w:color="F9A825" w:sz="16"/>
              <w:bottom w:val="single" w:color="F9A825" w:sz="4"/>
              <w:right w:val="none" w:color="FFFFFF" w:sz="0"/>
            </w:tcBorders>
            <w:shd w:fill="FFF8E1" w:val="clear"/>
            <w:tcMar>
              <w:top w:type="dxa" w:w="140"/>
              <w:left w:type="dxa" w:w="220"/>
              <w:bottom w:type="dxa" w:w="140"/>
              <w:right w:type="dxa" w:w="220"/>
            </w:tcMar>
          </w:tcPr>
          <w:p>
            <w:pPr>
              <w:spacing w:after="60" w:before="0"/>
            </w:pPr>
            <w:r>
              <w:rPr>
                <w:rFonts w:ascii="Calibri" w:cs="Calibri" w:eastAsia="Calibri" w:hAnsi="Calibri"/>
                <w:b/>
                <w:bCs/>
                <w:color w:val="F9A825"/>
                <w:sz w:val="20"/>
                <w:szCs w:val="20"/>
              </w:rPr>
              <w:t xml:space="preserve">Testing</w:t>
            </w:r>
          </w:p>
          <w:p>
            <w:pPr>
              <w:spacing w:after="40" w:before="0"/>
            </w:pPr>
            <w:r>
              <w:rPr>
                <w:rFonts w:ascii="Calibri" w:cs="Calibri" w:eastAsia="Calibri" w:hAnsi="Calibri"/>
                <w:color w:val="455A64"/>
                <w:sz w:val="20"/>
                <w:szCs w:val="20"/>
              </w:rPr>
              <w:t xml:space="preserve">Rewards groups that actually tried running the app locally and hit the MFA wall.</w:t>
            </w:r>
          </w:p>
        </w:tc>
      </w:tr>
    </w:tbl>
    <w:p>
      <w:pPr>
        <w:spacing w:after="40" w:before="0"/>
      </w:pPr>
      <w:r>
        <w:t xml:space="preserve"/>
      </w:r>
    </w:p>
    <w:p>
      <w:pPr>
        <w:spacing w:after="60" w:before="160"/>
      </w:pPr>
      <w:r>
        <w:rPr>
          <w:rFonts w:ascii="Calibri" w:cs="Calibri" w:eastAsia="Calibri" w:hAnsi="Calibri"/>
          <w:b/>
          <w:bCs/>
          <w:color w:val="00897B"/>
          <w:sz w:val="22"/>
          <w:szCs w:val="22"/>
        </w:rPr>
        <w:t xml:space="preserve">Expected Answer</w:t>
      </w:r>
    </w:p>
    <w:p>
      <w:pPr>
        <w:spacing w:after="100" w:before="40"/>
      </w:pPr>
      <w:r>
        <w:rPr>
          <w:rFonts w:ascii="Calibri" w:cs="Calibri" w:eastAsia="Calibri" w:hAnsi="Calibri"/>
          <w:color w:val="455A64"/>
          <w:sz w:val="20"/>
          <w:szCs w:val="20"/>
        </w:rPr>
        <w:t xml:space="preserve">Enterprise Snowflake accounts enforce MFA — password-only auth is blocked. Keypair auth uses RSA cryptographic proof of identity, bypassing MFA. More secure because no credentials in environment variables. In production you'd rotate keys without downtime using Snowflake's dual-key registration (RSA_PUBLIC_KEY and RSA_PUBLIC_KEY_2).</w:t>
      </w:r>
    </w:p>
    <w:p>
      <w:pPr>
        <w:spacing w:after="100" w:before="0"/>
      </w:pPr>
      <w:r>
        <w:t xml:space="preserve"/>
      </w:r>
    </w:p>
    <w:p>
      <w:pPr>
        <w:spacing w:after="40" w:before="80"/>
      </w:pPr>
      <w:r>
        <w:rPr>
          <w:rFonts w:ascii="Calibri" w:cs="Calibri" w:eastAsia="Calibri" w:hAnsi="Calibri"/>
          <w:b/>
          <w:bCs/>
          <w:color w:val="C62828"/>
          <w:sz w:val="22"/>
          <w:szCs w:val="22"/>
        </w:rPr>
        <w:t xml:space="preserve">Q11</w:t>
      </w:r>
      <w:r>
        <w:rPr>
          <w:rFonts w:ascii="Calibri" w:cs="Calibri" w:eastAsia="Calibri" w:hAnsi="Calibri"/>
          <w:b/>
          <w:bCs/>
          <w:color w:val="0D2B4E"/>
          <w:sz w:val="22"/>
          <w:szCs w:val="22"/>
        </w:rPr>
        <w:t xml:space="preserve">  —  You just saw the GitHub Actions pipeline in the repo. If a developer pushes bad code to main, what happens to the live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A825" w:sz="4"/>
              <w:left w:val="single" w:color="F9A825" w:sz="16"/>
              <w:bottom w:val="single" w:color="F9A825" w:sz="4"/>
              <w:right w:val="none" w:color="FFFFFF" w:sz="0"/>
            </w:tcBorders>
            <w:shd w:fill="FFF8E1" w:val="clear"/>
            <w:tcMar>
              <w:top w:type="dxa" w:w="140"/>
              <w:left w:type="dxa" w:w="220"/>
              <w:bottom w:type="dxa" w:w="140"/>
              <w:right w:type="dxa" w:w="220"/>
            </w:tcMar>
          </w:tcPr>
          <w:p>
            <w:pPr>
              <w:spacing w:after="60" w:before="0"/>
            </w:pPr>
            <w:r>
              <w:rPr>
                <w:rFonts w:ascii="Calibri" w:cs="Calibri" w:eastAsia="Calibri" w:hAnsi="Calibri"/>
                <w:b/>
                <w:bCs/>
                <w:color w:val="F9A825"/>
                <w:sz w:val="20"/>
                <w:szCs w:val="20"/>
              </w:rPr>
              <w:t xml:space="preserve">Testing</w:t>
            </w:r>
          </w:p>
          <w:p>
            <w:pPr>
              <w:spacing w:after="40" w:before="0"/>
            </w:pPr>
            <w:r>
              <w:rPr>
                <w:rFonts w:ascii="Calibri" w:cs="Calibri" w:eastAsia="Calibri" w:hAnsi="Calibri"/>
                <w:color w:val="455A64"/>
                <w:sz w:val="20"/>
                <w:szCs w:val="20"/>
              </w:rPr>
              <w:t xml:space="preserve">New question — rewards groups that explored the CI/CD pipeline. Not in the scenario doc at all.</w:t>
            </w:r>
          </w:p>
        </w:tc>
      </w:tr>
    </w:tbl>
    <w:p>
      <w:pPr>
        <w:spacing w:after="40" w:before="0"/>
      </w:pPr>
      <w:r>
        <w:t xml:space="preserve"/>
      </w:r>
    </w:p>
    <w:p>
      <w:pPr>
        <w:spacing w:after="60" w:before="160"/>
      </w:pPr>
      <w:r>
        <w:rPr>
          <w:rFonts w:ascii="Calibri" w:cs="Calibri" w:eastAsia="Calibri" w:hAnsi="Calibri"/>
          <w:b/>
          <w:bCs/>
          <w:color w:val="00897B"/>
          <w:sz w:val="22"/>
          <w:szCs w:val="22"/>
        </w:rPr>
        <w:t xml:space="preserve">Expected Answer</w:t>
      </w:r>
    </w:p>
    <w:p>
      <w:pPr>
        <w:spacing w:after="100" w:before="40"/>
      </w:pPr>
      <w:r>
        <w:rPr>
          <w:rFonts w:ascii="Calibri" w:cs="Calibri" w:eastAsia="Calibri" w:hAnsi="Calibri"/>
          <w:color w:val="455A64"/>
          <w:sz w:val="20"/>
          <w:szCs w:val="20"/>
        </w:rPr>
        <w:t xml:space="preserve">The GitHub Action builds and pushes new Docker images to the Snowflake registry automatically. However, running SPCS services don't auto-update — they continue running the old image until you DROP and recreate the service or run ALTER SERVICE. This means there's a manual deployment step that could be improved with a full CD pipeline that also calls the Snowflake API to redeploy services. A strong answer mentions the need for staging environments and a rollback strategy.</w:t>
      </w:r>
    </w:p>
    <w:p>
      <w:pPr>
        <w:spacing w:after="80" w:before="0"/>
      </w:pPr>
      <w:r>
        <w:t xml:space="preserve"/>
      </w:r>
    </w:p>
    <w:p>
      <w:pPr>
        <w:spacing w:after="60" w:before="160"/>
      </w:pPr>
      <w:r>
        <w:rPr>
          <w:rFonts w:ascii="Calibri" w:cs="Calibri" w:eastAsia="Calibri" w:hAnsi="Calibri"/>
          <w:b/>
          <w:bCs/>
          <w:color w:val="00897B"/>
          <w:sz w:val="22"/>
          <w:szCs w:val="22"/>
        </w:rPr>
        <w:t xml:space="preserve">Follow-up</w:t>
      </w:r>
    </w:p>
    <w:p>
      <w:pPr>
        <w:spacing w:after="100" w:before="40"/>
      </w:pPr>
      <w:r>
        <w:rPr>
          <w:rFonts w:ascii="Calibri" w:cs="Calibri" w:eastAsia="Calibri" w:hAnsi="Calibri"/>
          <w:color w:val="455A64"/>
          <w:sz w:val="20"/>
          <w:szCs w:val="20"/>
        </w:rPr>
        <w:t xml:space="preserve">"How would you add a staging environment to this architecture?" Expected: A second set of services (backend_service_staging, frontend_service_staging) in a separate compute pool, deployed from a staging branch.</w:t>
      </w:r>
    </w:p>
    <w:p>
      <w:pPr>
        <w:pBdr>
          <w:bottom w:val="single" w:color="00897B" w:sz="4" w:space="1"/>
        </w:pBdr>
        <w:spacing w:after="120" w:before="120"/>
      </w:pPr>
      <w:r>
        <w:t xml:space="preserve"/>
      </w:r>
    </w:p>
    <w:p>
      <w:pPr>
        <w:spacing w:after="40" w:before="0"/>
      </w:pPr>
      <w:r>
        <w:t xml:space="preserve"/>
      </w:r>
    </w:p>
    <w:p>
      <w:pPr>
        <w:spacing w:after="0" w:before="40"/>
        <w:jc w:val="center"/>
      </w:pPr>
      <w:r>
        <w:rPr>
          <w:rFonts w:ascii="Calibri" w:cs="Calibri" w:eastAsia="Calibri" w:hAnsi="Calibri"/>
          <w:i/>
          <w:iCs/>
          <w:color w:val="00897B"/>
          <w:sz w:val="18"/>
          <w:szCs w:val="18"/>
        </w:rPr>
        <w:t xml:space="preserve">Remember: the goal is growth, not gotcha. Push them — then tell them what they missed.</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62828" w:sz="4" w:space="1"/>
      </w:pBdr>
      <w:spacing w:after="0" w:before="100"/>
      <w:jc w:val="center"/>
    </w:pPr>
    <w:r>
      <w:rPr>
        <w:rFonts w:ascii="Calibri" w:cs="Calibri" w:eastAsia="Calibri" w:hAnsi="Calibri"/>
        <w:color w:val="C62828"/>
        <w:sz w:val="16"/>
        <w:szCs w:val="16"/>
      </w:rPr>
      <w:t xml:space="preserve">Confidential — Mentor Use Only   |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62828" w:sz="4" w:space="1"/>
      </w:pBdr>
      <w:spacing w:after="100" w:before="0"/>
      <w:jc w:val="right"/>
    </w:pPr>
    <w:r>
      <w:rPr>
        <w:rFonts w:ascii="Calibri" w:cs="Calibri" w:eastAsia="Calibri" w:hAnsi="Calibri"/>
        <w:b/>
        <w:bCs/>
        <w:color w:val="C62828"/>
        <w:sz w:val="16"/>
        <w:szCs w:val="16"/>
      </w:rPr>
      <w:t xml:space="preserve">MENTOR GUIDE — NOT FOR INTERN DISTRIBUTION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Calibri" w:cs="Calibri" w:eastAsia="Calibri" w:hAnsi="Calibri"/>
      <w:b/>
      <w:bCs/>
      <w:color w:val="0D2B4E"/>
      <w:sz w:val="34"/>
      <w:szCs w:val="34"/>
    </w:rPr>
  </w:style>
  <w:style w:type="paragraph" w:styleId="Heading2">
    <w:name w:val="Heading 2"/>
    <w:basedOn w:val="Normal"/>
    <w:next w:val="Normal"/>
    <w:qFormat/>
    <w:pPr>
      <w:spacing w:after="100" w:before="220"/>
      <w:outlineLvl w:val="1"/>
    </w:pPr>
    <w:rPr>
      <w:rFonts w:ascii="Calibri" w:cs="Calibri" w:eastAsia="Calibri" w:hAnsi="Calibri"/>
      <w:b/>
      <w:bCs/>
      <w:color w:val="1565C0"/>
      <w:sz w:val="26"/>
      <w:szCs w:val="26"/>
    </w:rPr>
  </w:style>
  <w:style w:type="paragraph" w:styleId="Heading3">
    <w:name w:val="Heading 3"/>
    <w:basedOn w:val="Normal"/>
    <w:next w:val="Normal"/>
    <w:qFormat/>
    <w:pPr>
      <w:spacing w:after="60" w:before="160"/>
      <w:outlineLvl w:val="2"/>
    </w:pPr>
    <w:rPr>
      <w:rFonts w:ascii="Calibri" w:cs="Calibri" w:eastAsia="Calibri" w:hAnsi="Calibri"/>
      <w:b/>
      <w:bCs/>
      <w:color w:val="00897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2026-05-25T19:47:44.528Z</dcterms:created>
  <dcterms:modified xsi:type="dcterms:W3CDTF">2026-05-25T19:47:44.528Z</dcterms:modified>
</cp:coreProperties>
</file>

<file path=docProps/custom.xml><?xml version="1.0" encoding="utf-8"?>
<Properties xmlns="http://schemas.openxmlformats.org/officeDocument/2006/custom-properties" xmlns:vt="http://schemas.openxmlformats.org/officeDocument/2006/docPropsVTypes"/>
</file>