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F4EC7" w14:textId="211D712B" w:rsidR="00A7651B" w:rsidRPr="00A7651B" w:rsidRDefault="00622A3A" w:rsidP="00A7651B">
      <w:pPr>
        <w:pBdr>
          <w:bottom w:val="single" w:sz="4" w:space="1" w:color="auto"/>
        </w:pBdr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Coupling of plasmons to the two-magnon continuum in antiferromagnets</w:t>
      </w:r>
    </w:p>
    <w:p w14:paraId="26BE0116" w14:textId="1FF9BEB7" w:rsidR="00A7651B" w:rsidRPr="00A7651B" w:rsidRDefault="00622A3A" w:rsidP="00A7651B">
      <w:pPr>
        <w:rPr>
          <w:rFonts w:cstheme="minorHAnsi"/>
        </w:rPr>
      </w:pPr>
      <w:r>
        <w:rPr>
          <w:rFonts w:cstheme="minorHAnsi"/>
        </w:rPr>
        <w:t>Pieter M. Gunnink</w:t>
      </w:r>
      <w:r w:rsidR="00A7651B" w:rsidRPr="00A7651B">
        <w:rPr>
          <w:rFonts w:cstheme="minorHAnsi"/>
          <w:vertAlign w:val="superscript"/>
        </w:rPr>
        <w:t>1</w:t>
      </w:r>
      <w:r w:rsidR="00C85040">
        <w:rPr>
          <w:rFonts w:cstheme="minorHAnsi"/>
          <w:vertAlign w:val="superscript"/>
        </w:rPr>
        <w:t>*</w:t>
      </w:r>
      <w:r w:rsidR="00A7651B" w:rsidRPr="00A7651B">
        <w:rPr>
          <w:rFonts w:cstheme="minorHAnsi"/>
        </w:rPr>
        <w:t>,</w:t>
      </w:r>
      <w:r w:rsidR="00A7651B">
        <w:rPr>
          <w:rFonts w:cstheme="minorHAnsi"/>
        </w:rPr>
        <w:t xml:space="preserve"> </w:t>
      </w:r>
      <w:r>
        <w:rPr>
          <w:rFonts w:cstheme="minorHAnsi"/>
        </w:rPr>
        <w:t>Alexander Mook</w:t>
      </w:r>
      <w:r>
        <w:rPr>
          <w:rFonts w:cstheme="minorHAnsi"/>
          <w:vertAlign w:val="superscript"/>
        </w:rPr>
        <w:t>1</w:t>
      </w:r>
      <w:r w:rsidR="001E1633">
        <w:rPr>
          <w:rFonts w:cstheme="minorHAnsi"/>
          <w:vertAlign w:val="superscript"/>
        </w:rPr>
        <w:t xml:space="preserve"> </w:t>
      </w:r>
    </w:p>
    <w:p w14:paraId="623C65D5" w14:textId="77777777" w:rsidR="00A7651B" w:rsidRPr="00A7651B" w:rsidRDefault="00A7651B" w:rsidP="00A7651B">
      <w:pPr>
        <w:rPr>
          <w:rFonts w:cstheme="minorHAnsi"/>
          <w:iCs/>
        </w:rPr>
      </w:pPr>
    </w:p>
    <w:p w14:paraId="4EB30711" w14:textId="6A708202" w:rsidR="00622A3A" w:rsidRDefault="00A7651B" w:rsidP="00A7651B">
      <w:pPr>
        <w:rPr>
          <w:rFonts w:asciiTheme="majorHAnsi" w:hAnsiTheme="majorHAnsi" w:cstheme="majorHAnsi"/>
          <w:iCs/>
          <w:sz w:val="20"/>
          <w:lang w:val="de-DE"/>
        </w:rPr>
      </w:pPr>
      <w:r w:rsidRPr="00622A3A">
        <w:rPr>
          <w:rFonts w:asciiTheme="majorHAnsi" w:hAnsiTheme="majorHAnsi" w:cstheme="majorHAnsi"/>
          <w:iCs/>
          <w:sz w:val="20"/>
          <w:vertAlign w:val="superscript"/>
          <w:lang w:val="de-DE"/>
        </w:rPr>
        <w:t xml:space="preserve">1 </w:t>
      </w:r>
      <w:r w:rsidR="00622A3A" w:rsidRPr="00622A3A">
        <w:rPr>
          <w:rFonts w:asciiTheme="majorHAnsi" w:hAnsiTheme="majorHAnsi" w:cstheme="majorHAnsi"/>
          <w:iCs/>
          <w:sz w:val="20"/>
          <w:lang w:val="de-DE"/>
        </w:rPr>
        <w:t xml:space="preserve">Institute </w:t>
      </w:r>
      <w:proofErr w:type="spellStart"/>
      <w:r w:rsidR="00622A3A" w:rsidRPr="00622A3A">
        <w:rPr>
          <w:rFonts w:asciiTheme="majorHAnsi" w:hAnsiTheme="majorHAnsi" w:cstheme="majorHAnsi"/>
          <w:iCs/>
          <w:sz w:val="20"/>
          <w:lang w:val="de-DE"/>
        </w:rPr>
        <w:t>of</w:t>
      </w:r>
      <w:proofErr w:type="spellEnd"/>
      <w:r w:rsidR="00622A3A" w:rsidRPr="00622A3A">
        <w:rPr>
          <w:rFonts w:asciiTheme="majorHAnsi" w:hAnsiTheme="majorHAnsi" w:cstheme="majorHAnsi"/>
          <w:iCs/>
          <w:sz w:val="20"/>
          <w:lang w:val="de-DE"/>
        </w:rPr>
        <w:t xml:space="preserve"> Physics, Johannes Gutenberg-University Mainz, Staudingerweg 7, Mainz 55128, Germany</w:t>
      </w:r>
    </w:p>
    <w:p w14:paraId="3567736D" w14:textId="6FD8B63E" w:rsidR="00A7651B" w:rsidRPr="00926F50" w:rsidRDefault="00C85040" w:rsidP="00A7651B">
      <w:pPr>
        <w:rPr>
          <w:rFonts w:asciiTheme="majorHAnsi" w:hAnsiTheme="majorHAnsi" w:cstheme="majorHAnsi"/>
          <w:sz w:val="20"/>
        </w:rPr>
      </w:pPr>
      <w:r w:rsidRPr="00926F50">
        <w:rPr>
          <w:rFonts w:asciiTheme="majorHAnsi" w:hAnsiTheme="majorHAnsi" w:cstheme="majorHAnsi"/>
          <w:sz w:val="20"/>
        </w:rPr>
        <w:t>*</w:t>
      </w:r>
      <w:r w:rsidR="00622A3A">
        <w:rPr>
          <w:rFonts w:asciiTheme="majorHAnsi" w:hAnsiTheme="majorHAnsi" w:cstheme="majorHAnsi"/>
          <w:sz w:val="20"/>
        </w:rPr>
        <w:t>pgunnink@uni-mainz.de</w:t>
      </w:r>
    </w:p>
    <w:p w14:paraId="5CC3F34A" w14:textId="77777777" w:rsidR="00A7651B" w:rsidRDefault="00A7651B" w:rsidP="00A7651B">
      <w:pPr>
        <w:rPr>
          <w:rFonts w:cstheme="minorHAnsi"/>
        </w:rPr>
      </w:pPr>
    </w:p>
    <w:p w14:paraId="64593DCA" w14:textId="77777777" w:rsidR="008F6E27" w:rsidRDefault="008F6E27" w:rsidP="00A7651B">
      <w:pPr>
        <w:rPr>
          <w:rFonts w:cstheme="minorHAnsi"/>
        </w:rPr>
      </w:pPr>
    </w:p>
    <w:p w14:paraId="3B2D5EEA" w14:textId="52015AC3" w:rsidR="00622A3A" w:rsidRPr="00622A3A" w:rsidRDefault="00622A3A" w:rsidP="00622A3A">
      <w:pPr>
        <w:jc w:val="both"/>
        <w:rPr>
          <w:rFonts w:asciiTheme="majorHAnsi" w:hAnsiTheme="majorHAnsi" w:cstheme="majorHAnsi"/>
          <w:lang w:val="en-DE"/>
        </w:rPr>
      </w:pPr>
      <w:r w:rsidRPr="00622A3A">
        <w:rPr>
          <w:rFonts w:asciiTheme="majorHAnsi" w:hAnsiTheme="majorHAnsi" w:cstheme="majorHAnsi"/>
          <w:lang w:val="en-DE"/>
        </w:rPr>
        <w:t>The coupling of magnons and plasmons offers a promising avenue for hybrid quantum systems, facilitating coherent energy and information transfer between magnetic and charge excitations. However, existing mechanisms often depend on weak spin-orbit coupling or temperature-activated processes, limiting their robustness for low-temperature quantum technologies. Here</w:t>
      </w:r>
      <w:r>
        <w:rPr>
          <w:rFonts w:asciiTheme="majorHAnsi" w:hAnsiTheme="majorHAnsi" w:cstheme="majorHAnsi"/>
          <w:lang w:val="en-DE"/>
        </w:rPr>
        <w:t xml:space="preserve"> [1]</w:t>
      </w:r>
      <w:r w:rsidRPr="00622A3A">
        <w:rPr>
          <w:rFonts w:asciiTheme="majorHAnsi" w:hAnsiTheme="majorHAnsi" w:cstheme="majorHAnsi"/>
          <w:lang w:val="en-DE"/>
        </w:rPr>
        <w:t>, we propose a novel coupling mechanism between plasmons and the two-magnon continuum in antiferromagnetic insulators, which operates at zero temperature and does not require spin-orbit coupling. Using a model system consisting of a two-dimensional electron gas on an insulating antiferromagnetic substrate, we show that the electric field of the plasmons interacts with the magnetically mediated electric polarization in the antiferromagnet</w:t>
      </w:r>
      <w:r>
        <w:rPr>
          <w:rFonts w:asciiTheme="majorHAnsi" w:hAnsiTheme="majorHAnsi" w:cstheme="majorHAnsi"/>
          <w:lang w:val="en-DE"/>
        </w:rPr>
        <w:t xml:space="preserve"> [2]</w:t>
      </w:r>
      <w:r w:rsidRPr="00622A3A">
        <w:rPr>
          <w:rFonts w:asciiTheme="majorHAnsi" w:hAnsiTheme="majorHAnsi" w:cstheme="majorHAnsi"/>
          <w:lang w:val="en-DE"/>
        </w:rPr>
        <w:t>, arising from bonds with broken inversion symmetry. This interaction enables strong coupling to the spin-conserving two-magnon continuum, allowing for efficient hybridization.</w:t>
      </w:r>
    </w:p>
    <w:p w14:paraId="569F042F" w14:textId="77777777" w:rsidR="00622A3A" w:rsidRPr="00622A3A" w:rsidRDefault="00622A3A" w:rsidP="00622A3A">
      <w:pPr>
        <w:jc w:val="both"/>
        <w:rPr>
          <w:rFonts w:asciiTheme="majorHAnsi" w:hAnsiTheme="majorHAnsi" w:cstheme="majorHAnsi"/>
          <w:lang w:val="en-DE"/>
        </w:rPr>
      </w:pPr>
    </w:p>
    <w:p w14:paraId="0D3514EE" w14:textId="77777777" w:rsidR="00BA59F2" w:rsidRDefault="00BA59F2" w:rsidP="0073787C">
      <w:pPr>
        <w:jc w:val="both"/>
        <w:rPr>
          <w:rFonts w:asciiTheme="majorHAnsi" w:hAnsiTheme="majorHAnsi" w:cstheme="majorHAnsi"/>
          <w:lang w:val="es-MX"/>
        </w:rPr>
      </w:pPr>
    </w:p>
    <w:p w14:paraId="388BFC2A" w14:textId="73E36842" w:rsidR="00BA59F2" w:rsidRDefault="00622A3A" w:rsidP="0073787C">
      <w:pPr>
        <w:jc w:val="both"/>
        <w:rPr>
          <w:rFonts w:asciiTheme="majorHAnsi" w:hAnsiTheme="majorHAnsi" w:cstheme="majorHAnsi"/>
          <w:lang w:val="es-MX"/>
        </w:rPr>
      </w:pPr>
      <w:r>
        <w:rPr>
          <w:rFonts w:asciiTheme="majorHAnsi" w:hAnsiTheme="majorHAnsi" w:cstheme="majorHAnsi"/>
          <w:noProof/>
          <w:lang w:val="es-MX"/>
        </w:rPr>
        <w:drawing>
          <wp:inline distT="0" distB="0" distL="0" distR="0" wp14:anchorId="31416D95" wp14:editId="6553A0AE">
            <wp:extent cx="2340244" cy="1931153"/>
            <wp:effectExtent l="0" t="0" r="0" b="0"/>
            <wp:docPr id="17840195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19514" name="Picture 17840195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3296" cy="195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2A3A">
        <w:rPr>
          <w:noProof/>
        </w:rPr>
        <w:t xml:space="preserve"> </w:t>
      </w:r>
      <w:r>
        <w:rPr>
          <w:noProof/>
        </w:rPr>
        <w:t xml:space="preserve">   </w:t>
      </w:r>
      <w:r>
        <w:rPr>
          <w:rFonts w:asciiTheme="majorHAnsi" w:hAnsiTheme="majorHAnsi" w:cstheme="majorHAnsi"/>
          <w:noProof/>
          <w:lang w:val="es-MX"/>
        </w:rPr>
        <w:drawing>
          <wp:inline distT="0" distB="0" distL="0" distR="0" wp14:anchorId="762395EC" wp14:editId="5A95D98A">
            <wp:extent cx="2946400" cy="2133600"/>
            <wp:effectExtent l="0" t="0" r="0" b="0"/>
            <wp:docPr id="540579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7953" name="Picture 540579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88C0" w14:textId="6DB03EA4" w:rsidR="00BA59F2" w:rsidRPr="004F47A8" w:rsidRDefault="00BA59F2" w:rsidP="0073787C">
      <w:pPr>
        <w:jc w:val="both"/>
        <w:rPr>
          <w:rFonts w:asciiTheme="majorHAnsi" w:hAnsiTheme="majorHAnsi" w:cstheme="majorHAnsi"/>
          <w:lang w:val="es-MX"/>
        </w:rPr>
      </w:pPr>
    </w:p>
    <w:p w14:paraId="467D95D3" w14:textId="69ED39D0" w:rsidR="00926F50" w:rsidRPr="004F47A8" w:rsidRDefault="00926F50" w:rsidP="00A7651B">
      <w:pPr>
        <w:rPr>
          <w:rFonts w:asciiTheme="majorHAnsi" w:hAnsiTheme="majorHAnsi" w:cstheme="majorHAnsi"/>
          <w:lang w:val="es-MX"/>
        </w:rPr>
      </w:pPr>
    </w:p>
    <w:p w14:paraId="5AE98D5A" w14:textId="3BD4613A" w:rsidR="00A7651B" w:rsidRPr="00A7651B" w:rsidRDefault="00A7651B" w:rsidP="00622A3A">
      <w:pPr>
        <w:rPr>
          <w:rFonts w:asciiTheme="majorHAnsi" w:hAnsiTheme="majorHAnsi" w:cstheme="majorHAnsi"/>
          <w:b/>
          <w:sz w:val="18"/>
        </w:rPr>
      </w:pPr>
      <w:r w:rsidRPr="00A7651B">
        <w:rPr>
          <w:rFonts w:asciiTheme="majorHAnsi" w:hAnsiTheme="majorHAnsi" w:cstheme="majorHAnsi"/>
          <w:b/>
          <w:sz w:val="18"/>
        </w:rPr>
        <w:t>Figure 1.</w:t>
      </w:r>
      <w:r w:rsidRPr="00A7651B">
        <w:rPr>
          <w:rFonts w:asciiTheme="majorHAnsi" w:hAnsiTheme="majorHAnsi" w:cstheme="majorHAnsi"/>
          <w:sz w:val="18"/>
        </w:rPr>
        <w:t xml:space="preserve"> </w:t>
      </w:r>
      <w:r w:rsidR="00622A3A">
        <w:rPr>
          <w:rFonts w:asciiTheme="majorHAnsi" w:hAnsiTheme="majorHAnsi" w:cstheme="majorHAnsi"/>
          <w:sz w:val="18"/>
        </w:rPr>
        <w:t xml:space="preserve">(Left) </w:t>
      </w:r>
      <w:r w:rsidR="00622A3A" w:rsidRPr="00622A3A">
        <w:rPr>
          <w:rFonts w:asciiTheme="majorHAnsi" w:hAnsiTheme="majorHAnsi" w:cstheme="majorHAnsi"/>
          <w:sz w:val="18"/>
        </w:rPr>
        <w:t>The setup considered, where a two-dimensional electron gas (2DEG) is placed on top of a semi-infinite insulating antiferromagnet. The 2DEG supports gapless plasmons, and their electric field extends into the antiferromagnet, where they couple to the two-magnon continuum</w:t>
      </w:r>
      <w:r w:rsidR="00622A3A">
        <w:rPr>
          <w:rFonts w:asciiTheme="majorHAnsi" w:hAnsiTheme="majorHAnsi" w:cstheme="majorHAnsi"/>
          <w:sz w:val="18"/>
        </w:rPr>
        <w:t xml:space="preserve">. (Right) </w:t>
      </w:r>
      <w:r w:rsidR="00622A3A" w:rsidRPr="00622A3A">
        <w:rPr>
          <w:rFonts w:asciiTheme="majorHAnsi" w:hAnsiTheme="majorHAnsi" w:cstheme="majorHAnsi"/>
          <w:sz w:val="18"/>
        </w:rPr>
        <w:t>The plasmon spectral function</w:t>
      </w:r>
      <w:r w:rsidR="00CE4027">
        <w:rPr>
          <w:rFonts w:asciiTheme="majorHAnsi" w:hAnsiTheme="majorHAnsi" w:cstheme="majorHAnsi"/>
          <w:sz w:val="18"/>
        </w:rPr>
        <w:t xml:space="preserve">. </w:t>
      </w:r>
      <w:r w:rsidR="00622A3A" w:rsidRPr="00622A3A">
        <w:rPr>
          <w:rFonts w:asciiTheme="majorHAnsi" w:hAnsiTheme="majorHAnsi" w:cstheme="majorHAnsi"/>
          <w:sz w:val="18"/>
        </w:rPr>
        <w:t>The lower and</w:t>
      </w:r>
      <w:r w:rsidR="00622A3A">
        <w:rPr>
          <w:rFonts w:asciiTheme="majorHAnsi" w:hAnsiTheme="majorHAnsi" w:cstheme="majorHAnsi"/>
          <w:sz w:val="18"/>
        </w:rPr>
        <w:t xml:space="preserve"> </w:t>
      </w:r>
      <w:r w:rsidR="00622A3A" w:rsidRPr="00622A3A">
        <w:rPr>
          <w:rFonts w:asciiTheme="majorHAnsi" w:hAnsiTheme="majorHAnsi" w:cstheme="majorHAnsi"/>
          <w:sz w:val="18"/>
        </w:rPr>
        <w:t>upper edges of the spin-zero two-magnon continuum are indicated by the horizontal white lines</w:t>
      </w:r>
      <w:r w:rsidR="00CE4027">
        <w:rPr>
          <w:rFonts w:asciiTheme="majorHAnsi" w:hAnsiTheme="majorHAnsi" w:cstheme="majorHAnsi"/>
          <w:sz w:val="18"/>
        </w:rPr>
        <w:t xml:space="preserve">. The bare plasmon dispersion is given by the dotted white line. As the plasmon reaches the upper edge of the </w:t>
      </w:r>
      <w:r w:rsidR="00CE4027" w:rsidRPr="00622A3A">
        <w:rPr>
          <w:rFonts w:asciiTheme="majorHAnsi" w:hAnsiTheme="majorHAnsi" w:cstheme="majorHAnsi"/>
          <w:sz w:val="18"/>
        </w:rPr>
        <w:t>spin-zero two-magnon continuum</w:t>
      </w:r>
      <w:r w:rsidR="00CE4027">
        <w:rPr>
          <w:rFonts w:asciiTheme="majorHAnsi" w:hAnsiTheme="majorHAnsi" w:cstheme="majorHAnsi"/>
          <w:sz w:val="18"/>
        </w:rPr>
        <w:t>, it decays into the continuum, demonstrating the coupling between plasmons and the two-magnon continuum.</w:t>
      </w:r>
    </w:p>
    <w:p w14:paraId="4CE09D65" w14:textId="1AED622C" w:rsidR="00A7651B" w:rsidRPr="00A7651B" w:rsidRDefault="00A7651B" w:rsidP="00A7651B">
      <w:pPr>
        <w:rPr>
          <w:rFonts w:cstheme="minorHAnsi"/>
        </w:rPr>
      </w:pPr>
    </w:p>
    <w:p w14:paraId="15453FE3" w14:textId="77777777" w:rsidR="008F6E27" w:rsidRPr="004F47A8" w:rsidRDefault="008F6E27" w:rsidP="00A7651B">
      <w:pPr>
        <w:rPr>
          <w:rFonts w:cstheme="minorHAnsi"/>
          <w:b/>
          <w:sz w:val="20"/>
          <w:lang w:val="es-MX"/>
        </w:rPr>
      </w:pPr>
    </w:p>
    <w:p w14:paraId="40D2A317" w14:textId="10765B73" w:rsidR="00C85040" w:rsidRPr="004F47A8" w:rsidRDefault="00C85040" w:rsidP="00A7651B">
      <w:pPr>
        <w:rPr>
          <w:rFonts w:cstheme="minorHAnsi"/>
          <w:b/>
          <w:sz w:val="20"/>
          <w:lang w:val="es-MX"/>
        </w:rPr>
      </w:pPr>
    </w:p>
    <w:p w14:paraId="6BC7819E" w14:textId="77777777" w:rsidR="00A7651B" w:rsidRPr="00A7651B" w:rsidRDefault="00A7651B" w:rsidP="00A7651B">
      <w:pPr>
        <w:rPr>
          <w:rFonts w:cstheme="minorHAnsi"/>
          <w:b/>
          <w:sz w:val="20"/>
        </w:rPr>
      </w:pPr>
      <w:r w:rsidRPr="00A7651B">
        <w:rPr>
          <w:rFonts w:cstheme="minorHAnsi"/>
          <w:b/>
          <w:sz w:val="20"/>
        </w:rPr>
        <w:t>References</w:t>
      </w:r>
    </w:p>
    <w:p w14:paraId="1A4DF577" w14:textId="235657EE" w:rsidR="00F44A56" w:rsidRDefault="00A7651B">
      <w:pPr>
        <w:rPr>
          <w:rFonts w:asciiTheme="majorHAnsi" w:hAnsiTheme="majorHAnsi" w:cstheme="majorHAnsi"/>
          <w:sz w:val="20"/>
        </w:rPr>
      </w:pPr>
      <w:r w:rsidRPr="00C85040">
        <w:rPr>
          <w:rFonts w:asciiTheme="majorHAnsi" w:hAnsiTheme="majorHAnsi" w:cstheme="majorHAnsi"/>
          <w:sz w:val="20"/>
        </w:rPr>
        <w:t xml:space="preserve">[1] </w:t>
      </w:r>
      <w:r w:rsidR="00622A3A">
        <w:rPr>
          <w:rFonts w:asciiTheme="majorHAnsi" w:hAnsiTheme="majorHAnsi" w:cstheme="majorHAnsi"/>
          <w:sz w:val="20"/>
        </w:rPr>
        <w:t xml:space="preserve">P.M. Gunnink and A. Mook, </w:t>
      </w:r>
      <w:r w:rsidR="00622A3A" w:rsidRPr="00622A3A">
        <w:rPr>
          <w:rFonts w:asciiTheme="majorHAnsi" w:hAnsiTheme="majorHAnsi" w:cstheme="majorHAnsi"/>
          <w:sz w:val="20"/>
        </w:rPr>
        <w:t>arXiv:2501.12873</w:t>
      </w:r>
      <w:r w:rsidR="00CE4027">
        <w:rPr>
          <w:rFonts w:asciiTheme="majorHAnsi" w:hAnsiTheme="majorHAnsi" w:cstheme="majorHAnsi"/>
          <w:sz w:val="20"/>
        </w:rPr>
        <w:t xml:space="preserve"> (2025)</w:t>
      </w:r>
    </w:p>
    <w:p w14:paraId="408BD9A9" w14:textId="1BDF6C8A" w:rsidR="00622A3A" w:rsidRPr="00622A3A" w:rsidRDefault="00622A3A" w:rsidP="00622A3A">
      <w:pPr>
        <w:rPr>
          <w:rFonts w:asciiTheme="majorHAnsi" w:hAnsiTheme="majorHAnsi" w:cstheme="majorHAnsi"/>
          <w:sz w:val="20"/>
        </w:rPr>
      </w:pPr>
      <w:r>
        <w:rPr>
          <w:rFonts w:asciiTheme="majorHAnsi" w:hAnsiTheme="majorHAnsi" w:cstheme="majorHAnsi"/>
          <w:sz w:val="20"/>
        </w:rPr>
        <w:t xml:space="preserve">[2] </w:t>
      </w:r>
      <w:r w:rsidRPr="00622A3A">
        <w:rPr>
          <w:rFonts w:asciiTheme="majorHAnsi" w:hAnsiTheme="majorHAnsi" w:cstheme="majorHAnsi"/>
          <w:sz w:val="20"/>
        </w:rPr>
        <w:t>T. Moriya, Journal of the Physical Society of Japan 23, 490 (1967).</w:t>
      </w:r>
    </w:p>
    <w:sectPr w:rsidR="00622A3A" w:rsidRPr="00622A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CAB87" w14:textId="77777777" w:rsidR="00142519" w:rsidRDefault="00142519" w:rsidP="00622A3A">
      <w:r>
        <w:separator/>
      </w:r>
    </w:p>
  </w:endnote>
  <w:endnote w:type="continuationSeparator" w:id="0">
    <w:p w14:paraId="2F2F01D7" w14:textId="77777777" w:rsidR="00142519" w:rsidRDefault="00142519" w:rsidP="00622A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0EA86" w14:textId="77777777" w:rsidR="00142519" w:rsidRDefault="00142519" w:rsidP="00622A3A">
      <w:r>
        <w:separator/>
      </w:r>
    </w:p>
  </w:footnote>
  <w:footnote w:type="continuationSeparator" w:id="0">
    <w:p w14:paraId="2D3E56B3" w14:textId="77777777" w:rsidR="00142519" w:rsidRDefault="00142519" w:rsidP="00622A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51B"/>
    <w:rsid w:val="000A2CAF"/>
    <w:rsid w:val="000F25B8"/>
    <w:rsid w:val="00104DED"/>
    <w:rsid w:val="00142519"/>
    <w:rsid w:val="001D7F92"/>
    <w:rsid w:val="001E1633"/>
    <w:rsid w:val="002C083C"/>
    <w:rsid w:val="00425C0E"/>
    <w:rsid w:val="004F47A8"/>
    <w:rsid w:val="00563BDD"/>
    <w:rsid w:val="005B557C"/>
    <w:rsid w:val="005C3642"/>
    <w:rsid w:val="00622A3A"/>
    <w:rsid w:val="00693A7B"/>
    <w:rsid w:val="007102CB"/>
    <w:rsid w:val="0073787C"/>
    <w:rsid w:val="00742ABB"/>
    <w:rsid w:val="008C788A"/>
    <w:rsid w:val="008F0B67"/>
    <w:rsid w:val="008F6E27"/>
    <w:rsid w:val="00926F50"/>
    <w:rsid w:val="009D203A"/>
    <w:rsid w:val="00A7651B"/>
    <w:rsid w:val="00BA5051"/>
    <w:rsid w:val="00BA59F2"/>
    <w:rsid w:val="00C85040"/>
    <w:rsid w:val="00CE4027"/>
    <w:rsid w:val="00D87304"/>
    <w:rsid w:val="00EB7363"/>
    <w:rsid w:val="00F44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B59B82"/>
  <w15:chartTrackingRefBased/>
  <w15:docId w15:val="{F663E940-9405-4335-A7C6-D3590C897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51B"/>
    <w:pPr>
      <w:spacing w:after="0" w:line="240" w:lineRule="auto"/>
    </w:pPr>
    <w:rPr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2A3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2A3A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622A3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2A3A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9279">
          <w:blockQuote w:val="1"/>
          <w:marLeft w:val="720"/>
          <w:marRight w:val="720"/>
          <w:marTop w:val="100"/>
          <w:marBottom w:val="3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7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38008">
          <w:blockQuote w:val="1"/>
          <w:marLeft w:val="720"/>
          <w:marRight w:val="720"/>
          <w:marTop w:val="100"/>
          <w:marBottom w:val="3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Verena Resch</dc:creator>
  <cp:keywords/>
  <dc:description/>
  <cp:lastModifiedBy>Pieter Gunnink</cp:lastModifiedBy>
  <cp:revision>3</cp:revision>
  <dcterms:created xsi:type="dcterms:W3CDTF">2025-03-05T09:44:00Z</dcterms:created>
  <dcterms:modified xsi:type="dcterms:W3CDTF">2025-03-05T09:47:00Z</dcterms:modified>
</cp:coreProperties>
</file>