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6115A" w:rsidRDefault="0016115A">
      <w:pPr>
        <w:rPr>
          <w:rFonts w:ascii="Aptos" w:hAnsi="Aptos"/>
          <w:color w:val="212121"/>
          <w:sz w:val="20"/>
          <w:szCs w:val="20"/>
        </w:rPr>
      </w:pPr>
      <w:r>
        <w:rPr>
          <w:rFonts w:ascii="Aptos" w:hAnsi="Aptos"/>
          <w:color w:val="212121"/>
          <w:sz w:val="20"/>
          <w:szCs w:val="20"/>
        </w:rPr>
        <w:t>We thank the referees for their comments and positive feedback. We address their concerns below.</w:t>
      </w:r>
    </w:p>
    <w:p w:rsidR="0016115A" w:rsidRDefault="0016115A">
      <w:pPr>
        <w:rPr>
          <w:rFonts w:ascii="Aptos" w:hAnsi="Aptos"/>
          <w:color w:val="212121"/>
          <w:sz w:val="20"/>
          <w:szCs w:val="20"/>
        </w:rPr>
      </w:pPr>
    </w:p>
    <w:p w:rsidR="0016115A" w:rsidRDefault="0016115A">
      <w:pPr>
        <w:rPr>
          <w:rFonts w:ascii="Aptos" w:hAnsi="Aptos"/>
          <w:color w:val="212121"/>
          <w:sz w:val="20"/>
          <w:szCs w:val="20"/>
        </w:rPr>
      </w:pPr>
      <w:r>
        <w:rPr>
          <w:rFonts w:ascii="Aptos" w:hAnsi="Aptos"/>
          <w:color w:val="212121"/>
          <w:sz w:val="20"/>
          <w:szCs w:val="20"/>
        </w:rPr>
        <w:t>The manuscript by Gunnink and Mook is a nice piece of research on the</w:t>
      </w:r>
      <w:r>
        <w:rPr>
          <w:rFonts w:ascii="Aptos" w:hAnsi="Aptos"/>
          <w:color w:val="212121"/>
          <w:sz w:val="20"/>
          <w:szCs w:val="20"/>
        </w:rPr>
        <w:br/>
        <w:t>interface between plasmonics and magnetism. I will recommend</w:t>
      </w:r>
      <w:r>
        <w:rPr>
          <w:rFonts w:ascii="Aptos" w:hAnsi="Aptos"/>
          <w:color w:val="212121"/>
          <w:sz w:val="20"/>
          <w:szCs w:val="20"/>
        </w:rPr>
        <w:br/>
        <w:t>publication provided the authors address the following comments:</w:t>
      </w:r>
      <w:r>
        <w:rPr>
          <w:rFonts w:ascii="Aptos" w:hAnsi="Aptos"/>
          <w:color w:val="212121"/>
          <w:sz w:val="20"/>
          <w:szCs w:val="20"/>
        </w:rPr>
        <w:br/>
      </w:r>
      <w:r>
        <w:rPr>
          <w:rFonts w:ascii="Aptos" w:hAnsi="Aptos"/>
          <w:color w:val="212121"/>
          <w:sz w:val="20"/>
          <w:szCs w:val="20"/>
        </w:rPr>
        <w:br/>
        <w:t>1.) The role of the nonmagnetic ions is not clarified enough. In</w:t>
      </w:r>
      <w:r>
        <w:rPr>
          <w:rFonts w:ascii="Aptos" w:hAnsi="Aptos"/>
          <w:color w:val="212121"/>
          <w:sz w:val="20"/>
          <w:szCs w:val="20"/>
        </w:rPr>
        <w:t xml:space="preserve"> </w:t>
      </w:r>
      <w:r>
        <w:rPr>
          <w:rFonts w:ascii="Aptos" w:hAnsi="Aptos"/>
          <w:color w:val="212121"/>
          <w:sz w:val="20"/>
          <w:szCs w:val="20"/>
        </w:rPr>
        <w:t>particular, the authors do not detail how they enter into the</w:t>
      </w:r>
      <w:r>
        <w:rPr>
          <w:rFonts w:ascii="Aptos" w:hAnsi="Aptos"/>
          <w:color w:val="212121"/>
          <w:sz w:val="20"/>
          <w:szCs w:val="20"/>
        </w:rPr>
        <w:t xml:space="preserve"> </w:t>
      </w:r>
      <w:r>
        <w:rPr>
          <w:rFonts w:ascii="Aptos" w:hAnsi="Aptos"/>
          <w:color w:val="212121"/>
          <w:sz w:val="20"/>
          <w:szCs w:val="20"/>
        </w:rPr>
        <w:t>calculation, except for the presentation of Eqs. (10) and (11). Please</w:t>
      </w:r>
      <w:r>
        <w:rPr>
          <w:rFonts w:ascii="Aptos" w:hAnsi="Aptos"/>
          <w:color w:val="212121"/>
          <w:sz w:val="20"/>
          <w:szCs w:val="20"/>
        </w:rPr>
        <w:t xml:space="preserve"> </w:t>
      </w:r>
      <w:r>
        <w:rPr>
          <w:rFonts w:ascii="Aptos" w:hAnsi="Aptos"/>
          <w:color w:val="212121"/>
          <w:sz w:val="20"/>
          <w:szCs w:val="20"/>
        </w:rPr>
        <w:t>provide the calculation of these quantities accompanied by a drawing</w:t>
      </w:r>
      <w:r>
        <w:rPr>
          <w:rFonts w:ascii="Aptos" w:hAnsi="Aptos"/>
          <w:color w:val="212121"/>
          <w:sz w:val="20"/>
          <w:szCs w:val="20"/>
        </w:rPr>
        <w:t xml:space="preserve"> </w:t>
      </w:r>
      <w:r>
        <w:rPr>
          <w:rFonts w:ascii="Aptos" w:hAnsi="Aptos"/>
          <w:color w:val="212121"/>
          <w:sz w:val="20"/>
          <w:szCs w:val="20"/>
        </w:rPr>
        <w:t>to highlight the calculation graphically.</w:t>
      </w:r>
    </w:p>
    <w:p w:rsidR="0016115A" w:rsidRPr="0016115A" w:rsidRDefault="0016115A">
      <w:pPr>
        <w:rPr>
          <w:rFonts w:ascii="Aptos" w:hAnsi="Aptos"/>
          <w:i/>
          <w:iCs/>
          <w:color w:val="212121"/>
          <w:sz w:val="20"/>
          <w:szCs w:val="20"/>
        </w:rPr>
      </w:pPr>
      <w:r w:rsidRPr="0016115A">
        <w:rPr>
          <w:rFonts w:ascii="Aptos" w:hAnsi="Aptos"/>
          <w:i/>
          <w:iCs/>
          <w:color w:val="212121"/>
          <w:sz w:val="20"/>
          <w:szCs w:val="20"/>
        </w:rPr>
        <w:br/>
      </w:r>
      <w:r w:rsidRPr="0016115A">
        <w:rPr>
          <w:rFonts w:ascii="Aptos" w:hAnsi="Aptos"/>
          <w:i/>
          <w:iCs/>
          <w:color w:val="212121"/>
          <w:sz w:val="20"/>
          <w:szCs w:val="20"/>
        </w:rPr>
        <w:br/>
        <w:t>2. Eq. (2) is central to the work. The authors refer to Ref. [26], but</w:t>
      </w:r>
      <w:r w:rsidRPr="0016115A">
        <w:rPr>
          <w:rFonts w:ascii="Aptos" w:hAnsi="Aptos"/>
          <w:i/>
          <w:iCs/>
          <w:color w:val="212121"/>
          <w:sz w:val="20"/>
          <w:szCs w:val="20"/>
        </w:rPr>
        <w:t xml:space="preserve"> </w:t>
      </w:r>
      <w:r w:rsidRPr="0016115A">
        <w:rPr>
          <w:rFonts w:ascii="Aptos" w:hAnsi="Aptos"/>
          <w:i/>
          <w:iCs/>
          <w:color w:val="212121"/>
          <w:sz w:val="20"/>
          <w:szCs w:val="20"/>
        </w:rPr>
        <w:t>there, we only find the same quantity without a derivation. How</w:t>
      </w:r>
      <w:r w:rsidRPr="0016115A">
        <w:rPr>
          <w:rFonts w:ascii="Aptos" w:hAnsi="Aptos"/>
          <w:i/>
          <w:iCs/>
          <w:color w:val="212121"/>
          <w:sz w:val="20"/>
          <w:szCs w:val="20"/>
        </w:rPr>
        <w:t xml:space="preserve"> </w:t>
      </w:r>
      <w:r w:rsidRPr="0016115A">
        <w:rPr>
          <w:rFonts w:ascii="Aptos" w:hAnsi="Aptos"/>
          <w:i/>
          <w:iCs/>
          <w:color w:val="212121"/>
          <w:sz w:val="20"/>
          <w:szCs w:val="20"/>
        </w:rPr>
        <w:t>magnetic moments are coupled to electric fields deserves more than a</w:t>
      </w:r>
      <w:r w:rsidRPr="0016115A">
        <w:rPr>
          <w:rFonts w:ascii="Aptos" w:hAnsi="Aptos"/>
          <w:i/>
          <w:iCs/>
          <w:color w:val="212121"/>
          <w:sz w:val="20"/>
          <w:szCs w:val="20"/>
        </w:rPr>
        <w:br/>
        <w:t>reference. I urge the authors to provide a derivation of Eq. (2) i</w:t>
      </w:r>
      <w:r w:rsidRPr="0016115A">
        <w:rPr>
          <w:rFonts w:ascii="Aptos" w:hAnsi="Aptos"/>
          <w:i/>
          <w:iCs/>
          <w:color w:val="212121"/>
          <w:sz w:val="20"/>
          <w:szCs w:val="20"/>
        </w:rPr>
        <w:t xml:space="preserve">n </w:t>
      </w:r>
      <w:r w:rsidRPr="0016115A">
        <w:rPr>
          <w:rFonts w:ascii="Aptos" w:hAnsi="Aptos"/>
          <w:i/>
          <w:iCs/>
          <w:color w:val="212121"/>
          <w:sz w:val="20"/>
          <w:szCs w:val="20"/>
        </w:rPr>
        <w:t>the context of the 2D antiferromagnet, as an example. This can be done</w:t>
      </w:r>
      <w:r w:rsidRPr="0016115A">
        <w:rPr>
          <w:rFonts w:ascii="Aptos" w:hAnsi="Aptos"/>
          <w:i/>
          <w:iCs/>
          <w:color w:val="212121"/>
          <w:sz w:val="20"/>
          <w:szCs w:val="20"/>
        </w:rPr>
        <w:t xml:space="preserve"> </w:t>
      </w:r>
      <w:r w:rsidRPr="0016115A">
        <w:rPr>
          <w:rFonts w:ascii="Aptos" w:hAnsi="Aptos"/>
          <w:i/>
          <w:iCs/>
          <w:color w:val="212121"/>
          <w:sz w:val="20"/>
          <w:szCs w:val="20"/>
        </w:rPr>
        <w:t>in an Appendix-</w:t>
      </w:r>
      <w:r w:rsidRPr="0016115A">
        <w:rPr>
          <w:rFonts w:ascii="Aptos" w:hAnsi="Aptos"/>
          <w:i/>
          <w:iCs/>
          <w:color w:val="212121"/>
          <w:sz w:val="20"/>
          <w:szCs w:val="20"/>
        </w:rPr>
        <w:br/>
      </w:r>
      <w:r w:rsidRPr="0016115A">
        <w:rPr>
          <w:rFonts w:ascii="Aptos" w:hAnsi="Aptos"/>
          <w:i/>
          <w:iCs/>
          <w:color w:val="212121"/>
          <w:sz w:val="20"/>
          <w:szCs w:val="20"/>
        </w:rPr>
        <w:br/>
        <w:t>3. In an Appendix, provide the Feynman rules associated with the</w:t>
      </w:r>
      <w:r w:rsidRPr="0016115A">
        <w:rPr>
          <w:rFonts w:ascii="Aptos" w:hAnsi="Aptos"/>
          <w:i/>
          <w:iCs/>
          <w:color w:val="212121"/>
          <w:sz w:val="20"/>
          <w:szCs w:val="20"/>
        </w:rPr>
        <w:t xml:space="preserve"> </w:t>
      </w:r>
      <w:r w:rsidRPr="0016115A">
        <w:rPr>
          <w:rFonts w:ascii="Aptos" w:hAnsi="Aptos"/>
          <w:i/>
          <w:iCs/>
          <w:color w:val="212121"/>
          <w:sz w:val="20"/>
          <w:szCs w:val="20"/>
        </w:rPr>
        <w:t>diagrams of Fig. 5. Alternatively, provide the corresponding equations</w:t>
      </w:r>
      <w:r w:rsidRPr="0016115A">
        <w:rPr>
          <w:rFonts w:ascii="Aptos" w:hAnsi="Aptos"/>
          <w:i/>
          <w:iCs/>
          <w:color w:val="212121"/>
          <w:sz w:val="20"/>
          <w:szCs w:val="20"/>
        </w:rPr>
        <w:t xml:space="preserve"> </w:t>
      </w:r>
      <w:r w:rsidRPr="0016115A">
        <w:rPr>
          <w:rFonts w:ascii="Aptos" w:hAnsi="Aptos"/>
          <w:i/>
          <w:iCs/>
          <w:color w:val="212121"/>
          <w:sz w:val="20"/>
          <w:szCs w:val="20"/>
        </w:rPr>
        <w:t>of motion.</w:t>
      </w:r>
      <w:r w:rsidRPr="0016115A">
        <w:rPr>
          <w:rFonts w:ascii="Aptos" w:hAnsi="Aptos"/>
          <w:i/>
          <w:iCs/>
          <w:color w:val="212121"/>
          <w:sz w:val="20"/>
          <w:szCs w:val="20"/>
        </w:rPr>
        <w:br/>
      </w:r>
      <w:r w:rsidRPr="0016115A">
        <w:rPr>
          <w:rFonts w:ascii="Aptos" w:hAnsi="Aptos"/>
          <w:i/>
          <w:iCs/>
          <w:color w:val="212121"/>
          <w:sz w:val="20"/>
          <w:szCs w:val="20"/>
        </w:rPr>
        <w:br/>
        <w:t>4. The calculations of the quadratic magneto-optic interaction are too</w:t>
      </w:r>
      <w:r w:rsidRPr="0016115A">
        <w:rPr>
          <w:rFonts w:ascii="Aptos" w:hAnsi="Aptos"/>
          <w:i/>
          <w:iCs/>
          <w:color w:val="212121"/>
          <w:sz w:val="20"/>
          <w:szCs w:val="20"/>
        </w:rPr>
        <w:t xml:space="preserve"> </w:t>
      </w:r>
      <w:r w:rsidRPr="0016115A">
        <w:rPr>
          <w:rFonts w:ascii="Aptos" w:hAnsi="Aptos"/>
          <w:i/>
          <w:iCs/>
          <w:color w:val="212121"/>
          <w:sz w:val="20"/>
          <w:szCs w:val="20"/>
        </w:rPr>
        <w:t>sketchy. Provide details in the an Appendix.</w:t>
      </w:r>
      <w:r w:rsidRPr="0016115A">
        <w:rPr>
          <w:rFonts w:ascii="Aptos" w:hAnsi="Aptos"/>
          <w:i/>
          <w:iCs/>
          <w:color w:val="212121"/>
          <w:sz w:val="20"/>
          <w:szCs w:val="20"/>
        </w:rPr>
        <w:br/>
      </w:r>
      <w:r w:rsidRPr="0016115A">
        <w:rPr>
          <w:rFonts w:ascii="Aptos" w:hAnsi="Aptos"/>
          <w:i/>
          <w:iCs/>
          <w:color w:val="212121"/>
          <w:sz w:val="20"/>
          <w:szCs w:val="20"/>
        </w:rPr>
        <w:br/>
        <w:t>Given that PRB has no page limitations, there is no reason for the</w:t>
      </w:r>
      <w:r w:rsidRPr="0016115A">
        <w:rPr>
          <w:rFonts w:ascii="Aptos" w:hAnsi="Aptos"/>
          <w:i/>
          <w:iCs/>
          <w:color w:val="212121"/>
          <w:sz w:val="20"/>
          <w:szCs w:val="20"/>
        </w:rPr>
        <w:br/>
        <w:t>author not to provide a detailed presentation of their work for the</w:t>
      </w:r>
      <w:r w:rsidRPr="0016115A">
        <w:rPr>
          <w:rFonts w:ascii="Aptos" w:hAnsi="Aptos"/>
          <w:i/>
          <w:iCs/>
          <w:color w:val="212121"/>
          <w:sz w:val="20"/>
          <w:szCs w:val="20"/>
        </w:rPr>
        <w:br/>
        <w:t>benefit of the interested reader.</w:t>
      </w:r>
      <w:r w:rsidRPr="0016115A">
        <w:rPr>
          <w:rFonts w:ascii="Aptos" w:hAnsi="Aptos"/>
          <w:i/>
          <w:iCs/>
          <w:color w:val="212121"/>
          <w:sz w:val="20"/>
          <w:szCs w:val="20"/>
        </w:rPr>
        <w:br/>
      </w:r>
      <w:r w:rsidRPr="0016115A">
        <w:rPr>
          <w:rFonts w:ascii="Aptos" w:hAnsi="Aptos"/>
          <w:i/>
          <w:iCs/>
          <w:color w:val="212121"/>
          <w:sz w:val="20"/>
          <w:szCs w:val="20"/>
        </w:rPr>
        <w:br/>
        <w:t>----------------------------------------------------------------------</w:t>
      </w:r>
      <w:r w:rsidRPr="0016115A">
        <w:rPr>
          <w:rFonts w:ascii="Aptos" w:hAnsi="Aptos"/>
          <w:i/>
          <w:iCs/>
          <w:color w:val="212121"/>
          <w:sz w:val="20"/>
          <w:szCs w:val="20"/>
        </w:rPr>
        <w:br/>
        <w:t>Report of the Second Referee -- BA14995/Gunnink</w:t>
      </w:r>
      <w:r w:rsidRPr="0016115A">
        <w:rPr>
          <w:rFonts w:ascii="Aptos" w:hAnsi="Aptos"/>
          <w:i/>
          <w:iCs/>
          <w:color w:val="212121"/>
          <w:sz w:val="20"/>
          <w:szCs w:val="20"/>
        </w:rPr>
        <w:br/>
        <w:t>----------------------------------------------------------------------</w:t>
      </w:r>
      <w:r w:rsidRPr="0016115A">
        <w:rPr>
          <w:rFonts w:ascii="Aptos" w:hAnsi="Aptos"/>
          <w:i/>
          <w:iCs/>
          <w:color w:val="212121"/>
          <w:sz w:val="20"/>
          <w:szCs w:val="20"/>
        </w:rPr>
        <w:br/>
      </w:r>
      <w:r w:rsidRPr="0016115A">
        <w:rPr>
          <w:rFonts w:ascii="Aptos" w:hAnsi="Aptos"/>
          <w:i/>
          <w:iCs/>
          <w:color w:val="212121"/>
          <w:sz w:val="20"/>
          <w:szCs w:val="20"/>
        </w:rPr>
        <w:br/>
        <w:t>The manuscript discusses magnon-plasmon coupling and proposes a novel</w:t>
      </w:r>
      <w:r w:rsidRPr="0016115A">
        <w:rPr>
          <w:rFonts w:ascii="Aptos" w:hAnsi="Aptos"/>
          <w:i/>
          <w:iCs/>
          <w:color w:val="212121"/>
          <w:sz w:val="20"/>
          <w:szCs w:val="20"/>
        </w:rPr>
        <w:br/>
        <w:t>mechanism in which the electric field generated by plasmons is coupled</w:t>
      </w:r>
      <w:r w:rsidRPr="0016115A">
        <w:rPr>
          <w:rFonts w:ascii="Aptos" w:hAnsi="Aptos"/>
          <w:i/>
          <w:iCs/>
          <w:color w:val="212121"/>
          <w:sz w:val="20"/>
          <w:szCs w:val="20"/>
        </w:rPr>
        <w:br/>
        <w:t>to the electric polarization which appears in an antiferromagnet with</w:t>
      </w:r>
      <w:r w:rsidRPr="0016115A">
        <w:rPr>
          <w:rFonts w:ascii="Aptos" w:hAnsi="Aptos"/>
          <w:i/>
          <w:iCs/>
          <w:color w:val="212121"/>
          <w:sz w:val="20"/>
          <w:szCs w:val="20"/>
        </w:rPr>
        <w:br/>
        <w:t>the broken inversion symmetry. The mechanism is as far as I am</w:t>
      </w:r>
      <w:r w:rsidRPr="0016115A">
        <w:rPr>
          <w:rFonts w:ascii="Aptos" w:hAnsi="Aptos"/>
          <w:i/>
          <w:iCs/>
          <w:color w:val="212121"/>
          <w:sz w:val="20"/>
          <w:szCs w:val="20"/>
        </w:rPr>
        <w:br/>
        <w:t>concerned new, and the result deserves publication in some form.</w:t>
      </w:r>
      <w:r w:rsidRPr="0016115A">
        <w:rPr>
          <w:rFonts w:ascii="Aptos" w:hAnsi="Aptos"/>
          <w:i/>
          <w:iCs/>
          <w:color w:val="212121"/>
          <w:sz w:val="20"/>
          <w:szCs w:val="20"/>
        </w:rPr>
        <w:br/>
        <w:t>However, before publication can be recommended, I would like to see</w:t>
      </w:r>
      <w:r w:rsidRPr="0016115A">
        <w:rPr>
          <w:rFonts w:ascii="Aptos" w:hAnsi="Aptos"/>
          <w:i/>
          <w:iCs/>
          <w:color w:val="212121"/>
          <w:sz w:val="20"/>
          <w:szCs w:val="20"/>
        </w:rPr>
        <w:br/>
        <w:t>some changes made which could improve the manuscript.</w:t>
      </w:r>
      <w:r w:rsidRPr="0016115A">
        <w:rPr>
          <w:rFonts w:ascii="Aptos" w:hAnsi="Aptos"/>
          <w:i/>
          <w:iCs/>
          <w:color w:val="212121"/>
          <w:sz w:val="20"/>
          <w:szCs w:val="20"/>
        </w:rPr>
        <w:br/>
      </w:r>
      <w:r w:rsidRPr="0016115A">
        <w:rPr>
          <w:rFonts w:ascii="Aptos" w:hAnsi="Aptos"/>
          <w:i/>
          <w:iCs/>
          <w:color w:val="212121"/>
          <w:sz w:val="20"/>
          <w:szCs w:val="20"/>
        </w:rPr>
        <w:br/>
        <w:t>My main point is that the explanations are not always clear for the</w:t>
      </w:r>
      <w:r w:rsidRPr="0016115A">
        <w:rPr>
          <w:rFonts w:ascii="Aptos" w:hAnsi="Aptos"/>
          <w:i/>
          <w:iCs/>
          <w:color w:val="212121"/>
          <w:sz w:val="20"/>
          <w:szCs w:val="20"/>
        </w:rPr>
        <w:br/>
        <w:t>broad audience, and this is why the big picture sometimes gets</w:t>
      </w:r>
      <w:r w:rsidRPr="0016115A">
        <w:rPr>
          <w:rFonts w:ascii="Aptos" w:hAnsi="Aptos"/>
          <w:i/>
          <w:iCs/>
          <w:color w:val="212121"/>
          <w:sz w:val="20"/>
          <w:szCs w:val="20"/>
        </w:rPr>
        <w:br/>
        <w:t>obscured. Here are the two items which really require putting more</w:t>
      </w:r>
      <w:r w:rsidRPr="0016115A">
        <w:rPr>
          <w:rFonts w:ascii="Aptos" w:hAnsi="Aptos"/>
          <w:i/>
          <w:iCs/>
          <w:color w:val="212121"/>
          <w:sz w:val="20"/>
          <w:szCs w:val="20"/>
        </w:rPr>
        <w:br/>
        <w:t>accents on.</w:t>
      </w:r>
      <w:r w:rsidRPr="0016115A">
        <w:rPr>
          <w:rFonts w:ascii="Aptos" w:hAnsi="Aptos"/>
          <w:i/>
          <w:iCs/>
          <w:color w:val="212121"/>
          <w:sz w:val="20"/>
          <w:szCs w:val="20"/>
        </w:rPr>
        <w:br/>
      </w:r>
      <w:r w:rsidRPr="0016115A">
        <w:rPr>
          <w:rFonts w:ascii="Aptos" w:hAnsi="Aptos"/>
          <w:i/>
          <w:iCs/>
          <w:color w:val="212121"/>
          <w:sz w:val="20"/>
          <w:szCs w:val="20"/>
        </w:rPr>
        <w:br/>
        <w:t>1. Once the authors write Eqs. (1) and (2), the magnons and plasmons</w:t>
      </w:r>
      <w:r w:rsidRPr="0016115A">
        <w:rPr>
          <w:rFonts w:ascii="Aptos" w:hAnsi="Aptos"/>
          <w:i/>
          <w:iCs/>
          <w:color w:val="212121"/>
          <w:sz w:val="20"/>
          <w:szCs w:val="20"/>
        </w:rPr>
        <w:t xml:space="preserve"> </w:t>
      </w:r>
      <w:r w:rsidRPr="0016115A">
        <w:rPr>
          <w:rFonts w:ascii="Aptos" w:hAnsi="Aptos"/>
          <w:i/>
          <w:iCs/>
          <w:color w:val="212121"/>
          <w:sz w:val="20"/>
          <w:szCs w:val="20"/>
        </w:rPr>
        <w:t>are coupled (assuming the total coupling is not identically zero,</w:t>
      </w:r>
      <w:r w:rsidRPr="0016115A">
        <w:rPr>
          <w:rFonts w:ascii="Aptos" w:hAnsi="Aptos"/>
          <w:i/>
          <w:iCs/>
          <w:color w:val="212121"/>
          <w:sz w:val="20"/>
          <w:szCs w:val="20"/>
        </w:rPr>
        <w:t xml:space="preserve"> </w:t>
      </w:r>
      <w:r w:rsidRPr="0016115A">
        <w:rPr>
          <w:rFonts w:ascii="Aptos" w:hAnsi="Aptos"/>
          <w:i/>
          <w:iCs/>
          <w:color w:val="212121"/>
          <w:sz w:val="20"/>
          <w:szCs w:val="20"/>
        </w:rPr>
        <w:t>which probably can be figured out from the symmetry arguments). Thus,</w:t>
      </w:r>
      <w:r w:rsidRPr="0016115A">
        <w:rPr>
          <w:rFonts w:ascii="Aptos" w:hAnsi="Aptos"/>
          <w:i/>
          <w:iCs/>
          <w:color w:val="212121"/>
          <w:sz w:val="20"/>
          <w:szCs w:val="20"/>
        </w:rPr>
        <w:br/>
        <w:t>the main point of the manuscript is probably not so much that they are</w:t>
      </w:r>
      <w:r w:rsidRPr="0016115A">
        <w:rPr>
          <w:rFonts w:ascii="Aptos" w:hAnsi="Aptos"/>
          <w:i/>
          <w:iCs/>
          <w:color w:val="212121"/>
          <w:sz w:val="20"/>
          <w:szCs w:val="20"/>
        </w:rPr>
        <w:t xml:space="preserve"> </w:t>
      </w:r>
      <w:r w:rsidRPr="0016115A">
        <w:rPr>
          <w:rFonts w:ascii="Aptos" w:hAnsi="Aptos"/>
          <w:i/>
          <w:iCs/>
          <w:color w:val="212121"/>
          <w:sz w:val="20"/>
          <w:szCs w:val="20"/>
        </w:rPr>
        <w:t>coupled, but that the coupling is strong enough. Indeed, in the</w:t>
      </w:r>
      <w:r w:rsidRPr="0016115A">
        <w:rPr>
          <w:rFonts w:ascii="Aptos" w:hAnsi="Aptos"/>
          <w:i/>
          <w:iCs/>
          <w:color w:val="212121"/>
          <w:sz w:val="20"/>
          <w:szCs w:val="20"/>
        </w:rPr>
        <w:t xml:space="preserve"> </w:t>
      </w:r>
      <w:r w:rsidRPr="0016115A">
        <w:rPr>
          <w:rFonts w:ascii="Aptos" w:hAnsi="Aptos"/>
          <w:i/>
          <w:iCs/>
          <w:color w:val="212121"/>
          <w:sz w:val="20"/>
          <w:szCs w:val="20"/>
        </w:rPr>
        <w:t>introduction the authors dismiss other proposals for magnon-plasmon</w:t>
      </w:r>
      <w:r w:rsidRPr="0016115A">
        <w:rPr>
          <w:rFonts w:ascii="Aptos" w:hAnsi="Aptos"/>
          <w:i/>
          <w:iCs/>
          <w:color w:val="212121"/>
          <w:sz w:val="20"/>
          <w:szCs w:val="20"/>
        </w:rPr>
        <w:br/>
      </w:r>
      <w:r w:rsidRPr="0016115A">
        <w:rPr>
          <w:rFonts w:ascii="Aptos" w:hAnsi="Aptos"/>
          <w:i/>
          <w:iCs/>
          <w:color w:val="212121"/>
          <w:sz w:val="20"/>
          <w:szCs w:val="20"/>
        </w:rPr>
        <w:lastRenderedPageBreak/>
        <w:t>coupling because they are based on spin-orbit coupling which is weak.</w:t>
      </w:r>
      <w:r w:rsidRPr="0016115A">
        <w:rPr>
          <w:rFonts w:ascii="Aptos" w:hAnsi="Aptos"/>
          <w:i/>
          <w:iCs/>
          <w:color w:val="212121"/>
          <w:sz w:val="20"/>
          <w:szCs w:val="20"/>
        </w:rPr>
        <w:t xml:space="preserve"> </w:t>
      </w:r>
      <w:r w:rsidRPr="0016115A">
        <w:rPr>
          <w:rFonts w:ascii="Aptos" w:hAnsi="Aptos"/>
          <w:i/>
          <w:iCs/>
          <w:color w:val="212121"/>
          <w:sz w:val="20"/>
          <w:szCs w:val="20"/>
        </w:rPr>
        <w:t>In view of these considerations, I would expect to see some discussion</w:t>
      </w:r>
      <w:r w:rsidRPr="0016115A">
        <w:rPr>
          <w:rFonts w:ascii="Aptos" w:hAnsi="Aptos"/>
          <w:i/>
          <w:iCs/>
          <w:color w:val="212121"/>
          <w:sz w:val="20"/>
          <w:szCs w:val="20"/>
        </w:rPr>
        <w:t xml:space="preserve"> </w:t>
      </w:r>
      <w:r w:rsidRPr="0016115A">
        <w:rPr>
          <w:rFonts w:ascii="Aptos" w:hAnsi="Aptos"/>
          <w:i/>
          <w:iCs/>
          <w:color w:val="212121"/>
          <w:sz w:val="20"/>
          <w:szCs w:val="20"/>
        </w:rPr>
        <w:t>elucidating what "weak" and "strong" means, and whether the proposal</w:t>
      </w:r>
      <w:r w:rsidRPr="0016115A">
        <w:rPr>
          <w:rFonts w:ascii="Aptos" w:hAnsi="Aptos"/>
          <w:i/>
          <w:iCs/>
          <w:color w:val="212121"/>
          <w:sz w:val="20"/>
          <w:szCs w:val="20"/>
        </w:rPr>
        <w:t xml:space="preserve"> </w:t>
      </w:r>
      <w:r w:rsidRPr="0016115A">
        <w:rPr>
          <w:rFonts w:ascii="Aptos" w:hAnsi="Aptos"/>
          <w:i/>
          <w:iCs/>
          <w:color w:val="212121"/>
          <w:sz w:val="20"/>
          <w:szCs w:val="20"/>
        </w:rPr>
        <w:t>worked out in the manuscript provides indeed stronger coupling than</w:t>
      </w:r>
      <w:r w:rsidRPr="0016115A">
        <w:rPr>
          <w:rFonts w:ascii="Aptos" w:hAnsi="Aptos"/>
          <w:i/>
          <w:iCs/>
          <w:color w:val="212121"/>
          <w:sz w:val="20"/>
          <w:szCs w:val="20"/>
        </w:rPr>
        <w:t xml:space="preserve"> </w:t>
      </w:r>
      <w:r w:rsidRPr="0016115A">
        <w:rPr>
          <w:rFonts w:ascii="Aptos" w:hAnsi="Aptos"/>
          <w:i/>
          <w:iCs/>
          <w:color w:val="212121"/>
          <w:sz w:val="20"/>
          <w:szCs w:val="20"/>
        </w:rPr>
        <w:t>other proposals do.</w:t>
      </w:r>
    </w:p>
    <w:p w:rsidR="00CF10CC" w:rsidRDefault="00CF10CC">
      <w:pPr>
        <w:rPr>
          <w:rFonts w:ascii="Aptos" w:hAnsi="Aptos"/>
          <w:color w:val="212121"/>
          <w:sz w:val="20"/>
          <w:szCs w:val="20"/>
        </w:rPr>
      </w:pPr>
      <w:r>
        <w:rPr>
          <w:rFonts w:ascii="Aptos" w:hAnsi="Aptos"/>
          <w:color w:val="212121"/>
          <w:sz w:val="20"/>
          <w:szCs w:val="20"/>
        </w:rPr>
        <w:t>We thank the referee for pointing out that we had not defined “weak” and “strong” in our manuscript, and have now done so in the introduction, where we discuss the previous works [third paragraph in Sec. I]. In particular, we have now changed the wording to “</w:t>
      </w:r>
      <w:r w:rsidRPr="00CF10CC">
        <w:rPr>
          <w:rFonts w:ascii="Aptos" w:hAnsi="Aptos"/>
          <w:color w:val="212121"/>
          <w:sz w:val="20"/>
          <w:szCs w:val="20"/>
        </w:rPr>
        <w:t>coupling rate, such that the splitting is comparable to the damping of the magnon mode</w:t>
      </w:r>
      <w:r>
        <w:rPr>
          <w:rFonts w:ascii="Aptos" w:hAnsi="Aptos"/>
          <w:color w:val="212121"/>
          <w:sz w:val="20"/>
          <w:szCs w:val="20"/>
        </w:rPr>
        <w:t xml:space="preserve">”.   </w:t>
      </w:r>
    </w:p>
    <w:p w:rsidR="0016115A" w:rsidRPr="00CF10CC" w:rsidRDefault="0016115A">
      <w:pPr>
        <w:rPr>
          <w:rFonts w:ascii="Aptos" w:hAnsi="Aptos"/>
          <w:color w:val="212121"/>
          <w:sz w:val="20"/>
          <w:szCs w:val="20"/>
        </w:rPr>
      </w:pPr>
      <w:r>
        <w:rPr>
          <w:rFonts w:ascii="Aptos" w:hAnsi="Aptos"/>
          <w:color w:val="212121"/>
          <w:sz w:val="20"/>
          <w:szCs w:val="20"/>
        </w:rPr>
        <w:t>We would first like to point out that is not trivial that the plasmons couple the spin-zero two-magnon continuum</w:t>
      </w:r>
      <w:r w:rsidR="00CF10CC">
        <w:rPr>
          <w:rFonts w:ascii="Aptos" w:hAnsi="Aptos"/>
          <w:color w:val="212121"/>
          <w:sz w:val="20"/>
          <w:szCs w:val="20"/>
        </w:rPr>
        <w:t xml:space="preserve"> in an antiferromagnet</w:t>
      </w:r>
      <w:r>
        <w:rPr>
          <w:rFonts w:ascii="Aptos" w:hAnsi="Aptos"/>
          <w:color w:val="212121"/>
          <w:sz w:val="20"/>
          <w:szCs w:val="20"/>
        </w:rPr>
        <w:t xml:space="preserve">: this already requires a finite polarization, which can only be achieved if the bonds connecting magnetic sites are not centers of inversion. </w:t>
      </w:r>
      <w:r>
        <w:rPr>
          <w:rFonts w:ascii="Aptos" w:hAnsi="Aptos"/>
          <w:color w:val="212121"/>
          <w:sz w:val="20"/>
          <w:szCs w:val="20"/>
        </w:rPr>
        <w:br/>
      </w:r>
      <w:r>
        <w:rPr>
          <w:rFonts w:ascii="Aptos" w:hAnsi="Aptos"/>
          <w:color w:val="212121"/>
          <w:sz w:val="20"/>
          <w:szCs w:val="20"/>
        </w:rPr>
        <w:br/>
      </w:r>
      <w:r w:rsidRPr="0016115A">
        <w:rPr>
          <w:rFonts w:ascii="Aptos" w:hAnsi="Aptos"/>
          <w:i/>
          <w:iCs/>
          <w:color w:val="212121"/>
          <w:sz w:val="20"/>
          <w:szCs w:val="20"/>
        </w:rPr>
        <w:t>2. The authors repeatedly talk about two-magnon continuum, van Hove</w:t>
      </w:r>
      <w:r w:rsidRPr="0016115A">
        <w:rPr>
          <w:rFonts w:ascii="Aptos" w:hAnsi="Aptos"/>
          <w:i/>
          <w:iCs/>
          <w:color w:val="212121"/>
          <w:sz w:val="20"/>
          <w:szCs w:val="20"/>
        </w:rPr>
        <w:t xml:space="preserve"> </w:t>
      </w:r>
      <w:r w:rsidRPr="0016115A">
        <w:rPr>
          <w:rFonts w:ascii="Aptos" w:hAnsi="Aptos"/>
          <w:i/>
          <w:iCs/>
          <w:color w:val="212121"/>
          <w:sz w:val="20"/>
          <w:szCs w:val="20"/>
        </w:rPr>
        <w:t>singularities, and related points, but it is not immediately clear to</w:t>
      </w:r>
      <w:r w:rsidRPr="0016115A">
        <w:rPr>
          <w:rFonts w:ascii="Aptos" w:hAnsi="Aptos"/>
          <w:i/>
          <w:iCs/>
          <w:color w:val="212121"/>
          <w:sz w:val="20"/>
          <w:szCs w:val="20"/>
        </w:rPr>
        <w:t xml:space="preserve"> </w:t>
      </w:r>
      <w:r w:rsidRPr="0016115A">
        <w:rPr>
          <w:rFonts w:ascii="Aptos" w:hAnsi="Aptos"/>
          <w:i/>
          <w:iCs/>
          <w:color w:val="212121"/>
          <w:sz w:val="20"/>
          <w:szCs w:val="20"/>
        </w:rPr>
        <w:t>me how these are related to Figs. 3 and 4. Just to give an example,</w:t>
      </w:r>
      <w:r w:rsidRPr="0016115A">
        <w:rPr>
          <w:rFonts w:ascii="Aptos" w:hAnsi="Aptos"/>
          <w:i/>
          <w:iCs/>
          <w:color w:val="212121"/>
          <w:sz w:val="20"/>
          <w:szCs w:val="20"/>
        </w:rPr>
        <w:br/>
        <w:t>what does it mean "the plasmon again strongly decays as it enters the</w:t>
      </w:r>
      <w:r w:rsidRPr="0016115A">
        <w:rPr>
          <w:rFonts w:ascii="Aptos" w:hAnsi="Aptos"/>
          <w:i/>
          <w:iCs/>
          <w:color w:val="212121"/>
          <w:sz w:val="20"/>
          <w:szCs w:val="20"/>
        </w:rPr>
        <w:t xml:space="preserve"> </w:t>
      </w:r>
      <w:r w:rsidRPr="0016115A">
        <w:rPr>
          <w:rFonts w:ascii="Aptos" w:hAnsi="Aptos"/>
          <w:i/>
          <w:iCs/>
          <w:color w:val="212121"/>
          <w:sz w:val="20"/>
          <w:szCs w:val="20"/>
        </w:rPr>
        <w:t>Van Hove singularity in the spin-zero two-magnon DOS"? I guess the</w:t>
      </w:r>
      <w:r w:rsidRPr="0016115A">
        <w:rPr>
          <w:rFonts w:ascii="Aptos" w:hAnsi="Aptos"/>
          <w:i/>
          <w:iCs/>
          <w:color w:val="212121"/>
          <w:sz w:val="20"/>
          <w:szCs w:val="20"/>
        </w:rPr>
        <w:t xml:space="preserve"> </w:t>
      </w:r>
      <w:r w:rsidRPr="0016115A">
        <w:rPr>
          <w:rFonts w:ascii="Aptos" w:hAnsi="Aptos"/>
          <w:i/>
          <w:iCs/>
          <w:color w:val="212121"/>
          <w:sz w:val="20"/>
          <w:szCs w:val="20"/>
        </w:rPr>
        <w:t>authors mean that the magnon spectrum is bound from above, and when</w:t>
      </w:r>
      <w:r w:rsidRPr="0016115A">
        <w:rPr>
          <w:rFonts w:ascii="Aptos" w:hAnsi="Aptos"/>
          <w:i/>
          <w:iCs/>
          <w:color w:val="212121"/>
          <w:sz w:val="20"/>
          <w:szCs w:val="20"/>
        </w:rPr>
        <w:t xml:space="preserve"> </w:t>
      </w:r>
      <w:r w:rsidRPr="0016115A">
        <w:rPr>
          <w:rFonts w:ascii="Aptos" w:hAnsi="Aptos"/>
          <w:i/>
          <w:iCs/>
          <w:color w:val="212121"/>
          <w:sz w:val="20"/>
          <w:szCs w:val="20"/>
        </w:rPr>
        <w:t>the plasmon frequency aligns with the upper bound of this spectrum</w:t>
      </w:r>
      <w:r w:rsidRPr="0016115A">
        <w:rPr>
          <w:rFonts w:ascii="Aptos" w:hAnsi="Aptos"/>
          <w:i/>
          <w:iCs/>
          <w:color w:val="212121"/>
          <w:sz w:val="20"/>
          <w:szCs w:val="20"/>
        </w:rPr>
        <w:t xml:space="preserve"> </w:t>
      </w:r>
      <w:r w:rsidRPr="0016115A">
        <w:rPr>
          <w:rFonts w:ascii="Aptos" w:hAnsi="Aptos"/>
          <w:i/>
          <w:iCs/>
          <w:color w:val="212121"/>
          <w:sz w:val="20"/>
          <w:szCs w:val="20"/>
        </w:rPr>
        <w:t>(why is this two-magnon spectrum btw?) the decay strongly increases.</w:t>
      </w:r>
      <w:r w:rsidRPr="0016115A">
        <w:rPr>
          <w:rFonts w:ascii="Aptos" w:hAnsi="Aptos"/>
          <w:i/>
          <w:iCs/>
          <w:color w:val="212121"/>
          <w:sz w:val="20"/>
          <w:szCs w:val="20"/>
        </w:rPr>
        <w:t xml:space="preserve"> </w:t>
      </w:r>
      <w:r w:rsidRPr="0016115A">
        <w:rPr>
          <w:rFonts w:ascii="Aptos" w:hAnsi="Aptos"/>
          <w:i/>
          <w:iCs/>
          <w:color w:val="212121"/>
          <w:sz w:val="20"/>
          <w:szCs w:val="20"/>
        </w:rPr>
        <w:t>However, in the present manuscript this is written almost to the</w:t>
      </w:r>
      <w:r w:rsidRPr="0016115A">
        <w:rPr>
          <w:rFonts w:ascii="Aptos" w:hAnsi="Aptos"/>
          <w:i/>
          <w:iCs/>
          <w:color w:val="212121"/>
          <w:sz w:val="20"/>
          <w:szCs w:val="20"/>
        </w:rPr>
        <w:t xml:space="preserve"> </w:t>
      </w:r>
      <w:r w:rsidRPr="0016115A">
        <w:rPr>
          <w:rFonts w:ascii="Aptos" w:hAnsi="Aptos"/>
          <w:i/>
          <w:iCs/>
          <w:color w:val="212121"/>
          <w:sz w:val="20"/>
          <w:szCs w:val="20"/>
        </w:rPr>
        <w:t>jargonism level and need to be re-written in a more clear language.</w:t>
      </w:r>
    </w:p>
    <w:p w:rsidR="0016115A" w:rsidRDefault="00CF10CC">
      <w:pPr>
        <w:rPr>
          <w:rFonts w:ascii="Aptos" w:hAnsi="Aptos"/>
          <w:i/>
          <w:iCs/>
          <w:color w:val="212121"/>
          <w:sz w:val="20"/>
          <w:szCs w:val="20"/>
        </w:rPr>
      </w:pPr>
      <w:r>
        <w:rPr>
          <w:rFonts w:ascii="Aptos" w:hAnsi="Aptos"/>
          <w:color w:val="212121"/>
          <w:sz w:val="20"/>
          <w:szCs w:val="20"/>
        </w:rPr>
        <w:t xml:space="preserve">We thank the referee for their comments regarding the clarity of the terms used, and we have now rewritten the relevant parts of the manuscript to be more clear. </w:t>
      </w:r>
      <w:r w:rsidR="0016115A">
        <w:rPr>
          <w:rFonts w:ascii="Aptos" w:hAnsi="Aptos"/>
          <w:color w:val="212121"/>
          <w:sz w:val="20"/>
          <w:szCs w:val="20"/>
        </w:rPr>
        <w:br/>
      </w:r>
      <w:r w:rsidR="0016115A">
        <w:rPr>
          <w:rFonts w:ascii="Aptos" w:hAnsi="Aptos"/>
          <w:color w:val="212121"/>
          <w:sz w:val="20"/>
          <w:szCs w:val="20"/>
        </w:rPr>
        <w:br/>
        <w:t>A couple of more points.</w:t>
      </w:r>
      <w:r w:rsidR="0016115A">
        <w:rPr>
          <w:rFonts w:ascii="Aptos" w:hAnsi="Aptos"/>
          <w:color w:val="212121"/>
          <w:sz w:val="20"/>
          <w:szCs w:val="20"/>
        </w:rPr>
        <w:br/>
      </w:r>
      <w:r w:rsidR="0016115A">
        <w:rPr>
          <w:rFonts w:ascii="Aptos" w:hAnsi="Aptos"/>
          <w:color w:val="212121"/>
          <w:sz w:val="20"/>
          <w:szCs w:val="20"/>
        </w:rPr>
        <w:br/>
      </w:r>
      <w:r w:rsidR="0016115A" w:rsidRPr="0016115A">
        <w:rPr>
          <w:rFonts w:ascii="Aptos" w:hAnsi="Aptos"/>
          <w:i/>
          <w:iCs/>
          <w:color w:val="212121"/>
          <w:sz w:val="20"/>
          <w:szCs w:val="20"/>
        </w:rPr>
        <w:t>3. The plasmon, in addition to the electric field (3) also has</w:t>
      </w:r>
      <w:r w:rsidR="0016115A" w:rsidRPr="0016115A">
        <w:rPr>
          <w:rFonts w:ascii="Aptos" w:hAnsi="Aptos"/>
          <w:i/>
          <w:iCs/>
          <w:color w:val="212121"/>
          <w:sz w:val="20"/>
          <w:szCs w:val="20"/>
        </w:rPr>
        <w:t xml:space="preserve"> </w:t>
      </w:r>
      <w:r w:rsidR="0016115A" w:rsidRPr="0016115A">
        <w:rPr>
          <w:rFonts w:ascii="Aptos" w:hAnsi="Aptos"/>
          <w:i/>
          <w:iCs/>
          <w:color w:val="212121"/>
          <w:sz w:val="20"/>
          <w:szCs w:val="20"/>
        </w:rPr>
        <w:t>magnetic field which could couple to the magnetization. This coupling</w:t>
      </w:r>
      <w:r w:rsidR="0016115A" w:rsidRPr="0016115A">
        <w:rPr>
          <w:rFonts w:ascii="Aptos" w:hAnsi="Aptos"/>
          <w:i/>
          <w:iCs/>
          <w:color w:val="212121"/>
          <w:sz w:val="20"/>
          <w:szCs w:val="20"/>
        </w:rPr>
        <w:t xml:space="preserve"> </w:t>
      </w:r>
      <w:r w:rsidR="0016115A" w:rsidRPr="0016115A">
        <w:rPr>
          <w:rFonts w:ascii="Aptos" w:hAnsi="Aptos"/>
          <w:i/>
          <w:iCs/>
          <w:color w:val="212121"/>
          <w:sz w:val="20"/>
          <w:szCs w:val="20"/>
        </w:rPr>
        <w:t>is probably inefficient, but it would be good if the authors could say</w:t>
      </w:r>
      <w:r w:rsidR="0016115A" w:rsidRPr="0016115A">
        <w:rPr>
          <w:rFonts w:ascii="Aptos" w:hAnsi="Aptos"/>
          <w:i/>
          <w:iCs/>
          <w:color w:val="212121"/>
          <w:sz w:val="20"/>
          <w:szCs w:val="20"/>
        </w:rPr>
        <w:br/>
        <w:t>something about this.</w:t>
      </w:r>
    </w:p>
    <w:p w:rsidR="0016115A" w:rsidRDefault="0016115A">
      <w:pPr>
        <w:rPr>
          <w:rFonts w:ascii="Aptos" w:hAnsi="Aptos"/>
          <w:color w:val="212121"/>
          <w:sz w:val="20"/>
          <w:szCs w:val="20"/>
        </w:rPr>
      </w:pPr>
      <w:r>
        <w:rPr>
          <w:rFonts w:ascii="Aptos" w:hAnsi="Aptos"/>
          <w:color w:val="212121"/>
          <w:sz w:val="20"/>
          <w:szCs w:val="20"/>
        </w:rPr>
        <w:br/>
      </w:r>
      <w:r>
        <w:rPr>
          <w:rFonts w:ascii="Aptos" w:hAnsi="Aptos"/>
          <w:color w:val="212121"/>
          <w:sz w:val="20"/>
          <w:szCs w:val="20"/>
        </w:rPr>
        <w:br/>
      </w:r>
      <w:r w:rsidRPr="0016115A">
        <w:rPr>
          <w:rFonts w:ascii="Aptos" w:hAnsi="Aptos"/>
          <w:i/>
          <w:iCs/>
          <w:color w:val="212121"/>
          <w:sz w:val="20"/>
          <w:szCs w:val="20"/>
        </w:rPr>
        <w:t>4. I believe the momenta are put wrong in the circle diagram, Fig. 2c.</w:t>
      </w:r>
    </w:p>
    <w:p w:rsidR="0016115A" w:rsidRDefault="0016115A">
      <w:r>
        <w:rPr>
          <w:rFonts w:ascii="Aptos" w:hAnsi="Aptos"/>
          <w:color w:val="212121"/>
          <w:sz w:val="20"/>
          <w:szCs w:val="20"/>
        </w:rPr>
        <w:t>We thank the referee for pointing this out, we have resolved this issue in the updated manuscript.</w:t>
      </w:r>
    </w:p>
    <w:sectPr w:rsidR="001611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15A"/>
    <w:rsid w:val="000A2CAF"/>
    <w:rsid w:val="0016115A"/>
    <w:rsid w:val="00CF10CC"/>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094C054A"/>
  <w15:chartTrackingRefBased/>
  <w15:docId w15:val="{C0F9D41B-A094-D94E-A3F6-43245DBCF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11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11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11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11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11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1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1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11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11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11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11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1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15A"/>
    <w:rPr>
      <w:rFonts w:eastAsiaTheme="majorEastAsia" w:cstheme="majorBidi"/>
      <w:color w:val="272727" w:themeColor="text1" w:themeTint="D8"/>
    </w:rPr>
  </w:style>
  <w:style w:type="paragraph" w:styleId="Title">
    <w:name w:val="Title"/>
    <w:basedOn w:val="Normal"/>
    <w:next w:val="Normal"/>
    <w:link w:val="TitleChar"/>
    <w:uiPriority w:val="10"/>
    <w:qFormat/>
    <w:rsid w:val="00161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15A"/>
    <w:pPr>
      <w:spacing w:before="160"/>
      <w:jc w:val="center"/>
    </w:pPr>
    <w:rPr>
      <w:i/>
      <w:iCs/>
      <w:color w:val="404040" w:themeColor="text1" w:themeTint="BF"/>
    </w:rPr>
  </w:style>
  <w:style w:type="character" w:customStyle="1" w:styleId="QuoteChar">
    <w:name w:val="Quote Char"/>
    <w:basedOn w:val="DefaultParagraphFont"/>
    <w:link w:val="Quote"/>
    <w:uiPriority w:val="29"/>
    <w:rsid w:val="0016115A"/>
    <w:rPr>
      <w:i/>
      <w:iCs/>
      <w:color w:val="404040" w:themeColor="text1" w:themeTint="BF"/>
    </w:rPr>
  </w:style>
  <w:style w:type="paragraph" w:styleId="ListParagraph">
    <w:name w:val="List Paragraph"/>
    <w:basedOn w:val="Normal"/>
    <w:uiPriority w:val="34"/>
    <w:qFormat/>
    <w:rsid w:val="0016115A"/>
    <w:pPr>
      <w:ind w:left="720"/>
      <w:contextualSpacing/>
    </w:pPr>
  </w:style>
  <w:style w:type="character" w:styleId="IntenseEmphasis">
    <w:name w:val="Intense Emphasis"/>
    <w:basedOn w:val="DefaultParagraphFont"/>
    <w:uiPriority w:val="21"/>
    <w:qFormat/>
    <w:rsid w:val="0016115A"/>
    <w:rPr>
      <w:i/>
      <w:iCs/>
      <w:color w:val="2F5496" w:themeColor="accent1" w:themeShade="BF"/>
    </w:rPr>
  </w:style>
  <w:style w:type="paragraph" w:styleId="IntenseQuote">
    <w:name w:val="Intense Quote"/>
    <w:basedOn w:val="Normal"/>
    <w:next w:val="Normal"/>
    <w:link w:val="IntenseQuoteChar"/>
    <w:uiPriority w:val="30"/>
    <w:qFormat/>
    <w:rsid w:val="001611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115A"/>
    <w:rPr>
      <w:i/>
      <w:iCs/>
      <w:color w:val="2F5496" w:themeColor="accent1" w:themeShade="BF"/>
    </w:rPr>
  </w:style>
  <w:style w:type="character" w:styleId="IntenseReference">
    <w:name w:val="Intense Reference"/>
    <w:basedOn w:val="DefaultParagraphFont"/>
    <w:uiPriority w:val="32"/>
    <w:qFormat/>
    <w:rsid w:val="0016115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726</Words>
  <Characters>4143</Characters>
  <Application>Microsoft Office Word</Application>
  <DocSecurity>0</DocSecurity>
  <Lines>34</Lines>
  <Paragraphs>9</Paragraphs>
  <ScaleCrop>false</ScaleCrop>
  <Company/>
  <LinksUpToDate>false</LinksUpToDate>
  <CharactersWithSpaces>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Pieter Gunnink</dc:creator>
  <cp:keywords/>
  <dc:description/>
  <cp:lastModifiedBy>Pieter Gunnink</cp:lastModifiedBy>
  <cp:revision>2</cp:revision>
  <dcterms:created xsi:type="dcterms:W3CDTF">2025-03-17T18:44:00Z</dcterms:created>
  <dcterms:modified xsi:type="dcterms:W3CDTF">2025-03-18T07:59:00Z</dcterms:modified>
</cp:coreProperties>
</file>