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56A2" w:rsidRPr="00E9638F" w:rsidRDefault="000712E7" w:rsidP="00E9638F">
      <w:pPr>
        <w:spacing w:after="80"/>
        <w:jc w:val="center"/>
        <w:rPr>
          <w:rFonts w:asciiTheme="majorHAnsi" w:hAnsiTheme="majorHAnsi" w:cstheme="majorHAnsi"/>
          <w:sz w:val="24"/>
          <w:szCs w:val="24"/>
        </w:rPr>
      </w:pPr>
      <w:r w:rsidRPr="00E9638F">
        <w:rPr>
          <w:rFonts w:asciiTheme="majorHAnsi" w:hAnsiTheme="majorHAnsi" w:cstheme="majorHAnsi"/>
          <w:b/>
          <w:bCs/>
          <w:sz w:val="24"/>
          <w:szCs w:val="24"/>
        </w:rPr>
        <w:t>ESPECIALIZACIÓN EN ANALÍTICA DE DATOS E INFORMACIÓN</w:t>
      </w:r>
    </w:p>
    <w:p w:rsidR="002C56A2" w:rsidRPr="00E9638F" w:rsidRDefault="000712E7">
      <w:pPr>
        <w:spacing w:after="480"/>
        <w:jc w:val="center"/>
        <w:rPr>
          <w:rFonts w:asciiTheme="majorHAnsi" w:hAnsiTheme="majorHAnsi" w:cstheme="majorHAnsi"/>
          <w:sz w:val="24"/>
          <w:szCs w:val="24"/>
        </w:rPr>
      </w:pPr>
      <w:r w:rsidRPr="00E9638F">
        <w:rPr>
          <w:rFonts w:asciiTheme="majorHAnsi" w:hAnsiTheme="majorHAnsi" w:cstheme="majorHAnsi"/>
          <w:sz w:val="24"/>
          <w:szCs w:val="24"/>
        </w:rPr>
        <w:t>Fundación Universitaria Tecnológico Comfenalco</w:t>
      </w:r>
    </w:p>
    <w:p w:rsidR="00E9638F" w:rsidRDefault="00E9638F">
      <w:pPr>
        <w:spacing w:after="160"/>
        <w:jc w:val="center"/>
        <w:rPr>
          <w:rFonts w:asciiTheme="majorHAnsi" w:hAnsiTheme="majorHAnsi" w:cstheme="majorHAnsi"/>
          <w:b/>
          <w:bCs/>
          <w:sz w:val="24"/>
          <w:szCs w:val="24"/>
        </w:rPr>
      </w:pPr>
    </w:p>
    <w:p w:rsidR="00E9638F" w:rsidRPr="00E9638F" w:rsidRDefault="00E9638F">
      <w:pPr>
        <w:spacing w:after="160"/>
        <w:jc w:val="center"/>
        <w:rPr>
          <w:b/>
          <w:bCs/>
        </w:rPr>
      </w:pPr>
      <w:r w:rsidRPr="00E9638F">
        <w:rPr>
          <w:b/>
          <w:bCs/>
        </w:rPr>
        <w:t>TRANSPARENCIA Y COMPETITIVIDAD EN LA CONTRATACIÓN PÚBLICA COLOMBIANA</w:t>
      </w:r>
    </w:p>
    <w:p w:rsidR="002C56A2" w:rsidRPr="00E9638F" w:rsidRDefault="000712E7">
      <w:pPr>
        <w:spacing w:after="160"/>
        <w:jc w:val="center"/>
        <w:rPr>
          <w:rFonts w:asciiTheme="majorHAnsi" w:hAnsiTheme="majorHAnsi" w:cstheme="majorHAnsi"/>
          <w:sz w:val="24"/>
          <w:szCs w:val="24"/>
        </w:rPr>
      </w:pPr>
      <w:r w:rsidRPr="00E9638F">
        <w:rPr>
          <w:rFonts w:asciiTheme="majorHAnsi" w:hAnsiTheme="majorHAnsi" w:cstheme="majorHAnsi"/>
          <w:sz w:val="24"/>
          <w:szCs w:val="24"/>
        </w:rPr>
        <w:t>Visualización de Datos Masivos</w:t>
      </w:r>
    </w:p>
    <w:p w:rsidR="00E9638F" w:rsidRDefault="00E9638F" w:rsidP="00E9638F">
      <w:pPr>
        <w:spacing w:after="960"/>
        <w:rPr>
          <w:rFonts w:asciiTheme="majorHAnsi" w:hAnsiTheme="majorHAnsi" w:cstheme="majorHAnsi"/>
          <w:sz w:val="24"/>
          <w:szCs w:val="24"/>
        </w:rPr>
      </w:pPr>
    </w:p>
    <w:p w:rsidR="00E9638F" w:rsidRDefault="000712E7" w:rsidP="00E9638F">
      <w:pPr>
        <w:pStyle w:val="Sinespaciado"/>
        <w:jc w:val="center"/>
        <w:rPr>
          <w:rFonts w:asciiTheme="majorHAnsi" w:hAnsiTheme="majorHAnsi" w:cstheme="majorHAnsi"/>
          <w:b/>
          <w:sz w:val="24"/>
          <w:szCs w:val="24"/>
        </w:rPr>
      </w:pPr>
      <w:r w:rsidRPr="00E9638F">
        <w:rPr>
          <w:rFonts w:asciiTheme="majorHAnsi" w:hAnsiTheme="majorHAnsi" w:cstheme="majorHAnsi"/>
          <w:b/>
          <w:sz w:val="24"/>
          <w:szCs w:val="24"/>
        </w:rPr>
        <w:t>Pr</w:t>
      </w:r>
      <w:r w:rsidR="00E9638F" w:rsidRPr="00E9638F">
        <w:rPr>
          <w:rFonts w:asciiTheme="majorHAnsi" w:hAnsiTheme="majorHAnsi" w:cstheme="majorHAnsi"/>
          <w:b/>
          <w:sz w:val="24"/>
          <w:szCs w:val="24"/>
        </w:rPr>
        <w:t>e</w:t>
      </w:r>
      <w:r w:rsidRPr="00E9638F">
        <w:rPr>
          <w:rFonts w:asciiTheme="majorHAnsi" w:hAnsiTheme="majorHAnsi" w:cstheme="majorHAnsi"/>
          <w:b/>
          <w:sz w:val="24"/>
          <w:szCs w:val="24"/>
        </w:rPr>
        <w:t>sentado por</w:t>
      </w:r>
      <w:r w:rsidRPr="00E9638F">
        <w:rPr>
          <w:rFonts w:asciiTheme="majorHAnsi" w:hAnsiTheme="majorHAnsi" w:cstheme="majorHAnsi"/>
          <w:b/>
          <w:sz w:val="24"/>
          <w:szCs w:val="24"/>
        </w:rPr>
        <w:t>:</w:t>
      </w:r>
    </w:p>
    <w:p w:rsidR="00E9638F" w:rsidRDefault="00E9638F" w:rsidP="00E9638F">
      <w:pPr>
        <w:pStyle w:val="Sinespaciado"/>
        <w:jc w:val="center"/>
        <w:rPr>
          <w:rFonts w:asciiTheme="majorHAnsi" w:hAnsiTheme="majorHAnsi" w:cstheme="majorHAnsi"/>
          <w:b/>
          <w:sz w:val="24"/>
          <w:szCs w:val="24"/>
        </w:rPr>
      </w:pPr>
    </w:p>
    <w:p w:rsidR="00E9638F" w:rsidRPr="00E9638F" w:rsidRDefault="00E9638F" w:rsidP="00E9638F">
      <w:pPr>
        <w:pStyle w:val="Sinespaciado"/>
        <w:jc w:val="center"/>
        <w:rPr>
          <w:rFonts w:asciiTheme="majorHAnsi" w:hAnsiTheme="majorHAnsi" w:cstheme="majorHAnsi"/>
          <w:b/>
          <w:sz w:val="24"/>
          <w:szCs w:val="24"/>
        </w:rPr>
      </w:pPr>
    </w:p>
    <w:p w:rsidR="002C56A2" w:rsidRPr="00E9638F" w:rsidRDefault="000712E7" w:rsidP="00E9638F">
      <w:pPr>
        <w:pStyle w:val="Sinespaciado"/>
        <w:jc w:val="center"/>
        <w:rPr>
          <w:rFonts w:asciiTheme="majorHAnsi" w:hAnsiTheme="majorHAnsi" w:cstheme="majorHAnsi"/>
          <w:sz w:val="24"/>
          <w:szCs w:val="24"/>
        </w:rPr>
      </w:pPr>
      <w:r w:rsidRPr="00E9638F">
        <w:rPr>
          <w:rFonts w:asciiTheme="majorHAnsi" w:hAnsiTheme="majorHAnsi" w:cstheme="majorHAnsi"/>
          <w:sz w:val="24"/>
          <w:szCs w:val="24"/>
        </w:rPr>
        <w:t>Anyela Julio</w:t>
      </w:r>
      <w:r w:rsidR="00E9638F" w:rsidRPr="00E9638F">
        <w:rPr>
          <w:rFonts w:asciiTheme="majorHAnsi" w:hAnsiTheme="majorHAnsi" w:cstheme="majorHAnsi"/>
          <w:sz w:val="24"/>
          <w:szCs w:val="24"/>
        </w:rPr>
        <w:t xml:space="preserve"> Salcedo</w:t>
      </w:r>
    </w:p>
    <w:p w:rsidR="002C56A2" w:rsidRPr="00E9638F" w:rsidRDefault="000712E7" w:rsidP="00E9638F">
      <w:pPr>
        <w:pStyle w:val="Sinespaciado"/>
        <w:jc w:val="center"/>
        <w:rPr>
          <w:rFonts w:asciiTheme="majorHAnsi" w:hAnsiTheme="majorHAnsi" w:cstheme="majorHAnsi"/>
          <w:sz w:val="24"/>
          <w:szCs w:val="24"/>
        </w:rPr>
      </w:pPr>
      <w:r w:rsidRPr="00E9638F">
        <w:rPr>
          <w:rFonts w:asciiTheme="majorHAnsi" w:hAnsiTheme="majorHAnsi" w:cstheme="majorHAnsi"/>
          <w:sz w:val="24"/>
          <w:szCs w:val="24"/>
        </w:rPr>
        <w:t>Calos Acosta</w:t>
      </w:r>
      <w:r w:rsidR="00E9638F">
        <w:rPr>
          <w:rFonts w:asciiTheme="majorHAnsi" w:hAnsiTheme="majorHAnsi" w:cstheme="majorHAnsi"/>
          <w:sz w:val="24"/>
          <w:szCs w:val="24"/>
        </w:rPr>
        <w:t xml:space="preserve"> Pacheco</w:t>
      </w:r>
    </w:p>
    <w:p w:rsidR="002C56A2" w:rsidRPr="00E9638F" w:rsidRDefault="000712E7" w:rsidP="00E9638F">
      <w:pPr>
        <w:pStyle w:val="Sinespaciado"/>
        <w:jc w:val="center"/>
        <w:rPr>
          <w:rFonts w:asciiTheme="majorHAnsi" w:hAnsiTheme="majorHAnsi" w:cstheme="majorHAnsi"/>
          <w:sz w:val="24"/>
          <w:szCs w:val="24"/>
        </w:rPr>
      </w:pPr>
      <w:r w:rsidRPr="00E9638F">
        <w:rPr>
          <w:rFonts w:asciiTheme="majorHAnsi" w:hAnsiTheme="majorHAnsi" w:cstheme="majorHAnsi"/>
          <w:sz w:val="24"/>
          <w:szCs w:val="24"/>
        </w:rPr>
        <w:t>Pedro Guzmán</w:t>
      </w:r>
      <w:r w:rsidR="00E9638F" w:rsidRPr="00E9638F">
        <w:rPr>
          <w:rFonts w:asciiTheme="majorHAnsi" w:hAnsiTheme="majorHAnsi" w:cstheme="majorHAnsi"/>
          <w:sz w:val="24"/>
          <w:szCs w:val="24"/>
        </w:rPr>
        <w:t xml:space="preserve"> Ortega</w:t>
      </w:r>
    </w:p>
    <w:p w:rsidR="002C56A2" w:rsidRPr="00E9638F" w:rsidRDefault="000712E7" w:rsidP="00E9638F">
      <w:pPr>
        <w:pStyle w:val="Sinespaciado"/>
        <w:jc w:val="center"/>
        <w:rPr>
          <w:rFonts w:asciiTheme="majorHAnsi" w:hAnsiTheme="majorHAnsi" w:cstheme="majorHAnsi"/>
          <w:sz w:val="24"/>
          <w:szCs w:val="24"/>
        </w:rPr>
      </w:pPr>
      <w:r w:rsidRPr="00E9638F">
        <w:rPr>
          <w:rFonts w:asciiTheme="majorHAnsi" w:hAnsiTheme="majorHAnsi" w:cstheme="majorHAnsi"/>
          <w:sz w:val="24"/>
          <w:szCs w:val="24"/>
        </w:rPr>
        <w:t xml:space="preserve">Luis Arrieta </w:t>
      </w:r>
      <w:r w:rsidR="00E9638F" w:rsidRPr="00E9638F">
        <w:rPr>
          <w:rFonts w:asciiTheme="majorHAnsi" w:hAnsiTheme="majorHAnsi" w:cstheme="majorHAnsi"/>
          <w:sz w:val="24"/>
          <w:szCs w:val="24"/>
        </w:rPr>
        <w:t>González</w:t>
      </w:r>
    </w:p>
    <w:p w:rsidR="002C56A2" w:rsidRPr="00E9638F" w:rsidRDefault="002C56A2" w:rsidP="00E9638F">
      <w:pPr>
        <w:jc w:val="center"/>
        <w:rPr>
          <w:rFonts w:asciiTheme="majorHAnsi" w:hAnsiTheme="majorHAnsi" w:cstheme="majorHAnsi"/>
          <w:sz w:val="24"/>
          <w:szCs w:val="24"/>
        </w:rPr>
      </w:pPr>
    </w:p>
    <w:p w:rsidR="002C56A2" w:rsidRPr="00E9638F" w:rsidRDefault="002C56A2" w:rsidP="00E9638F">
      <w:pPr>
        <w:spacing w:after="960"/>
        <w:jc w:val="center"/>
        <w:rPr>
          <w:rFonts w:asciiTheme="majorHAnsi" w:hAnsiTheme="majorHAnsi" w:cstheme="majorHAnsi"/>
          <w:sz w:val="24"/>
          <w:szCs w:val="24"/>
        </w:rPr>
      </w:pPr>
    </w:p>
    <w:p w:rsidR="002C56A2" w:rsidRPr="00E9638F" w:rsidRDefault="000712E7" w:rsidP="00E9638F">
      <w:pPr>
        <w:spacing w:after="80"/>
        <w:jc w:val="center"/>
        <w:rPr>
          <w:rFonts w:asciiTheme="majorHAnsi" w:hAnsiTheme="majorHAnsi" w:cstheme="majorHAnsi"/>
          <w:sz w:val="24"/>
          <w:szCs w:val="24"/>
        </w:rPr>
      </w:pPr>
      <w:r w:rsidRPr="00E9638F">
        <w:rPr>
          <w:rFonts w:asciiTheme="majorHAnsi" w:hAnsiTheme="majorHAnsi" w:cstheme="majorHAnsi"/>
          <w:b/>
          <w:bCs/>
          <w:sz w:val="24"/>
          <w:szCs w:val="24"/>
        </w:rPr>
        <w:t xml:space="preserve">Profesora: Laura Mancera </w:t>
      </w:r>
      <w:proofErr w:type="spellStart"/>
      <w:r w:rsidRPr="00E9638F">
        <w:rPr>
          <w:rFonts w:asciiTheme="majorHAnsi" w:hAnsiTheme="majorHAnsi" w:cstheme="majorHAnsi"/>
          <w:b/>
          <w:bCs/>
          <w:sz w:val="24"/>
          <w:szCs w:val="24"/>
        </w:rPr>
        <w:t>Valetts</w:t>
      </w:r>
      <w:proofErr w:type="spellEnd"/>
    </w:p>
    <w:p w:rsidR="00E9638F" w:rsidRDefault="000712E7" w:rsidP="00E9638F">
      <w:pPr>
        <w:spacing w:after="80"/>
        <w:jc w:val="center"/>
        <w:rPr>
          <w:rFonts w:asciiTheme="majorHAnsi" w:hAnsiTheme="majorHAnsi" w:cstheme="majorHAnsi"/>
          <w:sz w:val="24"/>
          <w:szCs w:val="24"/>
        </w:rPr>
      </w:pPr>
      <w:r w:rsidRPr="00E9638F">
        <w:rPr>
          <w:rFonts w:asciiTheme="majorHAnsi" w:hAnsiTheme="majorHAnsi" w:cstheme="majorHAnsi"/>
          <w:sz w:val="24"/>
          <w:szCs w:val="24"/>
        </w:rPr>
        <w:t>Segundo semestre · Cartagena, 2026</w:t>
      </w:r>
    </w:p>
    <w:p w:rsidR="00E9638F" w:rsidRDefault="00E9638F">
      <w:pPr>
        <w:rPr>
          <w:rFonts w:asciiTheme="majorHAnsi" w:hAnsiTheme="majorHAnsi" w:cstheme="majorHAnsi"/>
          <w:sz w:val="24"/>
          <w:szCs w:val="24"/>
        </w:rPr>
      </w:pPr>
      <w:r>
        <w:rPr>
          <w:rFonts w:asciiTheme="majorHAnsi" w:hAnsiTheme="majorHAnsi" w:cstheme="majorHAnsi"/>
          <w:sz w:val="24"/>
          <w:szCs w:val="24"/>
        </w:rPr>
        <w:br w:type="page"/>
      </w:r>
    </w:p>
    <w:p w:rsidR="002C56A2" w:rsidRPr="00E9638F" w:rsidRDefault="002C56A2" w:rsidP="00E9638F">
      <w:pPr>
        <w:spacing w:after="80"/>
        <w:jc w:val="center"/>
        <w:rPr>
          <w:rFonts w:asciiTheme="majorHAnsi" w:hAnsiTheme="majorHAnsi" w:cstheme="majorHAnsi"/>
          <w:sz w:val="24"/>
          <w:szCs w:val="24"/>
        </w:rPr>
      </w:pPr>
    </w:p>
    <w:p w:rsidR="002C56A2" w:rsidRPr="00E9638F" w:rsidRDefault="000712E7" w:rsidP="000712E7">
      <w:pPr>
        <w:pStyle w:val="Ttulo1"/>
        <w:rPr>
          <w:rFonts w:asciiTheme="majorHAnsi" w:hAnsiTheme="majorHAnsi" w:cstheme="majorHAnsi"/>
          <w:color w:val="auto"/>
          <w:sz w:val="24"/>
          <w:szCs w:val="24"/>
        </w:rPr>
      </w:pPr>
      <w:r w:rsidRPr="00E9638F">
        <w:rPr>
          <w:rFonts w:asciiTheme="majorHAnsi" w:hAnsiTheme="majorHAnsi" w:cstheme="majorHAnsi"/>
          <w:color w:val="auto"/>
          <w:sz w:val="24"/>
          <w:szCs w:val="24"/>
        </w:rPr>
        <w:t xml:space="preserve"> Fase 1</w:t>
      </w:r>
      <w:r w:rsidR="00E9638F">
        <w:rPr>
          <w:rFonts w:asciiTheme="majorHAnsi" w:hAnsiTheme="majorHAnsi" w:cstheme="majorHAnsi"/>
          <w:color w:val="auto"/>
          <w:sz w:val="24"/>
          <w:szCs w:val="24"/>
        </w:rPr>
        <w:t xml:space="preserve">: </w:t>
      </w:r>
      <w:r w:rsidRPr="00E9638F">
        <w:rPr>
          <w:rFonts w:asciiTheme="majorHAnsi" w:hAnsiTheme="majorHAnsi" w:cstheme="majorHAnsi"/>
          <w:color w:val="auto"/>
          <w:sz w:val="24"/>
          <w:szCs w:val="24"/>
        </w:rPr>
        <w:t>Planeación estratégica</w:t>
      </w:r>
      <w:bookmarkStart w:id="0" w:name="_GoBack"/>
      <w:bookmarkEnd w:id="0"/>
    </w:p>
    <w:p w:rsidR="002C56A2" w:rsidRPr="00E9638F" w:rsidRDefault="000712E7">
      <w:pPr>
        <w:numPr>
          <w:ilvl w:val="0"/>
          <w:numId w:val="3"/>
        </w:numPr>
        <w:spacing w:before="60"/>
        <w:jc w:val="both"/>
        <w:rPr>
          <w:rFonts w:asciiTheme="majorHAnsi" w:hAnsiTheme="majorHAnsi" w:cstheme="majorHAnsi"/>
          <w:sz w:val="24"/>
          <w:szCs w:val="24"/>
        </w:rPr>
      </w:pPr>
      <w:r w:rsidRPr="00E9638F">
        <w:rPr>
          <w:rFonts w:asciiTheme="majorHAnsi" w:hAnsiTheme="majorHAnsi" w:cstheme="majorHAnsi"/>
          <w:b/>
          <w:bCs/>
          <w:sz w:val="24"/>
          <w:szCs w:val="24"/>
        </w:rPr>
        <w:t xml:space="preserve">Nombre del </w:t>
      </w:r>
      <w:proofErr w:type="spellStart"/>
      <w:r w:rsidRPr="00E9638F">
        <w:rPr>
          <w:rFonts w:asciiTheme="majorHAnsi" w:hAnsiTheme="majorHAnsi" w:cstheme="majorHAnsi"/>
          <w:b/>
          <w:bCs/>
          <w:sz w:val="24"/>
          <w:szCs w:val="24"/>
        </w:rPr>
        <w:t>Dataset</w:t>
      </w:r>
      <w:proofErr w:type="spellEnd"/>
      <w:r w:rsidRPr="00E9638F">
        <w:rPr>
          <w:rFonts w:asciiTheme="majorHAnsi" w:hAnsiTheme="majorHAnsi" w:cstheme="majorHAnsi"/>
          <w:b/>
          <w:bCs/>
          <w:sz w:val="24"/>
          <w:szCs w:val="24"/>
        </w:rPr>
        <w:t>:</w:t>
      </w:r>
      <w:r w:rsidRPr="00E9638F">
        <w:rPr>
          <w:rFonts w:asciiTheme="majorHAnsi" w:hAnsiTheme="majorHAnsi" w:cstheme="majorHAnsi"/>
          <w:sz w:val="24"/>
          <w:szCs w:val="24"/>
        </w:rPr>
        <w:t xml:space="preserve"> SECOP II - Procesos de Contratación.</w:t>
      </w:r>
    </w:p>
    <w:p w:rsidR="002C56A2" w:rsidRPr="00E9638F" w:rsidRDefault="000712E7">
      <w:pPr>
        <w:numPr>
          <w:ilvl w:val="0"/>
          <w:numId w:val="3"/>
        </w:numPr>
        <w:jc w:val="both"/>
        <w:rPr>
          <w:rFonts w:asciiTheme="majorHAnsi" w:hAnsiTheme="majorHAnsi" w:cstheme="majorHAnsi"/>
          <w:sz w:val="24"/>
          <w:szCs w:val="24"/>
        </w:rPr>
      </w:pPr>
      <w:r w:rsidRPr="00E9638F">
        <w:rPr>
          <w:rFonts w:asciiTheme="majorHAnsi" w:hAnsiTheme="majorHAnsi" w:cstheme="majorHAnsi"/>
          <w:b/>
          <w:bCs/>
          <w:sz w:val="24"/>
          <w:szCs w:val="24"/>
        </w:rPr>
        <w:t>Fuente:</w:t>
      </w:r>
      <w:r w:rsidRPr="00E9638F">
        <w:rPr>
          <w:rFonts w:asciiTheme="majorHAnsi" w:hAnsiTheme="majorHAnsi" w:cstheme="majorHAnsi"/>
          <w:sz w:val="24"/>
          <w:szCs w:val="24"/>
        </w:rPr>
        <w:t xml:space="preserve"> Agencia Nacional de Contratación Pública - Colombia Compra Eficiente, alojado en el Portal de Datos Abiertos de la República de Colombia (datos.gov.co).</w:t>
      </w:r>
    </w:p>
    <w:p w:rsidR="002C56A2" w:rsidRPr="00E9638F" w:rsidRDefault="000712E7">
      <w:pPr>
        <w:numPr>
          <w:ilvl w:val="0"/>
          <w:numId w:val="3"/>
        </w:numPr>
        <w:rPr>
          <w:rFonts w:asciiTheme="majorHAnsi" w:hAnsiTheme="majorHAnsi" w:cstheme="majorHAnsi"/>
          <w:sz w:val="24"/>
          <w:szCs w:val="24"/>
        </w:rPr>
      </w:pPr>
      <w:r w:rsidRPr="00E9638F">
        <w:rPr>
          <w:rFonts w:asciiTheme="majorHAnsi" w:hAnsiTheme="majorHAnsi" w:cstheme="majorHAnsi"/>
          <w:b/>
          <w:bCs/>
          <w:sz w:val="24"/>
          <w:szCs w:val="24"/>
        </w:rPr>
        <w:t>URL</w:t>
      </w:r>
      <w:r w:rsidRPr="00E9638F">
        <w:rPr>
          <w:rFonts w:asciiTheme="majorHAnsi" w:hAnsiTheme="majorHAnsi" w:cstheme="majorHAnsi"/>
          <w:b/>
          <w:bCs/>
          <w:sz w:val="24"/>
          <w:szCs w:val="24"/>
        </w:rPr>
        <w:t xml:space="preserve"> de </w:t>
      </w:r>
      <w:r>
        <w:rPr>
          <w:rFonts w:asciiTheme="majorHAnsi" w:hAnsiTheme="majorHAnsi" w:cstheme="majorHAnsi"/>
          <w:b/>
          <w:bCs/>
          <w:sz w:val="24"/>
          <w:szCs w:val="24"/>
        </w:rPr>
        <w:t>d</w:t>
      </w:r>
      <w:r w:rsidRPr="00E9638F">
        <w:rPr>
          <w:rFonts w:asciiTheme="majorHAnsi" w:hAnsiTheme="majorHAnsi" w:cstheme="majorHAnsi"/>
          <w:b/>
          <w:bCs/>
          <w:sz w:val="24"/>
          <w:szCs w:val="24"/>
        </w:rPr>
        <w:t xml:space="preserve">escarga </w:t>
      </w:r>
      <w:r>
        <w:rPr>
          <w:rFonts w:asciiTheme="majorHAnsi" w:hAnsiTheme="majorHAnsi" w:cstheme="majorHAnsi"/>
          <w:b/>
          <w:bCs/>
          <w:sz w:val="24"/>
          <w:szCs w:val="24"/>
        </w:rPr>
        <w:t>d</w:t>
      </w:r>
      <w:r w:rsidRPr="00E9638F">
        <w:rPr>
          <w:rFonts w:asciiTheme="majorHAnsi" w:hAnsiTheme="majorHAnsi" w:cstheme="majorHAnsi"/>
          <w:b/>
          <w:bCs/>
          <w:sz w:val="24"/>
          <w:szCs w:val="24"/>
        </w:rPr>
        <w:t>irecta (</w:t>
      </w:r>
      <w:proofErr w:type="spellStart"/>
      <w:r w:rsidRPr="00E9638F">
        <w:rPr>
          <w:rFonts w:asciiTheme="majorHAnsi" w:hAnsiTheme="majorHAnsi" w:cstheme="majorHAnsi"/>
          <w:b/>
          <w:bCs/>
          <w:sz w:val="24"/>
          <w:szCs w:val="24"/>
        </w:rPr>
        <w:t>OData</w:t>
      </w:r>
      <w:proofErr w:type="spellEnd"/>
      <w:r w:rsidRPr="00E9638F">
        <w:rPr>
          <w:rFonts w:asciiTheme="majorHAnsi" w:hAnsiTheme="majorHAnsi" w:cstheme="majorHAnsi"/>
          <w:b/>
          <w:bCs/>
          <w:sz w:val="24"/>
          <w:szCs w:val="24"/>
        </w:rPr>
        <w:t xml:space="preserve"> API):</w:t>
      </w:r>
      <w:r w:rsidRPr="00E9638F">
        <w:rPr>
          <w:rFonts w:asciiTheme="majorHAnsi" w:hAnsiTheme="majorHAnsi" w:cstheme="majorHAnsi"/>
          <w:sz w:val="24"/>
          <w:szCs w:val="24"/>
        </w:rPr>
        <w:t xml:space="preserve"> https://www.datos.gov.co/api/odata/v4/p6dx-8zbt</w:t>
      </w:r>
    </w:p>
    <w:p w:rsidR="002C56A2" w:rsidRPr="00E9638F" w:rsidRDefault="000712E7">
      <w:pPr>
        <w:numPr>
          <w:ilvl w:val="0"/>
          <w:numId w:val="3"/>
        </w:numPr>
        <w:jc w:val="both"/>
        <w:rPr>
          <w:rFonts w:asciiTheme="majorHAnsi" w:hAnsiTheme="majorHAnsi" w:cstheme="majorHAnsi"/>
          <w:sz w:val="24"/>
          <w:szCs w:val="24"/>
        </w:rPr>
      </w:pPr>
      <w:r w:rsidRPr="00E9638F">
        <w:rPr>
          <w:rFonts w:asciiTheme="majorHAnsi" w:hAnsiTheme="majorHAnsi" w:cstheme="majorHAnsi"/>
          <w:b/>
          <w:bCs/>
          <w:sz w:val="24"/>
          <w:szCs w:val="24"/>
        </w:rPr>
        <w:t>Fecha de</w:t>
      </w:r>
      <w:r>
        <w:rPr>
          <w:rFonts w:asciiTheme="majorHAnsi" w:hAnsiTheme="majorHAnsi" w:cstheme="majorHAnsi"/>
          <w:b/>
          <w:bCs/>
          <w:sz w:val="24"/>
          <w:szCs w:val="24"/>
        </w:rPr>
        <w:t xml:space="preserve"> ú</w:t>
      </w:r>
      <w:r w:rsidRPr="00E9638F">
        <w:rPr>
          <w:rFonts w:asciiTheme="majorHAnsi" w:hAnsiTheme="majorHAnsi" w:cstheme="majorHAnsi"/>
          <w:b/>
          <w:bCs/>
          <w:sz w:val="24"/>
          <w:szCs w:val="24"/>
        </w:rPr>
        <w:t xml:space="preserve">ltima </w:t>
      </w:r>
      <w:r>
        <w:rPr>
          <w:rFonts w:asciiTheme="majorHAnsi" w:hAnsiTheme="majorHAnsi" w:cstheme="majorHAnsi"/>
          <w:b/>
          <w:bCs/>
          <w:sz w:val="24"/>
          <w:szCs w:val="24"/>
        </w:rPr>
        <w:t>a</w:t>
      </w:r>
      <w:r w:rsidRPr="00E9638F">
        <w:rPr>
          <w:rFonts w:asciiTheme="majorHAnsi" w:hAnsiTheme="majorHAnsi" w:cstheme="majorHAnsi"/>
          <w:b/>
          <w:bCs/>
          <w:sz w:val="24"/>
          <w:szCs w:val="24"/>
        </w:rPr>
        <w:t>ctualización:</w:t>
      </w:r>
      <w:r w:rsidRPr="00E9638F">
        <w:rPr>
          <w:rFonts w:asciiTheme="majorHAnsi" w:hAnsiTheme="majorHAnsi" w:cstheme="majorHAnsi"/>
          <w:sz w:val="24"/>
          <w:szCs w:val="24"/>
        </w:rPr>
        <w:t xml:space="preserve"> Monitoreo continuo transaccional (datos actualizados a </w:t>
      </w:r>
      <w:r>
        <w:rPr>
          <w:rFonts w:asciiTheme="majorHAnsi" w:hAnsiTheme="majorHAnsi" w:cstheme="majorHAnsi"/>
          <w:sz w:val="24"/>
          <w:szCs w:val="24"/>
        </w:rPr>
        <w:t xml:space="preserve">16 </w:t>
      </w:r>
      <w:r w:rsidRPr="00E9638F">
        <w:rPr>
          <w:rFonts w:asciiTheme="majorHAnsi" w:hAnsiTheme="majorHAnsi" w:cstheme="majorHAnsi"/>
          <w:sz w:val="24"/>
          <w:szCs w:val="24"/>
        </w:rPr>
        <w:t>mayo de 2026).</w:t>
      </w:r>
    </w:p>
    <w:p w:rsidR="00CE1B05" w:rsidRPr="00CE1B05" w:rsidRDefault="000712E7" w:rsidP="00E9638F">
      <w:pPr>
        <w:numPr>
          <w:ilvl w:val="0"/>
          <w:numId w:val="3"/>
        </w:numPr>
        <w:jc w:val="both"/>
        <w:rPr>
          <w:rFonts w:asciiTheme="majorHAnsi" w:hAnsiTheme="majorHAnsi" w:cstheme="majorHAnsi"/>
          <w:sz w:val="24"/>
          <w:szCs w:val="24"/>
        </w:rPr>
      </w:pPr>
      <w:r w:rsidRPr="00CE1B05">
        <w:rPr>
          <w:rFonts w:asciiTheme="majorHAnsi" w:hAnsiTheme="majorHAnsi" w:cstheme="majorHAnsi"/>
          <w:b/>
          <w:bCs/>
          <w:sz w:val="24"/>
          <w:szCs w:val="24"/>
        </w:rPr>
        <w:t xml:space="preserve">Volumen de la </w:t>
      </w:r>
      <w:r>
        <w:rPr>
          <w:rFonts w:asciiTheme="majorHAnsi" w:hAnsiTheme="majorHAnsi" w:cstheme="majorHAnsi"/>
          <w:b/>
          <w:bCs/>
          <w:sz w:val="24"/>
          <w:szCs w:val="24"/>
        </w:rPr>
        <w:t>m</w:t>
      </w:r>
      <w:r w:rsidRPr="00CE1B05">
        <w:rPr>
          <w:rFonts w:asciiTheme="majorHAnsi" w:hAnsiTheme="majorHAnsi" w:cstheme="majorHAnsi"/>
          <w:b/>
          <w:bCs/>
          <w:sz w:val="24"/>
          <w:szCs w:val="24"/>
        </w:rPr>
        <w:t>uestra</w:t>
      </w:r>
      <w:r w:rsidR="00CE1B05">
        <w:rPr>
          <w:rFonts w:asciiTheme="majorHAnsi" w:hAnsiTheme="majorHAnsi" w:cstheme="majorHAnsi"/>
          <w:b/>
          <w:bCs/>
          <w:sz w:val="24"/>
          <w:szCs w:val="24"/>
        </w:rPr>
        <w:t xml:space="preserve">: </w:t>
      </w:r>
      <w:r w:rsidR="00CE1B05" w:rsidRPr="00CE1B05">
        <w:rPr>
          <w:rFonts w:asciiTheme="majorHAnsi" w:hAnsiTheme="majorHAnsi" w:cstheme="majorHAnsi"/>
          <w:bCs/>
          <w:sz w:val="24"/>
          <w:szCs w:val="24"/>
        </w:rPr>
        <w:t xml:space="preserve">El </w:t>
      </w:r>
      <w:proofErr w:type="spellStart"/>
      <w:r w:rsidR="00CE1B05">
        <w:rPr>
          <w:rFonts w:asciiTheme="majorHAnsi" w:hAnsiTheme="majorHAnsi" w:cstheme="majorHAnsi"/>
          <w:bCs/>
          <w:sz w:val="24"/>
          <w:szCs w:val="24"/>
        </w:rPr>
        <w:t>dataset</w:t>
      </w:r>
      <w:proofErr w:type="spellEnd"/>
      <w:r w:rsidR="00CE1B05">
        <w:rPr>
          <w:rFonts w:asciiTheme="majorHAnsi" w:hAnsiTheme="majorHAnsi" w:cstheme="majorHAnsi"/>
          <w:bCs/>
          <w:sz w:val="24"/>
          <w:szCs w:val="24"/>
        </w:rPr>
        <w:t xml:space="preserve"> </w:t>
      </w:r>
      <w:r w:rsidR="00CE1B05" w:rsidRPr="00CE1B05">
        <w:rPr>
          <w:rFonts w:asciiTheme="majorHAnsi" w:hAnsiTheme="majorHAnsi" w:cstheme="majorHAnsi"/>
          <w:bCs/>
          <w:sz w:val="24"/>
          <w:szCs w:val="24"/>
        </w:rPr>
        <w:t xml:space="preserve">original de SECOP II cuenta con aproximadamente 8,63 millones de filas y 59 columnas; sin embargo, para este proyecto en </w:t>
      </w:r>
      <w:proofErr w:type="spellStart"/>
      <w:r w:rsidR="00CE1B05" w:rsidRPr="00CE1B05">
        <w:rPr>
          <w:rFonts w:asciiTheme="majorHAnsi" w:hAnsiTheme="majorHAnsi" w:cstheme="majorHAnsi"/>
          <w:bCs/>
          <w:sz w:val="24"/>
          <w:szCs w:val="24"/>
        </w:rPr>
        <w:t>Power</w:t>
      </w:r>
      <w:proofErr w:type="spellEnd"/>
      <w:r w:rsidR="00CE1B05" w:rsidRPr="00CE1B05">
        <w:rPr>
          <w:rFonts w:asciiTheme="majorHAnsi" w:hAnsiTheme="majorHAnsi" w:cstheme="majorHAnsi"/>
          <w:bCs/>
          <w:sz w:val="24"/>
          <w:szCs w:val="24"/>
        </w:rPr>
        <w:t xml:space="preserve"> BI, el alcance se delimitó a un piloto de 1.000 filas conservando las 59 columnas originales. Esta reducción responde estrictamente a las restricciones técnicas de descarga por solicitud que impone la API pública, garantizando un consumo óptimo y sin bloqueos durante el desarrollo. A pesar de acortar el número de registros, conservar la totalidad de las columnas asegura que no se pierda ninguna variable crítica, dejando la estructura del </w:t>
      </w:r>
      <w:proofErr w:type="spellStart"/>
      <w:r w:rsidR="00CE1B05" w:rsidRPr="00CE1B05">
        <w:rPr>
          <w:rFonts w:asciiTheme="majorHAnsi" w:hAnsiTheme="majorHAnsi" w:cstheme="majorHAnsi"/>
          <w:bCs/>
          <w:sz w:val="24"/>
          <w:szCs w:val="24"/>
        </w:rPr>
        <w:t>dashboard</w:t>
      </w:r>
      <w:proofErr w:type="spellEnd"/>
      <w:r w:rsidR="00CE1B05" w:rsidRPr="00CE1B05">
        <w:rPr>
          <w:rFonts w:asciiTheme="majorHAnsi" w:hAnsiTheme="majorHAnsi" w:cstheme="majorHAnsi"/>
          <w:bCs/>
          <w:sz w:val="24"/>
          <w:szCs w:val="24"/>
        </w:rPr>
        <w:t xml:space="preserve"> técnicamente preparada y escalable para una carga masiva en fases posteriores.</w:t>
      </w:r>
    </w:p>
    <w:p w:rsidR="002C56A2" w:rsidRDefault="000712E7" w:rsidP="00E9638F">
      <w:pPr>
        <w:numPr>
          <w:ilvl w:val="0"/>
          <w:numId w:val="3"/>
        </w:numPr>
        <w:jc w:val="both"/>
        <w:rPr>
          <w:rFonts w:asciiTheme="majorHAnsi" w:hAnsiTheme="majorHAnsi" w:cstheme="majorHAnsi"/>
          <w:sz w:val="24"/>
          <w:szCs w:val="24"/>
        </w:rPr>
      </w:pPr>
      <w:r w:rsidRPr="00CE1B05">
        <w:rPr>
          <w:rFonts w:asciiTheme="majorHAnsi" w:hAnsiTheme="majorHAnsi" w:cstheme="majorHAnsi"/>
          <w:b/>
          <w:bCs/>
          <w:sz w:val="24"/>
          <w:szCs w:val="24"/>
        </w:rPr>
        <w:t xml:space="preserve">Breve </w:t>
      </w:r>
      <w:r>
        <w:rPr>
          <w:rFonts w:asciiTheme="majorHAnsi" w:hAnsiTheme="majorHAnsi" w:cstheme="majorHAnsi"/>
          <w:b/>
          <w:bCs/>
          <w:sz w:val="24"/>
          <w:szCs w:val="24"/>
        </w:rPr>
        <w:t>d</w:t>
      </w:r>
      <w:r w:rsidRPr="00CE1B05">
        <w:rPr>
          <w:rFonts w:asciiTheme="majorHAnsi" w:hAnsiTheme="majorHAnsi" w:cstheme="majorHAnsi"/>
          <w:b/>
          <w:bCs/>
          <w:sz w:val="24"/>
          <w:szCs w:val="24"/>
        </w:rPr>
        <w:t xml:space="preserve">escripción del </w:t>
      </w:r>
      <w:r>
        <w:rPr>
          <w:rFonts w:asciiTheme="majorHAnsi" w:hAnsiTheme="majorHAnsi" w:cstheme="majorHAnsi"/>
          <w:b/>
          <w:bCs/>
          <w:sz w:val="24"/>
          <w:szCs w:val="24"/>
        </w:rPr>
        <w:t>d</w:t>
      </w:r>
      <w:r w:rsidRPr="00CE1B05">
        <w:rPr>
          <w:rFonts w:asciiTheme="majorHAnsi" w:hAnsiTheme="majorHAnsi" w:cstheme="majorHAnsi"/>
          <w:b/>
          <w:bCs/>
          <w:sz w:val="24"/>
          <w:szCs w:val="24"/>
        </w:rPr>
        <w:t xml:space="preserve">iccionario de </w:t>
      </w:r>
      <w:r>
        <w:rPr>
          <w:rFonts w:asciiTheme="majorHAnsi" w:hAnsiTheme="majorHAnsi" w:cstheme="majorHAnsi"/>
          <w:b/>
          <w:bCs/>
          <w:sz w:val="24"/>
          <w:szCs w:val="24"/>
        </w:rPr>
        <w:t>v</w:t>
      </w:r>
      <w:r w:rsidRPr="00CE1B05">
        <w:rPr>
          <w:rFonts w:asciiTheme="majorHAnsi" w:hAnsiTheme="majorHAnsi" w:cstheme="majorHAnsi"/>
          <w:b/>
          <w:bCs/>
          <w:sz w:val="24"/>
          <w:szCs w:val="24"/>
        </w:rPr>
        <w:t xml:space="preserve">ariables </w:t>
      </w:r>
      <w:r>
        <w:rPr>
          <w:rFonts w:asciiTheme="majorHAnsi" w:hAnsiTheme="majorHAnsi" w:cstheme="majorHAnsi"/>
          <w:b/>
          <w:bCs/>
          <w:sz w:val="24"/>
          <w:szCs w:val="24"/>
        </w:rPr>
        <w:t>c</w:t>
      </w:r>
      <w:r w:rsidRPr="00CE1B05">
        <w:rPr>
          <w:rFonts w:asciiTheme="majorHAnsi" w:hAnsiTheme="majorHAnsi" w:cstheme="majorHAnsi"/>
          <w:b/>
          <w:bCs/>
          <w:sz w:val="24"/>
          <w:szCs w:val="24"/>
        </w:rPr>
        <w:t>lave:</w:t>
      </w:r>
      <w:r w:rsidR="00E9638F" w:rsidRPr="00CE1B05">
        <w:rPr>
          <w:rFonts w:asciiTheme="majorHAnsi" w:hAnsiTheme="majorHAnsi" w:cstheme="majorHAnsi"/>
          <w:sz w:val="24"/>
          <w:szCs w:val="24"/>
        </w:rPr>
        <w:t xml:space="preserve"> Este diccionario de variables define la estructura de datos de la plataforma SECOP II para la contratación pública en Colombia, organizando de punta a punta el ciclo de vida de los contratos estatales. El esquema abarca desde la caracterización y ubicación de la entidad compradora (</w:t>
      </w:r>
      <w:proofErr w:type="spellStart"/>
      <w:r w:rsidR="00E9638F" w:rsidRPr="00CE1B05">
        <w:rPr>
          <w:rFonts w:asciiTheme="majorHAnsi" w:hAnsiTheme="majorHAnsi" w:cstheme="majorHAnsi"/>
          <w:sz w:val="24"/>
          <w:szCs w:val="24"/>
        </w:rPr>
        <w:t>nombre_entidad</w:t>
      </w:r>
      <w:proofErr w:type="spellEnd"/>
      <w:r w:rsidR="00E9638F" w:rsidRPr="00CE1B05">
        <w:rPr>
          <w:rFonts w:asciiTheme="majorHAnsi" w:hAnsiTheme="majorHAnsi" w:cstheme="majorHAnsi"/>
          <w:sz w:val="24"/>
          <w:szCs w:val="24"/>
        </w:rPr>
        <w:t xml:space="preserve">, </w:t>
      </w:r>
      <w:proofErr w:type="spellStart"/>
      <w:r w:rsidR="00E9638F" w:rsidRPr="00CE1B05">
        <w:rPr>
          <w:rFonts w:asciiTheme="majorHAnsi" w:hAnsiTheme="majorHAnsi" w:cstheme="majorHAnsi"/>
          <w:sz w:val="24"/>
          <w:szCs w:val="24"/>
        </w:rPr>
        <w:t>nit_entidad</w:t>
      </w:r>
      <w:proofErr w:type="spellEnd"/>
      <w:r w:rsidR="00E9638F" w:rsidRPr="00CE1B05">
        <w:rPr>
          <w:rFonts w:asciiTheme="majorHAnsi" w:hAnsiTheme="majorHAnsi" w:cstheme="majorHAnsi"/>
          <w:sz w:val="24"/>
          <w:szCs w:val="24"/>
        </w:rPr>
        <w:t>) y la información jurídica del proceso (</w:t>
      </w:r>
      <w:proofErr w:type="spellStart"/>
      <w:r w:rsidR="00E9638F" w:rsidRPr="00CE1B05">
        <w:rPr>
          <w:rFonts w:asciiTheme="majorHAnsi" w:hAnsiTheme="majorHAnsi" w:cstheme="majorHAnsi"/>
          <w:sz w:val="24"/>
          <w:szCs w:val="24"/>
        </w:rPr>
        <w:t>objeto_del_contrato</w:t>
      </w:r>
      <w:proofErr w:type="spellEnd"/>
      <w:r w:rsidR="00E9638F" w:rsidRPr="00CE1B05">
        <w:rPr>
          <w:rFonts w:asciiTheme="majorHAnsi" w:hAnsiTheme="majorHAnsi" w:cstheme="majorHAnsi"/>
          <w:sz w:val="24"/>
          <w:szCs w:val="24"/>
        </w:rPr>
        <w:t xml:space="preserve">, </w:t>
      </w:r>
      <w:proofErr w:type="spellStart"/>
      <w:r w:rsidR="00E9638F" w:rsidRPr="00CE1B05">
        <w:rPr>
          <w:rFonts w:asciiTheme="majorHAnsi" w:hAnsiTheme="majorHAnsi" w:cstheme="majorHAnsi"/>
          <w:sz w:val="24"/>
          <w:szCs w:val="24"/>
        </w:rPr>
        <w:t>modalidad_de_contratacion</w:t>
      </w:r>
      <w:proofErr w:type="spellEnd"/>
      <w:r w:rsidR="00E9638F" w:rsidRPr="00CE1B05">
        <w:rPr>
          <w:rFonts w:asciiTheme="majorHAnsi" w:hAnsiTheme="majorHAnsi" w:cstheme="majorHAnsi"/>
          <w:sz w:val="24"/>
          <w:szCs w:val="24"/>
        </w:rPr>
        <w:t>), hasta el perfil detallado del contratista adjudicado (</w:t>
      </w:r>
      <w:proofErr w:type="spellStart"/>
      <w:r w:rsidR="00E9638F" w:rsidRPr="00CE1B05">
        <w:rPr>
          <w:rFonts w:asciiTheme="majorHAnsi" w:hAnsiTheme="majorHAnsi" w:cstheme="majorHAnsi"/>
          <w:sz w:val="24"/>
          <w:szCs w:val="24"/>
        </w:rPr>
        <w:t>proveedor_adjudicado</w:t>
      </w:r>
      <w:proofErr w:type="spellEnd"/>
      <w:r w:rsidR="00E9638F" w:rsidRPr="00CE1B05">
        <w:rPr>
          <w:rFonts w:asciiTheme="majorHAnsi" w:hAnsiTheme="majorHAnsi" w:cstheme="majorHAnsi"/>
          <w:sz w:val="24"/>
          <w:szCs w:val="24"/>
        </w:rPr>
        <w:t xml:space="preserve">, </w:t>
      </w:r>
      <w:proofErr w:type="spellStart"/>
      <w:r w:rsidR="00E9638F" w:rsidRPr="00CE1B05">
        <w:rPr>
          <w:rFonts w:asciiTheme="majorHAnsi" w:hAnsiTheme="majorHAnsi" w:cstheme="majorHAnsi"/>
          <w:sz w:val="24"/>
          <w:szCs w:val="24"/>
        </w:rPr>
        <w:t>es_pyme</w:t>
      </w:r>
      <w:proofErr w:type="spellEnd"/>
      <w:r w:rsidR="00E9638F" w:rsidRPr="00CE1B05">
        <w:rPr>
          <w:rFonts w:asciiTheme="majorHAnsi" w:hAnsiTheme="majorHAnsi" w:cstheme="majorHAnsi"/>
          <w:sz w:val="24"/>
          <w:szCs w:val="24"/>
        </w:rPr>
        <w:t>) y el control cronológico de sus fechas clave. Su núcleo financiero desglosa con precisión los montos totales, el avance de pagos (</w:t>
      </w:r>
      <w:proofErr w:type="spellStart"/>
      <w:r w:rsidR="00E9638F" w:rsidRPr="00CE1B05">
        <w:rPr>
          <w:rFonts w:asciiTheme="majorHAnsi" w:hAnsiTheme="majorHAnsi" w:cstheme="majorHAnsi"/>
          <w:sz w:val="24"/>
          <w:szCs w:val="24"/>
        </w:rPr>
        <w:t>valor_del_contrato</w:t>
      </w:r>
      <w:proofErr w:type="spellEnd"/>
      <w:r w:rsidR="00E9638F" w:rsidRPr="00CE1B05">
        <w:rPr>
          <w:rFonts w:asciiTheme="majorHAnsi" w:hAnsiTheme="majorHAnsi" w:cstheme="majorHAnsi"/>
          <w:sz w:val="24"/>
          <w:szCs w:val="24"/>
        </w:rPr>
        <w:t xml:space="preserve">, </w:t>
      </w:r>
      <w:proofErr w:type="spellStart"/>
      <w:r w:rsidR="00E9638F" w:rsidRPr="00CE1B05">
        <w:rPr>
          <w:rFonts w:asciiTheme="majorHAnsi" w:hAnsiTheme="majorHAnsi" w:cstheme="majorHAnsi"/>
          <w:sz w:val="24"/>
          <w:szCs w:val="24"/>
        </w:rPr>
        <w:t>valor_pagado</w:t>
      </w:r>
      <w:proofErr w:type="spellEnd"/>
      <w:r w:rsidR="00E9638F" w:rsidRPr="00CE1B05">
        <w:rPr>
          <w:rFonts w:asciiTheme="majorHAnsi" w:hAnsiTheme="majorHAnsi" w:cstheme="majorHAnsi"/>
          <w:sz w:val="24"/>
          <w:szCs w:val="24"/>
        </w:rPr>
        <w:t>) y las fuentes específicas de presupuesto (como Regalías o PGN), complementándose con estrictos campos de gobernanza que registran a los ordenadores del gasto, supervisores y cuentas bancarias, junto con indicadores de políticas públicas relacionados con la sostenibilidad ambiental y el postconflicto.</w:t>
      </w:r>
    </w:p>
    <w:p w:rsidR="000712E7" w:rsidRPr="00CE1B05" w:rsidRDefault="000712E7" w:rsidP="000712E7">
      <w:pPr>
        <w:ind w:left="720"/>
        <w:jc w:val="both"/>
        <w:rPr>
          <w:rFonts w:asciiTheme="majorHAnsi" w:hAnsiTheme="majorHAnsi" w:cstheme="majorHAnsi"/>
          <w:sz w:val="24"/>
          <w:szCs w:val="24"/>
        </w:rPr>
      </w:pPr>
    </w:p>
    <w:p w:rsidR="002C56A2" w:rsidRPr="000712E7" w:rsidRDefault="000712E7" w:rsidP="000712E7">
      <w:pPr>
        <w:pStyle w:val="Ttulo2"/>
        <w:rPr>
          <w:rFonts w:asciiTheme="majorHAnsi" w:hAnsiTheme="majorHAnsi" w:cstheme="majorHAnsi"/>
          <w:color w:val="auto"/>
          <w:sz w:val="24"/>
          <w:szCs w:val="24"/>
        </w:rPr>
      </w:pPr>
      <w:bookmarkStart w:id="1" w:name="_heading=h.5y3p84gymcn2" w:colFirst="0" w:colLast="0"/>
      <w:bookmarkEnd w:id="1"/>
      <w:r w:rsidRPr="000712E7">
        <w:rPr>
          <w:rFonts w:asciiTheme="majorHAnsi" w:hAnsiTheme="majorHAnsi" w:cstheme="majorHAnsi"/>
          <w:color w:val="auto"/>
          <w:sz w:val="24"/>
          <w:szCs w:val="24"/>
        </w:rPr>
        <w:t>Verificación de calidad del dato</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A partir de la exploración y revisión previa de la base de datos de contratación pública de SECOP II, se determinó que el conjunto de datos presentaba una estructura organizada y consistente. Mediante una validación manual y descriptiva, se examinaron vari</w:t>
      </w:r>
      <w:r w:rsidRPr="00E9638F">
        <w:rPr>
          <w:rFonts w:asciiTheme="majorHAnsi" w:hAnsiTheme="majorHAnsi" w:cstheme="majorHAnsi"/>
          <w:sz w:val="24"/>
          <w:szCs w:val="24"/>
        </w:rPr>
        <w:t>ables críticas como los valores adjudicados, el número de oferentes, las modalidades contractuales, los departamentos, las entidades y los proveedores adjudicados. Este análisis inicial confirmó la coherencia de los campos numéricos, el formato correcto de</w:t>
      </w:r>
      <w:r w:rsidRPr="00E9638F">
        <w:rPr>
          <w:rFonts w:asciiTheme="majorHAnsi" w:hAnsiTheme="majorHAnsi" w:cstheme="majorHAnsi"/>
          <w:sz w:val="24"/>
          <w:szCs w:val="24"/>
        </w:rPr>
        <w:t xml:space="preserve"> las fechas y la correspondencia entre variables categóricas y métricas asociadas, descartando la presencia de valores nulos significativos, registros duplicados evidentes o inconsistencias de formato que comprometieran la interpretación del análisis.</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Debi</w:t>
      </w:r>
      <w:r w:rsidRPr="00E9638F">
        <w:rPr>
          <w:rFonts w:asciiTheme="majorHAnsi" w:hAnsiTheme="majorHAnsi" w:cstheme="majorHAnsi"/>
          <w:sz w:val="24"/>
          <w:szCs w:val="24"/>
        </w:rPr>
        <w:t>do a la alta calidad y orden de la información original, no fue necesario aplicar procesos avanzados de limpieza o transformación mediante herramientas externas. El tratamiento de los datos se limitó a una exploración visual de los registros, una validació</w:t>
      </w:r>
      <w:r w:rsidRPr="00E9638F">
        <w:rPr>
          <w:rFonts w:asciiTheme="majorHAnsi" w:hAnsiTheme="majorHAnsi" w:cstheme="majorHAnsi"/>
          <w:sz w:val="24"/>
          <w:szCs w:val="24"/>
        </w:rPr>
        <w:t>n descriptiva de su consistencia, el filtrado de las columnas más relevantes y una normalización básica de los nombres. De este modo, la base de datos quedó completamente optimizada y lista para iniciar el proceso de visualización de manera directa y confi</w:t>
      </w:r>
      <w:r w:rsidRPr="00E9638F">
        <w:rPr>
          <w:rFonts w:asciiTheme="majorHAnsi" w:hAnsiTheme="majorHAnsi" w:cstheme="majorHAnsi"/>
          <w:sz w:val="24"/>
          <w:szCs w:val="24"/>
        </w:rPr>
        <w:t>able.</w:t>
      </w:r>
    </w:p>
    <w:p w:rsidR="000712E7" w:rsidRPr="000712E7" w:rsidRDefault="000712E7" w:rsidP="000712E7">
      <w:pPr>
        <w:pStyle w:val="Ttulo2"/>
        <w:rPr>
          <w:rFonts w:asciiTheme="majorHAnsi" w:hAnsiTheme="majorHAnsi" w:cstheme="majorHAnsi"/>
          <w:color w:val="auto"/>
          <w:sz w:val="24"/>
          <w:szCs w:val="24"/>
        </w:rPr>
      </w:pPr>
      <w:r>
        <w:rPr>
          <w:rFonts w:asciiTheme="majorHAnsi" w:hAnsiTheme="majorHAnsi" w:cstheme="majorHAnsi"/>
          <w:color w:val="auto"/>
          <w:sz w:val="24"/>
          <w:szCs w:val="24"/>
        </w:rPr>
        <w:t>Perfil de la audiencia</w:t>
      </w:r>
    </w:p>
    <w:p w:rsidR="002C56A2" w:rsidRPr="00E9638F" w:rsidRDefault="000712E7" w:rsidP="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El perfil de la audiencia está conformado por veedurías ciudadanas enfocadas en la transparencia y el control social de la contratación pública. Este público posee conocimientos generales sobre los procesos de adjudicación estatal y el fun</w:t>
      </w:r>
      <w:r w:rsidRPr="00E9638F">
        <w:rPr>
          <w:rFonts w:asciiTheme="majorHAnsi" w:hAnsiTheme="majorHAnsi" w:cstheme="majorHAnsi"/>
          <w:sz w:val="24"/>
          <w:szCs w:val="24"/>
        </w:rPr>
        <w:t xml:space="preserve">cionamiento gubernamental, pero dispone de poco tiempo para revisar documentación técnica extensa, por lo que requiere visualizaciones claras e intuitivas que faciliten una interpretación rápida. Su principal preocupación radica en la transparencia de los </w:t>
      </w:r>
      <w:r w:rsidRPr="00E9638F">
        <w:rPr>
          <w:rFonts w:asciiTheme="majorHAnsi" w:hAnsiTheme="majorHAnsi" w:cstheme="majorHAnsi"/>
          <w:sz w:val="24"/>
          <w:szCs w:val="24"/>
        </w:rPr>
        <w:t xml:space="preserve">recursos, la distribución presupuestal, la competencia territorial y los posibles patrones de baja concurrencia u opacidad en los procesos. Con base en esta información, la audiencia utiliza el </w:t>
      </w:r>
      <w:proofErr w:type="spellStart"/>
      <w:r w:rsidRPr="00E9638F">
        <w:rPr>
          <w:rFonts w:asciiTheme="majorHAnsi" w:hAnsiTheme="majorHAnsi" w:cstheme="majorHAnsi"/>
          <w:i/>
          <w:iCs/>
          <w:sz w:val="24"/>
          <w:szCs w:val="24"/>
        </w:rPr>
        <w:t>dashboard</w:t>
      </w:r>
      <w:proofErr w:type="spellEnd"/>
      <w:r w:rsidRPr="00E9638F">
        <w:rPr>
          <w:rFonts w:asciiTheme="majorHAnsi" w:hAnsiTheme="majorHAnsi" w:cstheme="majorHAnsi"/>
          <w:sz w:val="24"/>
          <w:szCs w:val="24"/>
        </w:rPr>
        <w:t xml:space="preserve"> como una herramienta de monitoreo exploratorio para </w:t>
      </w:r>
      <w:r w:rsidRPr="00E9638F">
        <w:rPr>
          <w:rFonts w:asciiTheme="majorHAnsi" w:hAnsiTheme="majorHAnsi" w:cstheme="majorHAnsi"/>
          <w:sz w:val="24"/>
          <w:szCs w:val="24"/>
        </w:rPr>
        <w:t xml:space="preserve">identificar concentraciones de contratos, priorizar las entidades o modalidades que requieren una revisión detallada y orientar de manera estratégica sus ejercicios de vigilancia ciudadana. </w:t>
      </w:r>
    </w:p>
    <w:p w:rsidR="002C56A2" w:rsidRPr="00E9638F" w:rsidRDefault="000712E7" w:rsidP="000712E7">
      <w:pPr>
        <w:pStyle w:val="Ttulo2"/>
        <w:rPr>
          <w:rFonts w:asciiTheme="majorHAnsi" w:hAnsiTheme="majorHAnsi" w:cstheme="majorHAnsi"/>
          <w:color w:val="auto"/>
          <w:sz w:val="24"/>
          <w:szCs w:val="24"/>
        </w:rPr>
      </w:pPr>
      <w:bookmarkStart w:id="2" w:name="_heading=h.sixnyunlpc6l" w:colFirst="0" w:colLast="0"/>
      <w:bookmarkEnd w:id="2"/>
      <w:r w:rsidRPr="00E9638F">
        <w:rPr>
          <w:rFonts w:asciiTheme="majorHAnsi" w:hAnsiTheme="majorHAnsi" w:cstheme="majorHAnsi"/>
          <w:color w:val="auto"/>
          <w:sz w:val="24"/>
          <w:szCs w:val="24"/>
        </w:rPr>
        <w:t>Pregunta analítica</w:t>
      </w:r>
      <w:bookmarkStart w:id="3" w:name="_heading=h.4wfb16i0dqbh" w:colFirst="0" w:colLast="0"/>
      <w:bookmarkEnd w:id="3"/>
    </w:p>
    <w:p w:rsidR="002C56A2" w:rsidRPr="000712E7" w:rsidRDefault="000712E7" w:rsidP="000712E7">
      <w:pPr>
        <w:rPr>
          <w:rFonts w:asciiTheme="majorHAnsi" w:hAnsiTheme="majorHAnsi" w:cstheme="majorHAnsi"/>
          <w:bCs/>
          <w:i/>
          <w:sz w:val="24"/>
          <w:szCs w:val="24"/>
        </w:rPr>
      </w:pPr>
      <w:bookmarkStart w:id="4" w:name="_heading=h.d4r1987okdt1" w:colFirst="0" w:colLast="0"/>
      <w:bookmarkEnd w:id="4"/>
      <w:r w:rsidRPr="000712E7">
        <w:rPr>
          <w:rFonts w:asciiTheme="majorHAnsi" w:hAnsiTheme="majorHAnsi" w:cstheme="majorHAnsi"/>
          <w:bCs/>
          <w:i/>
          <w:sz w:val="24"/>
          <w:szCs w:val="24"/>
        </w:rPr>
        <w:t>¿Cómo se dis</w:t>
      </w:r>
      <w:r w:rsidRPr="000712E7">
        <w:rPr>
          <w:rFonts w:asciiTheme="majorHAnsi" w:hAnsiTheme="majorHAnsi" w:cstheme="majorHAnsi"/>
          <w:bCs/>
          <w:i/>
          <w:sz w:val="24"/>
          <w:szCs w:val="24"/>
        </w:rPr>
        <w:t>tribuyen la competitividad y la concentración presupuestal en la contratación pública colombiana, y qué patrones territoriales y contractuales pueden identificarse en la dinámica de adjudicación?</w:t>
      </w:r>
    </w:p>
    <w:p w:rsidR="002C56A2" w:rsidRPr="00E9638F" w:rsidRDefault="000712E7" w:rsidP="000712E7">
      <w:pPr>
        <w:pStyle w:val="Ttulo2"/>
        <w:rPr>
          <w:rFonts w:asciiTheme="majorHAnsi" w:hAnsiTheme="majorHAnsi" w:cstheme="majorHAnsi"/>
          <w:color w:val="auto"/>
          <w:sz w:val="24"/>
          <w:szCs w:val="24"/>
        </w:rPr>
      </w:pPr>
      <w:bookmarkStart w:id="5" w:name="_heading=h.ib8sifb9o0q7" w:colFirst="0" w:colLast="0"/>
      <w:bookmarkEnd w:id="5"/>
      <w:r w:rsidRPr="00E9638F">
        <w:rPr>
          <w:rFonts w:asciiTheme="majorHAnsi" w:hAnsiTheme="majorHAnsi" w:cstheme="majorHAnsi"/>
          <w:color w:val="auto"/>
          <w:sz w:val="24"/>
          <w:szCs w:val="24"/>
        </w:rPr>
        <w:t>Mensaje central</w:t>
      </w:r>
    </w:p>
    <w:p w:rsidR="002C56A2" w:rsidRPr="000712E7" w:rsidRDefault="000712E7" w:rsidP="000712E7">
      <w:pPr>
        <w:rPr>
          <w:rFonts w:asciiTheme="majorHAnsi" w:hAnsiTheme="majorHAnsi" w:cstheme="majorHAnsi"/>
          <w:bCs/>
          <w:sz w:val="24"/>
          <w:szCs w:val="24"/>
        </w:rPr>
      </w:pPr>
      <w:bookmarkStart w:id="6" w:name="_heading=h.ari7nbsqywuv" w:colFirst="0" w:colLast="0"/>
      <w:bookmarkEnd w:id="6"/>
      <w:r w:rsidRPr="000712E7">
        <w:rPr>
          <w:rFonts w:asciiTheme="majorHAnsi" w:hAnsiTheme="majorHAnsi" w:cstheme="majorHAnsi"/>
          <w:bCs/>
          <w:sz w:val="24"/>
          <w:szCs w:val="24"/>
        </w:rPr>
        <w:t>I</w:t>
      </w:r>
      <w:r w:rsidRPr="000712E7">
        <w:rPr>
          <w:rFonts w:asciiTheme="majorHAnsi" w:hAnsiTheme="majorHAnsi" w:cstheme="majorHAnsi"/>
          <w:bCs/>
          <w:sz w:val="24"/>
          <w:szCs w:val="24"/>
        </w:rPr>
        <w:t>dentificación de patrones de concurre</w:t>
      </w:r>
      <w:r w:rsidRPr="000712E7">
        <w:rPr>
          <w:rFonts w:asciiTheme="majorHAnsi" w:hAnsiTheme="majorHAnsi" w:cstheme="majorHAnsi"/>
          <w:bCs/>
          <w:sz w:val="24"/>
          <w:szCs w:val="24"/>
        </w:rPr>
        <w:t xml:space="preserve">ncia y distribución de recursos públicos en el territorio nacional </w:t>
      </w:r>
    </w:p>
    <w:p w:rsidR="000712E7" w:rsidRDefault="000712E7" w:rsidP="000712E7">
      <w:pPr>
        <w:pStyle w:val="Ttulo2"/>
        <w:rPr>
          <w:rFonts w:asciiTheme="majorHAnsi" w:hAnsiTheme="majorHAnsi" w:cstheme="majorHAnsi"/>
          <w:color w:val="auto"/>
          <w:sz w:val="24"/>
          <w:szCs w:val="24"/>
        </w:rPr>
      </w:pPr>
      <w:bookmarkStart w:id="7" w:name="_heading=h.3y708hevg1h1" w:colFirst="0" w:colLast="0"/>
      <w:bookmarkEnd w:id="7"/>
      <w:r w:rsidRPr="000712E7">
        <w:rPr>
          <w:rFonts w:asciiTheme="majorHAnsi" w:hAnsiTheme="majorHAnsi" w:cstheme="majorHAnsi"/>
          <w:color w:val="auto"/>
          <w:sz w:val="24"/>
          <w:szCs w:val="24"/>
        </w:rPr>
        <w:t>Justificación del tipo de gráfico elegido para cada visualización</w:t>
      </w:r>
    </w:p>
    <w:p w:rsidR="000712E7" w:rsidRPr="00E9638F" w:rsidRDefault="000712E7" w:rsidP="000712E7">
      <w:pPr>
        <w:pStyle w:val="Ttulo3"/>
        <w:spacing w:before="280" w:after="80"/>
        <w:jc w:val="both"/>
        <w:rPr>
          <w:rFonts w:asciiTheme="majorHAnsi" w:hAnsiTheme="majorHAnsi" w:cstheme="majorHAnsi"/>
          <w:b/>
          <w:bCs/>
          <w:color w:val="auto"/>
        </w:rPr>
      </w:pPr>
      <w:r w:rsidRPr="00E9638F">
        <w:rPr>
          <w:rFonts w:asciiTheme="majorHAnsi" w:hAnsiTheme="majorHAnsi" w:cstheme="majorHAnsi"/>
          <w:b/>
          <w:bCs/>
          <w:color w:val="auto"/>
        </w:rPr>
        <w:t xml:space="preserve">Visualización </w:t>
      </w:r>
      <w:r>
        <w:rPr>
          <w:rFonts w:asciiTheme="majorHAnsi" w:hAnsiTheme="majorHAnsi" w:cstheme="majorHAnsi"/>
          <w:b/>
          <w:bCs/>
          <w:color w:val="auto"/>
        </w:rPr>
        <w:t>1</w:t>
      </w:r>
      <w:r w:rsidRPr="00E9638F">
        <w:rPr>
          <w:rFonts w:asciiTheme="majorHAnsi" w:hAnsiTheme="majorHAnsi" w:cstheme="majorHAnsi"/>
          <w:b/>
          <w:bCs/>
          <w:color w:val="auto"/>
        </w:rPr>
        <w:t>: Co</w:t>
      </w:r>
      <w:r>
        <w:rPr>
          <w:rFonts w:asciiTheme="majorHAnsi" w:hAnsiTheme="majorHAnsi" w:cstheme="majorHAnsi"/>
          <w:b/>
          <w:bCs/>
          <w:color w:val="auto"/>
        </w:rPr>
        <w:t>ntexto</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¿Cuál es el panorama general de la contratación pública en Colombia en términos de presupuesto total adjudicado y número de contratos por departamento?</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b/>
          <w:bCs/>
          <w:sz w:val="24"/>
          <w:szCs w:val="24"/>
        </w:rPr>
        <w:t>Tipo de gráfico elegido:</w:t>
      </w:r>
      <w:r w:rsidRPr="00E9638F">
        <w:rPr>
          <w:rFonts w:asciiTheme="majorHAnsi" w:hAnsiTheme="majorHAnsi" w:cstheme="majorHAnsi"/>
          <w:sz w:val="24"/>
          <w:szCs w:val="24"/>
        </w:rPr>
        <w:t xml:space="preserve"> </w:t>
      </w:r>
      <w:r w:rsidRPr="000712E7">
        <w:rPr>
          <w:rFonts w:asciiTheme="majorHAnsi" w:hAnsiTheme="majorHAnsi" w:cstheme="majorHAnsi"/>
          <w:bCs/>
          <w:sz w:val="24"/>
          <w:szCs w:val="24"/>
        </w:rPr>
        <w:t xml:space="preserve">Mapa </w:t>
      </w:r>
      <w:proofErr w:type="spellStart"/>
      <w:r w:rsidRPr="000712E7">
        <w:rPr>
          <w:rFonts w:asciiTheme="majorHAnsi" w:hAnsiTheme="majorHAnsi" w:cstheme="majorHAnsi"/>
          <w:bCs/>
          <w:sz w:val="24"/>
          <w:szCs w:val="24"/>
        </w:rPr>
        <w:t>coroplético</w:t>
      </w:r>
      <w:proofErr w:type="spellEnd"/>
      <w:r w:rsidRPr="000712E7">
        <w:rPr>
          <w:rFonts w:asciiTheme="majorHAnsi" w:hAnsiTheme="majorHAnsi" w:cstheme="majorHAnsi"/>
          <w:bCs/>
          <w:sz w:val="24"/>
          <w:szCs w:val="24"/>
        </w:rPr>
        <w:t xml:space="preserve"> </w:t>
      </w:r>
      <w:r w:rsidRPr="000712E7">
        <w:rPr>
          <w:rFonts w:asciiTheme="majorHAnsi" w:hAnsiTheme="majorHAnsi" w:cstheme="majorHAnsi"/>
          <w:sz w:val="24"/>
          <w:szCs w:val="24"/>
        </w:rPr>
        <w:t xml:space="preserve">integrado con </w:t>
      </w:r>
      <w:r w:rsidRPr="000712E7">
        <w:rPr>
          <w:rFonts w:asciiTheme="majorHAnsi" w:hAnsiTheme="majorHAnsi" w:cstheme="majorHAnsi"/>
          <w:bCs/>
          <w:sz w:val="24"/>
          <w:szCs w:val="24"/>
        </w:rPr>
        <w:t>t</w:t>
      </w:r>
      <w:r w:rsidRPr="000712E7">
        <w:rPr>
          <w:rFonts w:asciiTheme="majorHAnsi" w:hAnsiTheme="majorHAnsi" w:cstheme="majorHAnsi"/>
          <w:bCs/>
          <w:sz w:val="24"/>
          <w:szCs w:val="24"/>
        </w:rPr>
        <w:t>arjetas de múltiples filas (</w:t>
      </w:r>
      <w:proofErr w:type="spellStart"/>
      <w:r w:rsidRPr="000712E7">
        <w:rPr>
          <w:rFonts w:asciiTheme="majorHAnsi" w:hAnsiTheme="majorHAnsi" w:cstheme="majorHAnsi"/>
          <w:bCs/>
          <w:sz w:val="24"/>
          <w:szCs w:val="24"/>
        </w:rPr>
        <w:t>Multi-row</w:t>
      </w:r>
      <w:proofErr w:type="spellEnd"/>
      <w:r w:rsidRPr="000712E7">
        <w:rPr>
          <w:rFonts w:asciiTheme="majorHAnsi" w:hAnsiTheme="majorHAnsi" w:cstheme="majorHAnsi"/>
          <w:bCs/>
          <w:sz w:val="24"/>
          <w:szCs w:val="24"/>
        </w:rPr>
        <w:t xml:space="preserve"> </w:t>
      </w:r>
      <w:proofErr w:type="spellStart"/>
      <w:r w:rsidRPr="000712E7">
        <w:rPr>
          <w:rFonts w:asciiTheme="majorHAnsi" w:hAnsiTheme="majorHAnsi" w:cstheme="majorHAnsi"/>
          <w:bCs/>
          <w:sz w:val="24"/>
          <w:szCs w:val="24"/>
        </w:rPr>
        <w:t>card</w:t>
      </w:r>
      <w:proofErr w:type="spellEnd"/>
      <w:r w:rsidRPr="000712E7">
        <w:rPr>
          <w:rFonts w:asciiTheme="majorHAnsi" w:hAnsiTheme="majorHAnsi" w:cstheme="majorHAnsi"/>
          <w:bCs/>
          <w:sz w:val="24"/>
          <w:szCs w:val="24"/>
        </w:rPr>
        <w:t>)</w:t>
      </w:r>
      <w:r w:rsidRPr="000712E7">
        <w:rPr>
          <w:rFonts w:asciiTheme="majorHAnsi" w:hAnsiTheme="majorHAnsi" w:cstheme="majorHAnsi"/>
          <w:sz w:val="24"/>
          <w:szCs w:val="24"/>
        </w:rPr>
        <w:t xml:space="preserve"> para los KPI globales (Presupuesto Total Adjudicado y Total de Contratos).</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Las veedurías necesitan un punto de partida familiar. Un mapa permite ver instantáneamente la distribución geográ</w:t>
      </w:r>
      <w:r w:rsidRPr="00E9638F">
        <w:rPr>
          <w:rFonts w:asciiTheme="majorHAnsi" w:hAnsiTheme="majorHAnsi" w:cstheme="majorHAnsi"/>
          <w:sz w:val="24"/>
          <w:szCs w:val="24"/>
        </w:rPr>
        <w:t xml:space="preserve">fica del dinero público en el territorio nacional. Un gráfico de barras tradicional colapsaría visualmente con los 32 departamentos más Bogotá, mientras que el mapa aprovecha el conocimiento geográfico previo del usuario para establecer la "línea base" de </w:t>
      </w:r>
      <w:r w:rsidRPr="00E9638F">
        <w:rPr>
          <w:rFonts w:asciiTheme="majorHAnsi" w:hAnsiTheme="majorHAnsi" w:cstheme="majorHAnsi"/>
          <w:sz w:val="24"/>
          <w:szCs w:val="24"/>
        </w:rPr>
        <w:t>dónde se concentra el gasto de manera natural (por densidad poblacional o desarrollo).</w:t>
      </w:r>
    </w:p>
    <w:p w:rsidR="002C56A2" w:rsidRPr="00E9638F" w:rsidRDefault="000712E7">
      <w:pPr>
        <w:pStyle w:val="Ttulo3"/>
        <w:spacing w:before="280" w:after="80"/>
        <w:jc w:val="both"/>
        <w:rPr>
          <w:rFonts w:asciiTheme="majorHAnsi" w:hAnsiTheme="majorHAnsi" w:cstheme="majorHAnsi"/>
          <w:b/>
          <w:bCs/>
          <w:color w:val="auto"/>
        </w:rPr>
      </w:pPr>
      <w:bookmarkStart w:id="8" w:name="_heading=h.mmgjaihkfyo" w:colFirst="0" w:colLast="0"/>
      <w:bookmarkEnd w:id="8"/>
      <w:r w:rsidRPr="00E9638F">
        <w:rPr>
          <w:rFonts w:asciiTheme="majorHAnsi" w:hAnsiTheme="majorHAnsi" w:cstheme="majorHAnsi"/>
          <w:b/>
          <w:bCs/>
          <w:color w:val="auto"/>
        </w:rPr>
        <w:t>Visualización 2: Complicación</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¿Cómo varía el nivel de competitividad (número de oferentes) según la modalidad de contratación elegida?</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b/>
          <w:bCs/>
          <w:sz w:val="24"/>
          <w:szCs w:val="24"/>
        </w:rPr>
        <w:t>Tipo de gráfico elegido:</w:t>
      </w:r>
      <w:r w:rsidRPr="00E9638F">
        <w:rPr>
          <w:rFonts w:asciiTheme="majorHAnsi" w:hAnsiTheme="majorHAnsi" w:cstheme="majorHAnsi"/>
          <w:sz w:val="24"/>
          <w:szCs w:val="24"/>
        </w:rPr>
        <w:t xml:space="preserve"> </w:t>
      </w:r>
      <w:r w:rsidRPr="000712E7">
        <w:rPr>
          <w:rFonts w:asciiTheme="majorHAnsi" w:hAnsiTheme="majorHAnsi" w:cstheme="majorHAnsi"/>
          <w:bCs/>
          <w:sz w:val="24"/>
          <w:szCs w:val="24"/>
        </w:rPr>
        <w:t>Gráfico de columnas apiladas al 100%</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 xml:space="preserve">En esta fase se introduce la tensión del relato al confrontar la expectativa de transparencia con la realidad del mercado. Este gráfico permite segmentar </w:t>
      </w:r>
      <w:r w:rsidRPr="00E9638F">
        <w:rPr>
          <w:rFonts w:asciiTheme="majorHAnsi" w:hAnsiTheme="majorHAnsi" w:cstheme="majorHAnsi"/>
          <w:sz w:val="24"/>
          <w:szCs w:val="24"/>
        </w:rPr>
        <w:t>cada modalidad contractual (Eje X) en bloques que representan rangos de oferentes (Un solo oferente, 2-5 oferentes, más de 5). Es la opción idónea porque expone de forma cruda, proporcional y directa el volumen de procesos que se adjudican con nula compete</w:t>
      </w:r>
      <w:r w:rsidRPr="00E9638F">
        <w:rPr>
          <w:rFonts w:asciiTheme="majorHAnsi" w:hAnsiTheme="majorHAnsi" w:cstheme="majorHAnsi"/>
          <w:sz w:val="24"/>
          <w:szCs w:val="24"/>
        </w:rPr>
        <w:t>ncia (un único proponente), permitiendo comparar las modalidades entre sí de un vistazo. Un gráfico de líneas se descartó por la ausencia de una variable temporal, y un gráfico circular ocultaría la comparación interactiva que el usuario necesita realizar.</w:t>
      </w:r>
    </w:p>
    <w:p w:rsidR="002C56A2" w:rsidRPr="00E9638F" w:rsidRDefault="000712E7">
      <w:pPr>
        <w:pStyle w:val="Ttulo3"/>
        <w:spacing w:before="280" w:after="80"/>
        <w:jc w:val="both"/>
        <w:rPr>
          <w:rFonts w:asciiTheme="majorHAnsi" w:hAnsiTheme="majorHAnsi" w:cstheme="majorHAnsi"/>
          <w:b/>
          <w:bCs/>
          <w:color w:val="auto"/>
        </w:rPr>
      </w:pPr>
      <w:bookmarkStart w:id="9" w:name="_heading=h.84vlozqd0dr6" w:colFirst="0" w:colLast="0"/>
      <w:bookmarkEnd w:id="9"/>
      <w:r w:rsidRPr="00E9638F">
        <w:rPr>
          <w:rFonts w:asciiTheme="majorHAnsi" w:hAnsiTheme="majorHAnsi" w:cstheme="majorHAnsi"/>
          <w:b/>
          <w:bCs/>
          <w:color w:val="auto"/>
        </w:rPr>
        <w:t>Visualización 3: Resolución</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¿Cuáles son los proveedores o entidades que concentran la mayor porción del presupuesto en los puntos críticos de baja competitividad?</w:t>
      </w:r>
    </w:p>
    <w:p w:rsidR="002C56A2" w:rsidRPr="000712E7" w:rsidRDefault="000712E7">
      <w:pPr>
        <w:spacing w:before="240" w:after="240"/>
        <w:jc w:val="both"/>
        <w:rPr>
          <w:rFonts w:asciiTheme="majorHAnsi" w:hAnsiTheme="majorHAnsi" w:cstheme="majorHAnsi"/>
          <w:sz w:val="24"/>
          <w:szCs w:val="24"/>
        </w:rPr>
      </w:pPr>
      <w:r w:rsidRPr="00E9638F">
        <w:rPr>
          <w:rFonts w:asciiTheme="majorHAnsi" w:hAnsiTheme="majorHAnsi" w:cstheme="majorHAnsi"/>
          <w:b/>
          <w:bCs/>
          <w:sz w:val="24"/>
          <w:szCs w:val="24"/>
        </w:rPr>
        <w:t>Tipo de gráfico elegido:</w:t>
      </w:r>
      <w:r w:rsidRPr="00E9638F">
        <w:rPr>
          <w:rFonts w:asciiTheme="majorHAnsi" w:hAnsiTheme="majorHAnsi" w:cstheme="majorHAnsi"/>
          <w:sz w:val="24"/>
          <w:szCs w:val="24"/>
        </w:rPr>
        <w:t xml:space="preserve"> </w:t>
      </w:r>
      <w:r w:rsidRPr="000712E7">
        <w:rPr>
          <w:rFonts w:asciiTheme="majorHAnsi" w:hAnsiTheme="majorHAnsi" w:cstheme="majorHAnsi"/>
          <w:bCs/>
          <w:sz w:val="24"/>
          <w:szCs w:val="24"/>
        </w:rPr>
        <w:t xml:space="preserve">Diagrama de </w:t>
      </w:r>
      <w:proofErr w:type="spellStart"/>
      <w:r w:rsidRPr="000712E7">
        <w:rPr>
          <w:rFonts w:asciiTheme="majorHAnsi" w:hAnsiTheme="majorHAnsi" w:cstheme="majorHAnsi"/>
          <w:bCs/>
          <w:sz w:val="24"/>
          <w:szCs w:val="24"/>
        </w:rPr>
        <w:t>Treemap</w:t>
      </w:r>
      <w:proofErr w:type="spellEnd"/>
      <w:r w:rsidRPr="000712E7">
        <w:rPr>
          <w:rFonts w:asciiTheme="majorHAnsi" w:hAnsiTheme="majorHAnsi" w:cstheme="majorHAnsi"/>
          <w:bCs/>
          <w:sz w:val="24"/>
          <w:szCs w:val="24"/>
        </w:rPr>
        <w:t xml:space="preserve"> (Mapa de árbol)</w:t>
      </w:r>
      <w:r w:rsidRPr="000712E7">
        <w:rPr>
          <w:rFonts w:asciiTheme="majorHAnsi" w:hAnsiTheme="majorHAnsi" w:cstheme="majorHAnsi"/>
          <w:sz w:val="24"/>
          <w:szCs w:val="24"/>
        </w:rPr>
        <w:t xml:space="preserve"> o un </w:t>
      </w:r>
      <w:r w:rsidRPr="000712E7">
        <w:rPr>
          <w:rFonts w:asciiTheme="majorHAnsi" w:hAnsiTheme="majorHAnsi" w:cstheme="majorHAnsi"/>
          <w:bCs/>
          <w:sz w:val="24"/>
          <w:szCs w:val="24"/>
        </w:rPr>
        <w:t>Gráfico de barras horizontales (Top 10)</w:t>
      </w:r>
      <w:r w:rsidRPr="000712E7">
        <w:rPr>
          <w:rFonts w:asciiTheme="majorHAnsi" w:hAnsiTheme="majorHAnsi" w:cstheme="majorHAnsi"/>
          <w:sz w:val="24"/>
          <w:szCs w:val="24"/>
        </w:rPr>
        <w:t xml:space="preserve"> dinámico.</w:t>
      </w:r>
    </w:p>
    <w:p w:rsidR="002C56A2" w:rsidRPr="00E9638F" w:rsidRDefault="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Esta visualización resuelve la pregunta analítica central al conectar la baja competencia con los actores que reciben los recursos</w:t>
      </w:r>
      <w:r w:rsidRPr="00E9638F">
        <w:rPr>
          <w:rFonts w:asciiTheme="majorHAnsi" w:hAnsiTheme="majorHAnsi" w:cstheme="majorHAnsi"/>
          <w:sz w:val="24"/>
          <w:szCs w:val="24"/>
        </w:rPr>
        <w:t>, ya que utiliza el tamaño de los rectángulos para denotar el valor adjudicado y el color para agrupar variables críticas. Permite que la veeduría identifique instantáneamente si un pequeño grupo de contratistas o entidades acapara la mayor parte del presu</w:t>
      </w:r>
      <w:r w:rsidRPr="00E9638F">
        <w:rPr>
          <w:rFonts w:asciiTheme="majorHAnsi" w:hAnsiTheme="majorHAnsi" w:cstheme="majorHAnsi"/>
          <w:sz w:val="24"/>
          <w:szCs w:val="24"/>
        </w:rPr>
        <w:t xml:space="preserve">puesto </w:t>
      </w:r>
      <w:proofErr w:type="spellStart"/>
      <w:proofErr w:type="gramStart"/>
      <w:r w:rsidRPr="00E9638F">
        <w:rPr>
          <w:rFonts w:asciiTheme="majorHAnsi" w:hAnsiTheme="majorHAnsi" w:cstheme="majorHAnsi"/>
          <w:sz w:val="24"/>
          <w:szCs w:val="24"/>
        </w:rPr>
        <w:t>público.Un</w:t>
      </w:r>
      <w:proofErr w:type="spellEnd"/>
      <w:proofErr w:type="gramEnd"/>
      <w:r w:rsidRPr="00E9638F">
        <w:rPr>
          <w:rFonts w:asciiTheme="majorHAnsi" w:hAnsiTheme="majorHAnsi" w:cstheme="majorHAnsi"/>
          <w:sz w:val="24"/>
          <w:szCs w:val="24"/>
        </w:rPr>
        <w:t xml:space="preserve"> gráfico circular (torta) fallaría rotundamente por la gran cantidad de proveedores, perdiendo toda legibilidad.</w:t>
      </w:r>
    </w:p>
    <w:p w:rsidR="002C56A2" w:rsidRPr="00E9638F" w:rsidRDefault="000712E7">
      <w:pPr>
        <w:pStyle w:val="Ttulo3"/>
        <w:spacing w:before="280" w:after="80"/>
        <w:jc w:val="both"/>
        <w:rPr>
          <w:rFonts w:asciiTheme="majorHAnsi" w:hAnsiTheme="majorHAnsi" w:cstheme="majorHAnsi"/>
          <w:b/>
          <w:bCs/>
          <w:color w:val="auto"/>
        </w:rPr>
      </w:pPr>
      <w:bookmarkStart w:id="10" w:name="_heading=h.dn3crnj8fjz0" w:colFirst="0" w:colLast="0"/>
      <w:bookmarkEnd w:id="10"/>
      <w:r w:rsidRPr="00E9638F">
        <w:rPr>
          <w:rFonts w:asciiTheme="majorHAnsi" w:hAnsiTheme="majorHAnsi" w:cstheme="majorHAnsi"/>
          <w:b/>
          <w:bCs/>
          <w:color w:val="auto"/>
        </w:rPr>
        <w:t xml:space="preserve">Visualización 4: Llamado a la </w:t>
      </w:r>
      <w:r>
        <w:rPr>
          <w:rFonts w:asciiTheme="majorHAnsi" w:hAnsiTheme="majorHAnsi" w:cstheme="majorHAnsi"/>
          <w:b/>
          <w:bCs/>
          <w:color w:val="auto"/>
        </w:rPr>
        <w:t>a</w:t>
      </w:r>
      <w:r w:rsidRPr="00E9638F">
        <w:rPr>
          <w:rFonts w:asciiTheme="majorHAnsi" w:hAnsiTheme="majorHAnsi" w:cstheme="majorHAnsi"/>
          <w:b/>
          <w:bCs/>
          <w:color w:val="auto"/>
        </w:rPr>
        <w:t>cción</w:t>
      </w:r>
    </w:p>
    <w:p w:rsidR="000712E7" w:rsidRPr="00E9638F" w:rsidRDefault="000712E7" w:rsidP="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 xml:space="preserve">¿En qué departamentos y entidades específicas se </w:t>
      </w:r>
      <w:r w:rsidRPr="00E9638F">
        <w:rPr>
          <w:rFonts w:asciiTheme="majorHAnsi" w:hAnsiTheme="majorHAnsi" w:cstheme="majorHAnsi"/>
          <w:sz w:val="24"/>
          <w:szCs w:val="24"/>
        </w:rPr>
        <w:t>concentran las mayores alertas de riesgo para priorizar las auditorías ciudadanas?</w:t>
      </w:r>
    </w:p>
    <w:p w:rsidR="000712E7" w:rsidRDefault="000712E7" w:rsidP="000712E7">
      <w:pPr>
        <w:spacing w:before="240" w:after="240"/>
        <w:jc w:val="both"/>
        <w:rPr>
          <w:rFonts w:asciiTheme="majorHAnsi" w:hAnsiTheme="majorHAnsi" w:cstheme="majorHAnsi"/>
          <w:sz w:val="24"/>
          <w:szCs w:val="24"/>
        </w:rPr>
      </w:pPr>
      <w:r w:rsidRPr="000712E7">
        <w:rPr>
          <w:rFonts w:asciiTheme="majorHAnsi" w:hAnsiTheme="majorHAnsi" w:cstheme="majorHAnsi"/>
          <w:sz w:val="24"/>
          <w:szCs w:val="24"/>
        </w:rPr>
        <w:t>Tipo de gráfico</w:t>
      </w:r>
      <w:r w:rsidRPr="000712E7">
        <w:rPr>
          <w:rFonts w:asciiTheme="majorHAnsi" w:hAnsiTheme="majorHAnsi" w:cstheme="majorHAnsi"/>
          <w:sz w:val="24"/>
          <w:szCs w:val="24"/>
        </w:rPr>
        <w:t>:</w:t>
      </w:r>
      <w:r w:rsidRPr="00E9638F">
        <w:rPr>
          <w:rFonts w:asciiTheme="majorHAnsi" w:hAnsiTheme="majorHAnsi" w:cstheme="majorHAnsi"/>
          <w:sz w:val="24"/>
          <w:szCs w:val="24"/>
        </w:rPr>
        <w:t xml:space="preserve"> </w:t>
      </w:r>
      <w:r w:rsidRPr="000712E7">
        <w:rPr>
          <w:rFonts w:asciiTheme="majorHAnsi" w:hAnsiTheme="majorHAnsi" w:cstheme="majorHAnsi"/>
          <w:sz w:val="24"/>
          <w:szCs w:val="24"/>
        </w:rPr>
        <w:t xml:space="preserve">Matriz interactiva con Formato Condicional de fondo (Mapa de calor / </w:t>
      </w:r>
      <w:proofErr w:type="spellStart"/>
      <w:r w:rsidRPr="000712E7">
        <w:rPr>
          <w:rFonts w:asciiTheme="majorHAnsi" w:hAnsiTheme="majorHAnsi" w:cstheme="majorHAnsi"/>
          <w:sz w:val="24"/>
          <w:szCs w:val="24"/>
        </w:rPr>
        <w:t>Heatmap</w:t>
      </w:r>
      <w:proofErr w:type="spellEnd"/>
      <w:r w:rsidRPr="000712E7">
        <w:rPr>
          <w:rFonts w:asciiTheme="majorHAnsi" w:hAnsiTheme="majorHAnsi" w:cstheme="majorHAnsi"/>
          <w:sz w:val="24"/>
          <w:szCs w:val="24"/>
        </w:rPr>
        <w:t>).</w:t>
      </w:r>
    </w:p>
    <w:p w:rsidR="000712E7" w:rsidRDefault="000712E7" w:rsidP="000712E7">
      <w:pPr>
        <w:spacing w:before="240" w:after="240"/>
        <w:jc w:val="both"/>
        <w:rPr>
          <w:rFonts w:asciiTheme="majorHAnsi" w:hAnsiTheme="majorHAnsi" w:cstheme="majorHAnsi"/>
          <w:sz w:val="24"/>
          <w:szCs w:val="24"/>
        </w:rPr>
      </w:pPr>
    </w:p>
    <w:p w:rsidR="002C56A2" w:rsidRPr="00E9638F" w:rsidRDefault="000712E7" w:rsidP="000712E7">
      <w:pPr>
        <w:spacing w:before="240" w:after="240"/>
        <w:jc w:val="both"/>
        <w:rPr>
          <w:rFonts w:asciiTheme="majorHAnsi" w:hAnsiTheme="majorHAnsi" w:cstheme="majorHAnsi"/>
          <w:sz w:val="24"/>
          <w:szCs w:val="24"/>
        </w:rPr>
      </w:pPr>
      <w:r w:rsidRPr="00E9638F">
        <w:rPr>
          <w:rFonts w:asciiTheme="majorHAnsi" w:hAnsiTheme="majorHAnsi" w:cstheme="majorHAnsi"/>
          <w:sz w:val="24"/>
          <w:szCs w:val="24"/>
        </w:rPr>
        <w:t>El cierre de la historia exige que la audi</w:t>
      </w:r>
      <w:r w:rsidRPr="00E9638F">
        <w:rPr>
          <w:rFonts w:asciiTheme="majorHAnsi" w:hAnsiTheme="majorHAnsi" w:cstheme="majorHAnsi"/>
          <w:sz w:val="24"/>
          <w:szCs w:val="24"/>
        </w:rPr>
        <w:t xml:space="preserve">encia deje de explorar abstracciones y obtenga un objetivo concreto para actuar. Una </w:t>
      </w:r>
      <w:r w:rsidRPr="000712E7">
        <w:rPr>
          <w:rFonts w:asciiTheme="majorHAnsi" w:hAnsiTheme="majorHAnsi" w:cstheme="majorHAnsi"/>
          <w:sz w:val="24"/>
          <w:szCs w:val="24"/>
        </w:rPr>
        <w:t xml:space="preserve">Matriz </w:t>
      </w:r>
      <w:r w:rsidRPr="00E9638F">
        <w:rPr>
          <w:rFonts w:asciiTheme="majorHAnsi" w:hAnsiTheme="majorHAnsi" w:cstheme="majorHAnsi"/>
          <w:sz w:val="24"/>
          <w:szCs w:val="24"/>
        </w:rPr>
        <w:t xml:space="preserve">cruza de forma compacta los </w:t>
      </w:r>
      <w:r>
        <w:rPr>
          <w:rFonts w:asciiTheme="majorHAnsi" w:hAnsiTheme="majorHAnsi" w:cstheme="majorHAnsi"/>
          <w:sz w:val="24"/>
          <w:szCs w:val="24"/>
        </w:rPr>
        <w:t>d</w:t>
      </w:r>
      <w:r w:rsidRPr="00E9638F">
        <w:rPr>
          <w:rFonts w:asciiTheme="majorHAnsi" w:hAnsiTheme="majorHAnsi" w:cstheme="majorHAnsi"/>
          <w:sz w:val="24"/>
          <w:szCs w:val="24"/>
        </w:rPr>
        <w:t xml:space="preserve">epartamentos frente a las </w:t>
      </w:r>
      <w:r>
        <w:rPr>
          <w:rFonts w:asciiTheme="majorHAnsi" w:hAnsiTheme="majorHAnsi" w:cstheme="majorHAnsi"/>
          <w:sz w:val="24"/>
          <w:szCs w:val="24"/>
        </w:rPr>
        <w:t>e</w:t>
      </w:r>
      <w:r w:rsidRPr="00E9638F">
        <w:rPr>
          <w:rFonts w:asciiTheme="majorHAnsi" w:hAnsiTheme="majorHAnsi" w:cstheme="majorHAnsi"/>
          <w:sz w:val="24"/>
          <w:szCs w:val="24"/>
        </w:rPr>
        <w:t>ntidades. Al aplicar un formato condicional basado en una medida de riesgo (baja competencia y alta concentr</w:t>
      </w:r>
      <w:r w:rsidRPr="00E9638F">
        <w:rPr>
          <w:rFonts w:asciiTheme="majorHAnsi" w:hAnsiTheme="majorHAnsi" w:cstheme="majorHAnsi"/>
          <w:sz w:val="24"/>
          <w:szCs w:val="24"/>
        </w:rPr>
        <w:t xml:space="preserve">ación presupuestal), la cuadrícula se tiñe automáticamente: los cruces normales permanecen claros, mientras que los casos críticos se vuelven rojo intenso. Para una veeduría con poco tiempo, esto funciona como una alarma visual inmediata; su ojo es guiado </w:t>
      </w:r>
      <w:r w:rsidRPr="00E9638F">
        <w:rPr>
          <w:rFonts w:asciiTheme="majorHAnsi" w:hAnsiTheme="majorHAnsi" w:cstheme="majorHAnsi"/>
          <w:sz w:val="24"/>
          <w:szCs w:val="24"/>
        </w:rPr>
        <w:t>directamente al "punto rojo" (por ejemplo: la Gobernación X en el Departamento Y), permitiéndoles hacer clic para filtrar los detalles y activar de forma estratégica sus comités locales de vigilancia.</w:t>
      </w:r>
    </w:p>
    <w:p w:rsidR="002C56A2" w:rsidRPr="00E9638F" w:rsidRDefault="002C56A2">
      <w:pPr>
        <w:spacing w:before="240" w:after="240"/>
        <w:ind w:left="720"/>
        <w:jc w:val="both"/>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00"/>
        <w:rPr>
          <w:rFonts w:asciiTheme="majorHAnsi" w:hAnsiTheme="majorHAnsi" w:cstheme="majorHAnsi"/>
          <w:sz w:val="24"/>
          <w:szCs w:val="24"/>
        </w:rPr>
      </w:pPr>
    </w:p>
    <w:p w:rsidR="002C56A2" w:rsidRPr="00E9638F" w:rsidRDefault="002C56A2">
      <w:pPr>
        <w:spacing w:before="240"/>
        <w:rPr>
          <w:rFonts w:asciiTheme="majorHAnsi" w:hAnsiTheme="majorHAnsi" w:cstheme="majorHAnsi"/>
          <w:sz w:val="24"/>
          <w:szCs w:val="24"/>
        </w:rPr>
      </w:pPr>
    </w:p>
    <w:p w:rsidR="002C56A2" w:rsidRPr="00E9638F" w:rsidRDefault="002C56A2">
      <w:pPr>
        <w:jc w:val="center"/>
        <w:rPr>
          <w:rFonts w:asciiTheme="majorHAnsi" w:hAnsiTheme="majorHAnsi" w:cstheme="majorHAnsi"/>
          <w:sz w:val="24"/>
          <w:szCs w:val="24"/>
        </w:rPr>
      </w:pPr>
    </w:p>
    <w:sectPr w:rsidR="002C56A2" w:rsidRPr="00E9638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EE6B80-522E-45FA-B6BD-5A72BC9DED6A}"/>
  </w:font>
  <w:font w:name="Segoe UI">
    <w:panose1 w:val="020B0502040204020203"/>
    <w:charset w:val="00"/>
    <w:family w:val="swiss"/>
    <w:pitch w:val="variable"/>
    <w:sig w:usb0="E4002EFF" w:usb1="C000E47F" w:usb2="00000009" w:usb3="00000000" w:csb0="000001FF" w:csb1="00000000"/>
    <w:embedRegular r:id="rId2" w:fontKey="{CAB30F90-0CA4-4319-97BD-CCD42D07FE0A}"/>
  </w:font>
  <w:font w:name="Calibri">
    <w:panose1 w:val="020F0502020204030204"/>
    <w:charset w:val="00"/>
    <w:family w:val="swiss"/>
    <w:pitch w:val="variable"/>
    <w:sig w:usb0="E00002FF" w:usb1="4000ACFF" w:usb2="00000001" w:usb3="00000000" w:csb0="0000019F" w:csb1="00000000"/>
    <w:embedRegular r:id="rId3" w:fontKey="{AD97C360-F5DB-4FB4-8E83-4C9EE0A76E90}"/>
    <w:embedBold r:id="rId4" w:fontKey="{F8015D2B-50F1-4579-9D13-CA15C5AF7F74}"/>
    <w:embedItalic r:id="rId5" w:fontKey="{13B189D1-32DE-4093-AFDE-0BE3409F4A56}"/>
  </w:font>
  <w:font w:name="Cambria">
    <w:panose1 w:val="02040503050406030204"/>
    <w:charset w:val="00"/>
    <w:family w:val="roman"/>
    <w:pitch w:val="variable"/>
    <w:sig w:usb0="E00006FF" w:usb1="420024FF" w:usb2="02000000" w:usb3="00000000" w:csb0="0000019F" w:csb1="00000000"/>
    <w:embedRegular r:id="rId6" w:fontKey="{5941519B-2589-4E6C-89B8-5E42016C33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B93C68"/>
    <w:multiLevelType w:val="multilevel"/>
    <w:tmpl w:val="4288CFB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B7B1728"/>
    <w:multiLevelType w:val="multilevel"/>
    <w:tmpl w:val="2084E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953D1D"/>
    <w:multiLevelType w:val="multilevel"/>
    <w:tmpl w:val="9D1E1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6A2"/>
    <w:rsid w:val="000712E7"/>
    <w:rsid w:val="002C56A2"/>
    <w:rsid w:val="00CE1B05"/>
    <w:rsid w:val="00E9638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B778"/>
  <w15:docId w15:val="{15561C5C-8DF9-4A85-A2AC-CCC2B3CE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419"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200"/>
      <w:outlineLvl w:val="0"/>
    </w:pPr>
    <w:rPr>
      <w:b/>
      <w:bCs/>
      <w:color w:val="1F3864"/>
      <w:sz w:val="34"/>
      <w:szCs w:val="34"/>
    </w:rPr>
  </w:style>
  <w:style w:type="paragraph" w:styleId="Ttulo2">
    <w:name w:val="heading 2"/>
    <w:basedOn w:val="Normal"/>
    <w:next w:val="Normal"/>
    <w:uiPriority w:val="9"/>
    <w:unhideWhenUsed/>
    <w:qFormat/>
    <w:pPr>
      <w:pBdr>
        <w:top w:val="nil"/>
        <w:left w:val="nil"/>
        <w:bottom w:val="nil"/>
        <w:right w:val="nil"/>
        <w:between w:val="nil"/>
      </w:pBdr>
      <w:spacing w:before="280" w:after="160"/>
      <w:outlineLvl w:val="1"/>
    </w:pPr>
    <w:rPr>
      <w:b/>
      <w:bCs/>
      <w:color w:val="2E75B6"/>
      <w:sz w:val="28"/>
      <w:szCs w:val="28"/>
    </w:rPr>
  </w:style>
  <w:style w:type="paragraph" w:styleId="Ttulo3">
    <w:name w:val="heading 3"/>
    <w:basedOn w:val="Normal"/>
    <w:next w:val="Normal"/>
    <w:link w:val="Ttulo3Car"/>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paragraph" w:styleId="Sinespaciado">
    <w:name w:val="No Spacing"/>
    <w:uiPriority w:val="1"/>
    <w:qFormat/>
    <w:rsid w:val="00E9638F"/>
  </w:style>
  <w:style w:type="character" w:customStyle="1" w:styleId="Ttulo3Car">
    <w:name w:val="Título 3 Car"/>
    <w:basedOn w:val="Fuentedeprrafopredeter"/>
    <w:link w:val="Ttulo3"/>
    <w:uiPriority w:val="9"/>
    <w:rsid w:val="000712E7"/>
    <w:rPr>
      <w:color w:val="1F4D78"/>
      <w:sz w:val="24"/>
      <w:szCs w:val="24"/>
    </w:rPr>
  </w:style>
  <w:style w:type="paragraph" w:styleId="Textodeglobo">
    <w:name w:val="Balloon Text"/>
    <w:basedOn w:val="Normal"/>
    <w:link w:val="TextodegloboCar"/>
    <w:uiPriority w:val="99"/>
    <w:semiHidden/>
    <w:unhideWhenUsed/>
    <w:rsid w:val="000712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12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zbRtfqBPlMTQP3Y1euVWWe+Eg==">CgMxLjAyDmguNXkzcDg0Z3ltY24yMg5oLnNpeG55dW5scGM2bDIOaC40d2ZiMTZpMGRxYmgyDmguZDRyMTk4N29rZHQxMg5oLmliOHNpZmI5bzBxNzIOaC5hcmk3bmJzcXl3dXYyDmguM3k3MDhoZXZnMWgxMg1oLm1tZ2phaWhrZnlvMg5oLjg0dmxvenFkMGRyNjIOaC5kbjNjcm5qOGZqejA4AHIhMUZvSVJVZXoyMnhSUjNnMFBrblN2TDZXcjFZRVlzQ29y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21EE96-71B7-4B1D-BCCB-3BCC9CEA3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1340</Words>
  <Characters>7376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 F501 Tecnologico Comfenalco</dc:creator>
  <cp:lastModifiedBy>Sala F501 Tecnologico Comfenalco</cp:lastModifiedBy>
  <cp:revision>2</cp:revision>
  <dcterms:created xsi:type="dcterms:W3CDTF">2026-05-16T22:22:00Z</dcterms:created>
  <dcterms:modified xsi:type="dcterms:W3CDTF">2026-05-16T22:22:00Z</dcterms:modified>
</cp:coreProperties>
</file>