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before="0"/>
      </w:pPr>
      <w:r>
        <w:t xml:space="preserve"/>
      </w:r>
    </w:p>
    <w:p>
      <w:pPr>
        <w:spacing w:after="120" w:before="0"/>
        <w:jc w:val="center"/>
      </w:pPr>
      <w:r>
        <w:rPr>
          <w:rFonts w:ascii="Arial" w:cs="Arial" w:eastAsia="Arial" w:hAnsi="Arial"/>
          <w:b/>
          <w:bCs/>
          <w:color w:val="1C2B45"/>
          <w:sz w:val="80"/>
          <w:szCs w:val="80"/>
        </w:rPr>
        <w:t xml:space="preserve">FUTURE SHIFT ADVISORY</w:t>
      </w:r>
    </w:p>
    <w:p>
      <w:pPr>
        <w:spacing w:after="80" w:before="0"/>
        <w:jc w:val="center"/>
      </w:pPr>
      <w:r>
        <w:rPr>
          <w:rFonts w:ascii="Arial" w:cs="Arial" w:eastAsia="Arial" w:hAnsi="Arial"/>
          <w:i/>
          <w:iCs/>
          <w:color w:val="8B6C42"/>
          <w:sz w:val="26"/>
          <w:szCs w:val="26"/>
        </w:rPr>
        <w:t xml:space="preserve">Mentor  ·  Advisor  ·  Partner</w:t>
      </w:r>
    </w:p>
    <w:p>
      <w:pPr>
        <w:spacing w:after="500" w:before="0"/>
        <w:jc w:val="center"/>
      </w:pPr>
      <w:r>
        <w:rPr>
          <w:rFonts w:ascii="Arial" w:cs="Arial" w:eastAsia="Arial" w:hAnsi="Arial"/>
          <w:color w:val="5A6A7A"/>
          <w:sz w:val="22"/>
          <w:szCs w:val="22"/>
        </w:rPr>
        <w:t xml:space="preserve">New Zealand SME &amp; NPO Advisory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2B45" w:val="clear"/>
            <w:tcMar>
              <w:top w:type="dxa" w:w="500"/>
              <w:left w:type="dxa" w:w="560"/>
              <w:bottom w:type="dxa" w:w="500"/>
              <w:right w:type="dxa" w:w="560"/>
            </w:tcMar>
          </w:tcPr>
          <w:p>
            <w:pPr>
              <w:spacing w:after="140" w:before="0"/>
              <w:jc w:val="center"/>
            </w:pPr>
            <w:r>
              <w:rPr>
                <w:rFonts w:ascii="Arial" w:cs="Arial" w:eastAsia="Arial" w:hAnsi="Arial"/>
                <w:b/>
                <w:bCs/>
                <w:color w:val="FFFFFF"/>
                <w:sz w:val="56"/>
                <w:szCs w:val="56"/>
              </w:rPr>
              <w:t xml:space="preserve">NPO MODULE</w:t>
            </w:r>
          </w:p>
          <w:p>
            <w:pPr>
              <w:spacing w:after="120" w:before="0"/>
              <w:jc w:val="center"/>
            </w:pPr>
            <w:r>
              <w:rPr>
                <w:rFonts w:ascii="Arial" w:cs="Arial" w:eastAsia="Arial" w:hAnsi="Arial"/>
                <w:color w:val="E8D5A0"/>
                <w:sz w:val="26"/>
                <w:szCs w:val="26"/>
              </w:rPr>
              <w:t xml:space="preserve">Not-For-Profit Advisory, Social Enterprise &amp; Governance Review</w:t>
            </w:r>
          </w:p>
          <w:p>
            <w:pPr>
              <w:spacing w:after="80" w:before="0"/>
              <w:jc w:val="center"/>
            </w:pPr>
            <w:r>
              <w:rPr>
                <w:rFonts w:ascii="Arial" w:cs="Arial" w:eastAsia="Arial" w:hAnsi="Arial"/>
                <w:color w:val="D4A020"/>
                <w:sz w:val="21"/>
                <w:szCs w:val="21"/>
              </w:rPr>
              <w:t xml:space="preserve">App Specification Addendum to v2.4  ·  Version 1.0</w:t>
            </w:r>
          </w:p>
          <w:p>
            <w:pPr>
              <w:spacing w:after="0" w:before="0"/>
              <w:jc w:val="center"/>
            </w:pPr>
            <w:r>
              <w:rPr>
                <w:rFonts w:ascii="Arial" w:cs="Arial" w:eastAsia="Arial" w:hAnsi="Arial"/>
                <w:i/>
                <w:iCs/>
                <w:color w:val="E8D5A0"/>
                <w:sz w:val="20"/>
                <w:szCs w:val="20"/>
              </w:rPr>
              <w:t xml:space="preserve">Confidential  ·  May 2026</w:t>
            </w:r>
          </w:p>
        </w:tc>
      </w:tr>
    </w:tbl>
    <w:p>
      <w:pPr>
        <w:spacing w:after="80" w:before="500"/>
        <w:jc w:val="center"/>
      </w:pPr>
      <w:r>
        <w:rPr>
          <w:rFonts w:ascii="Arial" w:cs="Arial" w:eastAsia="Arial" w:hAnsi="Arial"/>
          <w:i/>
          <w:iCs/>
          <w:color w:val="5A6A7A"/>
          <w:sz w:val="20"/>
          <w:szCs w:val="20"/>
        </w:rPr>
        <w:t xml:space="preserve">Prepared for</w:t>
      </w:r>
    </w:p>
    <w:p>
      <w:pPr>
        <w:spacing w:after="80" w:before="0"/>
        <w:jc w:val="center"/>
      </w:pPr>
      <w:r>
        <w:rPr>
          <w:rFonts w:ascii="Arial" w:cs="Arial" w:eastAsia="Arial" w:hAnsi="Arial"/>
          <w:b/>
          <w:bCs/>
          <w:color w:val="1C2B45"/>
          <w:sz w:val="28"/>
          <w:szCs w:val="28"/>
        </w:rPr>
        <w:t xml:space="preserve">Future Shift Advisory</w:t>
      </w:r>
    </w:p>
    <w:p>
      <w:pPr>
        <w:spacing w:after="80" w:before="0"/>
        <w:jc w:val="center"/>
      </w:pPr>
      <w:r>
        <w:rPr>
          <w:rFonts w:ascii="Arial" w:cs="Arial" w:eastAsia="Arial" w:hAnsi="Arial"/>
          <w:i/>
          <w:iCs/>
          <w:color w:val="8B6C42"/>
          <w:sz w:val="22"/>
          <w:szCs w:val="22"/>
        </w:rPr>
        <w:t xml:space="preserve">Pieter Du Plessis — Principal Advisor</w:t>
      </w:r>
    </w:p>
    <w:p>
      <w:pPr>
        <w:spacing w:after="0" w:before="0"/>
        <w:jc w:val="center"/>
      </w:pPr>
      <w:r>
        <w:rPr>
          <w:rFonts w:ascii="Arial" w:cs="Arial" w:eastAsia="Arial" w:hAnsi="Arial"/>
          <w:color w:val="5A6A7A"/>
          <w:sz w:val="22"/>
          <w:szCs w:val="22"/>
        </w:rPr>
        <w:t xml:space="preserve">Hamilton, New Zealand</w:t>
      </w:r>
    </w:p>
    <w:p>
      <w:r>
        <w:br w:type="page"/>
      </w:r>
    </w:p>
    <w:p>
      <w:pPr>
        <w:pStyle w:val="Heading1"/>
        <w:pBdr>
          <w:bottom w:val="single" w:color="B8860B" w:sz="8" w:space="6"/>
        </w:pBdr>
        <w:spacing w:after="200" w:before="480"/>
      </w:pPr>
      <w:r>
        <w:rPr>
          <w:rFonts w:ascii="Arial" w:cs="Arial" w:eastAsia="Arial" w:hAnsi="Arial"/>
          <w:b/>
          <w:bCs/>
          <w:color w:val="1C2B45"/>
          <w:sz w:val="44"/>
          <w:szCs w:val="44"/>
        </w:rP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6560"/>
      </w:tblGrid>
      <w:tr>
        <w:tc>
          <w:tcPr>
            <w:tcW w:type="dxa" w:w="1400"/>
            <w:tcBorders>
              <w:top w:val="single" w:color="D0D5DD" w:sz="1"/>
              <w:left w:val="single" w:color="D0D5DD" w:sz="1"/>
              <w:bottom w:val="single" w:color="D0D5DD" w:sz="1"/>
              <w:right w:val="single" w:color="D0D5DD" w:sz="1"/>
            </w:tcBorders>
            <w:shd w:fill="1C2B45" w:val="clear"/>
            <w:tcMar>
              <w:top w:type="dxa" w:w="100"/>
              <w:left w:type="dxa" w:w="140"/>
              <w:bottom w:type="dxa" w:w="100"/>
              <w:right w:type="dxa" w:w="140"/>
            </w:tcMar>
          </w:tcPr>
          <w:p>
            <w:r>
              <w:rPr>
                <w:rFonts w:ascii="Arial" w:cs="Arial" w:eastAsia="Arial" w:hAnsi="Arial"/>
                <w:b/>
                <w:bCs/>
                <w:color w:val="FFFFFF"/>
                <w:sz w:val="20"/>
                <w:szCs w:val="20"/>
              </w:rPr>
              <w:t xml:space="preserve">Version</w:t>
            </w:r>
          </w:p>
        </w:tc>
        <w:tc>
          <w:tcPr>
            <w:tcW w:type="dxa" w:w="1400"/>
            <w:tcBorders>
              <w:top w:val="single" w:color="D0D5DD" w:sz="1"/>
              <w:left w:val="single" w:color="D0D5DD" w:sz="1"/>
              <w:bottom w:val="single" w:color="D0D5DD" w:sz="1"/>
              <w:right w:val="single" w:color="D0D5DD" w:sz="1"/>
            </w:tcBorders>
            <w:shd w:fill="1C2B45" w:val="clear"/>
            <w:tcMar>
              <w:top w:type="dxa" w:w="100"/>
              <w:left w:type="dxa" w:w="140"/>
              <w:bottom w:type="dxa" w:w="100"/>
              <w:right w:type="dxa" w:w="140"/>
            </w:tcMar>
          </w:tcPr>
          <w:p>
            <w:r>
              <w:rPr>
                <w:rFonts w:ascii="Arial" w:cs="Arial" w:eastAsia="Arial" w:hAnsi="Arial"/>
                <w:b/>
                <w:bCs/>
                <w:color w:val="FFFFFF"/>
                <w:sz w:val="20"/>
                <w:szCs w:val="20"/>
              </w:rPr>
              <w:t xml:space="preserve">Date</w:t>
            </w:r>
          </w:p>
        </w:tc>
        <w:tc>
          <w:tcPr>
            <w:tcW w:type="dxa" w:w="6560"/>
            <w:tcBorders>
              <w:top w:val="single" w:color="D0D5DD" w:sz="1"/>
              <w:left w:val="single" w:color="D0D5DD" w:sz="1"/>
              <w:bottom w:val="single" w:color="D0D5DD" w:sz="1"/>
              <w:right w:val="single" w:color="D0D5DD" w:sz="1"/>
            </w:tcBorders>
            <w:shd w:fill="1C2B45" w:val="clear"/>
            <w:tcMar>
              <w:top w:type="dxa" w:w="100"/>
              <w:left w:type="dxa" w:w="140"/>
              <w:bottom w:type="dxa" w:w="100"/>
              <w:right w:type="dxa" w:w="140"/>
            </w:tcMar>
          </w:tcPr>
          <w:p>
            <w:r>
              <w:rPr>
                <w:rFonts w:ascii="Arial" w:cs="Arial" w:eastAsia="Arial" w:hAnsi="Arial"/>
                <w:b/>
                <w:bCs/>
                <w:color w:val="FFFFFF"/>
                <w:sz w:val="20"/>
                <w:szCs w:val="20"/>
              </w:rPr>
              <w:t xml:space="preserve">Summary</w:t>
            </w:r>
          </w:p>
        </w:tc>
      </w:tr>
      <w:tr>
        <w:tc>
          <w:tcPr>
            <w:tcW w:type="dxa" w:w="1400"/>
            <w:tcBorders>
              <w:top w:val="single" w:color="D0D5DD" w:sz="1"/>
              <w:left w:val="single" w:color="D0D5DD" w:sz="1"/>
              <w:bottom w:val="single" w:color="D0D5DD" w:sz="1"/>
              <w:right w:val="single" w:color="D0D5DD" w:sz="1"/>
            </w:tcBorders>
            <w:shd w:fill="F9F6F0" w:val="clear"/>
            <w:tcMar>
              <w:top w:type="dxa" w:w="100"/>
              <w:left w:type="dxa" w:w="140"/>
              <w:bottom w:type="dxa" w:w="100"/>
              <w:right w:type="dxa" w:w="140"/>
            </w:tcMar>
          </w:tcPr>
          <w:p>
            <w:r>
              <w:rPr>
                <w:rFonts w:ascii="Arial" w:cs="Arial" w:eastAsia="Arial" w:hAnsi="Arial"/>
                <w:b w:val="false"/>
                <w:bCs w:val="false"/>
                <w:color w:val="4A5568"/>
                <w:sz w:val="20"/>
                <w:szCs w:val="20"/>
              </w:rPr>
              <w:t xml:space="preserve">1.0</w:t>
            </w:r>
          </w:p>
        </w:tc>
        <w:tc>
          <w:tcPr>
            <w:tcW w:type="dxa" w:w="1400"/>
            <w:tcBorders>
              <w:top w:val="single" w:color="D0D5DD" w:sz="1"/>
              <w:left w:val="single" w:color="D0D5DD" w:sz="1"/>
              <w:bottom w:val="single" w:color="D0D5DD" w:sz="1"/>
              <w:right w:val="single" w:color="D0D5DD" w:sz="1"/>
            </w:tcBorders>
            <w:shd w:fill="F9F6F0" w:val="clear"/>
            <w:tcMar>
              <w:top w:type="dxa" w:w="100"/>
              <w:left w:type="dxa" w:w="140"/>
              <w:bottom w:type="dxa" w:w="100"/>
              <w:right w:type="dxa" w:w="140"/>
            </w:tcMar>
          </w:tcPr>
          <w:p>
            <w:r>
              <w:rPr>
                <w:rFonts w:ascii="Arial" w:cs="Arial" w:eastAsia="Arial" w:hAnsi="Arial"/>
                <w:b w:val="false"/>
                <w:bCs w:val="false"/>
                <w:color w:val="4A5568"/>
                <w:sz w:val="20"/>
                <w:szCs w:val="20"/>
              </w:rPr>
              <w:t xml:space="preserve">May 2026</w:t>
            </w:r>
          </w:p>
        </w:tc>
        <w:tc>
          <w:tcPr>
            <w:tcW w:type="dxa" w:w="6560"/>
            <w:tcBorders>
              <w:top w:val="single" w:color="D0D5DD" w:sz="1"/>
              <w:left w:val="single" w:color="D0D5DD" w:sz="1"/>
              <w:bottom w:val="single" w:color="D0D5DD" w:sz="1"/>
              <w:right w:val="single" w:color="D0D5DD" w:sz="1"/>
            </w:tcBorders>
            <w:shd w:fill="F9F6F0" w:val="clear"/>
            <w:tcMar>
              <w:top w:type="dxa" w:w="100"/>
              <w:left w:type="dxa" w:w="140"/>
              <w:bottom w:type="dxa" w:w="100"/>
              <w:right w:type="dxa" w:w="140"/>
            </w:tcMar>
          </w:tcPr>
          <w:p>
            <w:r>
              <w:rPr>
                <w:rFonts w:ascii="Arial" w:cs="Arial" w:eastAsia="Arial" w:hAnsi="Arial"/>
                <w:b w:val="false"/>
                <w:bCs w:val="false"/>
                <w:color w:val="4A5568"/>
                <w:sz w:val="20"/>
                <w:szCs w:val="20"/>
              </w:rPr>
              <w:t xml:space="preserve">Initial NPO Module specification. Fifth engagement lane. Three sub-types: Standard NPO Advisory, Social Enterprise Advisory, Governance Review. Eight evaluation dimensions including configurable Te Tiriti responsiveness. Dual value measurement. Platform-maintained funder database. Six NPO-specific report types. Two new user roles. Phase 5 development.</w:t>
            </w:r>
          </w:p>
        </w:tc>
      </w:tr>
    </w:tbl>
    <w:p>
      <w:pPr>
        <w:spacing w:after="0" w:before="0"/>
      </w:pPr>
      <w:r>
        <w:t xml:space="preserve"/>
      </w:r>
    </w:p>
    <w:p>
      <w:r>
        <w:br w:type="page"/>
      </w:r>
    </w:p>
    <w:p>
      <w:pPr>
        <w:pStyle w:val="Heading1"/>
        <w:pBdr>
          <w:bottom w:val="single" w:color="B8860B" w:sz="8" w:space="6"/>
        </w:pBdr>
        <w:spacing w:after="200" w:before="480"/>
      </w:pPr>
      <w:r>
        <w:rPr>
          <w:rFonts w:ascii="Arial" w:cs="Arial" w:eastAsia="Arial" w:hAnsi="Arial"/>
          <w:b/>
          <w:bCs/>
          <w:color w:val="1C2B45"/>
          <w:sz w:val="44"/>
          <w:szCs w:val="44"/>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2B45" w:val="clear"/>
            <w:tcMar>
              <w:top w:type="dxa" w:w="280"/>
              <w:left w:type="dxa" w:w="360"/>
              <w:bottom w:type="dxa" w:w="280"/>
              <w:right w:type="dxa" w:w="360"/>
            </w:tcMar>
          </w:tcPr>
          <w:p>
            <w:pPr>
              <w:spacing w:after="80" w:before="0"/>
            </w:pPr>
            <w:r>
              <w:rPr>
                <w:rFonts w:ascii="Arial" w:cs="Arial" w:eastAsia="Arial" w:hAnsi="Arial"/>
                <w:b/>
                <w:bCs/>
                <w:color w:val="FFFFFF"/>
                <w:sz w:val="42"/>
                <w:szCs w:val="42"/>
              </w:rPr>
              <w:t xml:space="preserve">SECTION 1</w:t>
            </w:r>
          </w:p>
          <w:p>
            <w:pPr>
              <w:spacing w:after="0" w:before="0"/>
            </w:pPr>
            <w:r>
              <w:rPr>
                <w:rFonts w:ascii="Arial" w:cs="Arial" w:eastAsia="Arial" w:hAnsi="Arial"/>
                <w:i/>
                <w:iCs/>
                <w:color w:val="E8D5A0"/>
                <w:sz w:val="22"/>
                <w:szCs w:val="22"/>
              </w:rPr>
              <w:t xml:space="preserve">Module Overview &amp; Architecture</w:t>
            </w:r>
          </w:p>
        </w:tc>
      </w:tr>
    </w:tbl>
    <w:p>
      <w:pPr>
        <w:spacing w:after="0" w:before="0"/>
      </w:pPr>
      <w:r>
        <w:t xml:space="preserve"/>
      </w:r>
    </w:p>
    <w:p>
      <w:pPr>
        <w:pStyle w:val="Heading1"/>
        <w:pBdr>
          <w:bottom w:val="single" w:color="B8860B" w:sz="8" w:space="6"/>
        </w:pBdr>
        <w:spacing w:after="200" w:before="480"/>
      </w:pPr>
      <w:r>
        <w:rPr>
          <w:rFonts w:ascii="Arial" w:cs="Arial" w:eastAsia="Arial" w:hAnsi="Arial"/>
          <w:b/>
          <w:bCs/>
          <w:color w:val="1C2B45"/>
          <w:sz w:val="44"/>
          <w:szCs w:val="44"/>
        </w:rPr>
        <w:t xml:space="preserve">1. Module Overview &amp; Architecture</w:t>
      </w:r>
    </w:p>
    <w:p>
      <w:pPr>
        <w:spacing w:after="100" w:before="80"/>
      </w:pPr>
      <w:r>
        <w:rPr>
          <w:rFonts w:ascii="Arial" w:cs="Arial" w:eastAsia="Arial" w:hAnsi="Arial"/>
          <w:b w:val="false"/>
          <w:bCs w:val="false"/>
          <w:i w:val="false"/>
          <w:iCs w:val="false"/>
          <w:color w:val="4A5568"/>
          <w:sz w:val="22"/>
          <w:szCs w:val="22"/>
        </w:rPr>
        <w:t xml:space="preserve">The NPO Module is the fifth engagement lane within the Future Shift Advisory platform. It operates within the same advisor workflow, client profile structure, and platform architecture as the four existing engagement types but every piece of content, every questionnaire, every analysis module, and every report is rebuilt specifically for not-for-profit organisations.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1"/>
              <w:bottom w:val="single" w:color="B8860B" w:sz="1"/>
              <w:right w:val="single" w:color="B8860B" w:sz="1"/>
            </w:tcBorders>
            <w:shd w:fill="F9F6F0" w:val="clear"/>
            <w:tcMar>
              <w:top w:type="dxa" w:w="200"/>
              <w:left w:type="dxa" w:w="280"/>
              <w:bottom w:type="dxa" w:w="200"/>
              <w:right w:type="dxa" w:w="280"/>
            </w:tcMar>
          </w:tcPr>
          <w:p>
            <w:pPr>
              <w:spacing w:after="40" w:before="40"/>
            </w:pPr>
            <w:r>
              <w:rPr>
                <w:rFonts w:ascii="Arial" w:cs="Arial" w:eastAsia="Arial" w:hAnsi="Arial"/>
                <w:b w:val="false"/>
                <w:bCs w:val="false"/>
                <w:i w:val="false"/>
                <w:iCs w:val="false"/>
                <w:color w:val="1C2B45"/>
                <w:sz w:val="21"/>
                <w:szCs w:val="21"/>
              </w:rPr>
              <w:t xml:space="preserve">CORE ARCHITECTURAL PRINCIPLE:</w:t>
            </w:r>
          </w:p>
          <w:p>
            <w:pPr>
              <w:spacing w:after="40" w:before="40"/>
            </w:pPr>
            <w:r>
              <w:rPr>
                <w:rFonts w:ascii="Arial" w:cs="Arial" w:eastAsia="Arial" w:hAnsi="Arial"/>
                <w:b w:val="false"/>
                <w:bCs w:val="false"/>
                <w:i w:val="false"/>
                <w:iCs w:val="false"/>
                <w:color w:val="1C2B45"/>
                <w:sz w:val="21"/>
                <w:szCs w:val="21"/>
              </w:rPr>
              <w:t xml:space="preserve">NPO advisory is not SME advisory with different labels. The fundamental purpose of an NPO — to deliver mission impact — inverts the logic of commercial advisory. Financial sustainability is the means, not the end. Every evaluation dimension, every recommendation, and every report in this module reflects that inversion.</w:t>
            </w:r>
          </w:p>
        </w:tc>
      </w:tr>
    </w:tbl>
    <w:p>
      <w:pPr>
        <w:spacing w:after="0" w:before="0"/>
      </w:pPr>
      <w:r>
        <w:t xml:space="preserve"/>
      </w:r>
    </w:p>
    <w:p>
      <w:pPr>
        <w:pStyle w:val="Heading2"/>
        <w:spacing w:after="160" w:before="360"/>
      </w:pPr>
      <w:r>
        <w:rPr>
          <w:rFonts w:ascii="Arial" w:cs="Arial" w:eastAsia="Arial" w:hAnsi="Arial"/>
          <w:b/>
          <w:bCs/>
          <w:color w:val="0D7A7A"/>
          <w:sz w:val="32"/>
          <w:szCs w:val="32"/>
        </w:rPr>
        <w:t xml:space="preserve">1.1 Three Engagement Sub-Types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Standard NPO Advisory</w:t>
            </w:r>
          </w:p>
        </w:tc>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val="false"/>
                <w:bCs w:val="false"/>
                <w:color w:val="4A5568"/>
                <w:sz w:val="21"/>
                <w:szCs w:val="21"/>
              </w:rPr>
              <w:t xml:space="preserve">Ongoing advisory for registered charities, incorporated societies, community trusts, foundations, and charitable trust boards. Uses all eight evaluation dimensions. Full questionnaire suite. All six NPO report types.</w:t>
            </w:r>
          </w:p>
        </w:tc>
      </w:tr>
      <w:tr>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Social Enterprise Advisory</w:t>
            </w:r>
          </w:p>
        </w:tc>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val="false"/>
                <w:bCs w:val="false"/>
                <w:color w:val="4A5568"/>
                <w:sz w:val="21"/>
                <w:szCs w:val="21"/>
              </w:rPr>
              <w:t xml:space="preserve">A distinct sub-type for hybrid organisations with both a commercial trading dimension and a charitable or community purpose. Uses a dual scorecard — SME commercial analysis running simultaneously with NPO mission analysis — plus an AI Tension Analysis identifying where the two imperatives conflict.</w:t>
            </w:r>
          </w:p>
        </w:tc>
      </w:tr>
      <w:tr>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Governance Review</w:t>
            </w:r>
          </w:p>
        </w:tc>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val="false"/>
                <w:bCs w:val="false"/>
                <w:color w:val="4A5568"/>
                <w:sz w:val="21"/>
                <w:szCs w:val="21"/>
              </w:rPr>
              <w:t xml:space="preserve">A standalone engagement serving as the primary entry point into NPO advisory. Fulfils the mandatory three-year governance review obligation under s.42G Charities Act 2005. Has its own fee proposal, sign-off flow, and conversion pipeline to full NPO Advisory.</w:t>
            </w:r>
          </w:p>
        </w:tc>
      </w:tr>
    </w:tbl>
    <w:p>
      <w:pPr>
        <w:spacing w:after="0" w:before="0"/>
      </w:pPr>
      <w:r>
        <w:t xml:space="preserve"/>
      </w:r>
    </w:p>
    <w:p>
      <w:pPr>
        <w:pStyle w:val="Heading2"/>
        <w:spacing w:after="160" w:before="360"/>
      </w:pPr>
      <w:r>
        <w:rPr>
          <w:rFonts w:ascii="Arial" w:cs="Arial" w:eastAsia="Arial" w:hAnsi="Arial"/>
          <w:b/>
          <w:bCs/>
          <w:color w:val="0D7A7A"/>
          <w:sz w:val="32"/>
          <w:szCs w:val="32"/>
        </w:rPr>
        <w:t xml:space="preserve">1.2 NPO Entity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Registered Charities</w:t>
            </w:r>
          </w:p>
        </w:tc>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val="false"/>
                <w:bCs w:val="false"/>
                <w:color w:val="4A5568"/>
                <w:sz w:val="21"/>
                <w:szCs w:val="21"/>
              </w:rPr>
              <w:t xml:space="preserve">Charities Act 2005 (amended 2023). Administered by Charities Services / DIA. Must file annual returns, financial statements. Mandatory three-year governance review from October 2023. XRB financial reporting standards apply by size tier.</w:t>
            </w:r>
          </w:p>
        </w:tc>
      </w:tr>
      <w:tr>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Incorporated Societies</w:t>
            </w:r>
          </w:p>
        </w:tc>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val="false"/>
                <w:bCs w:val="false"/>
                <w:color w:val="4A5568"/>
                <w:sz w:val="21"/>
                <w:szCs w:val="21"/>
              </w:rPr>
              <w:t xml:space="preserve">Incorporated Societies Act 2022. Re-registration deadline: 5 April 2026. New governance, financial reporting, and officer duty obligations. Officers face fines up to $50,000 for prohibited activities.</w:t>
            </w:r>
          </w:p>
        </w:tc>
      </w:tr>
      <w:tr>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Community Trusts &amp; Foundations</w:t>
            </w:r>
          </w:p>
        </w:tc>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val="false"/>
                <w:bCs w:val="false"/>
                <w:color w:val="4A5568"/>
                <w:sz w:val="21"/>
                <w:szCs w:val="21"/>
              </w:rPr>
              <w:t xml:space="preserve">Charitable Trusts Act 1957 and Trusts Act 2019. Trustees have mandatory duties under the Trusts Act. Often both a registered charity and a trust.</w:t>
            </w:r>
          </w:p>
        </w:tc>
      </w:tr>
      <w:tr>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Charitable Trust Boards</w:t>
            </w:r>
          </w:p>
        </w:tc>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val="false"/>
                <w:bCs w:val="false"/>
                <w:color w:val="4A5568"/>
                <w:sz w:val="21"/>
                <w:szCs w:val="21"/>
              </w:rPr>
              <w:t xml:space="preserve">Incorporated under the Charitable Trusts Act 1957. Board members carry trustee duties.</w:t>
            </w:r>
          </w:p>
        </w:tc>
      </w:tr>
      <w:tr>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Social Enterprises</w:t>
            </w:r>
          </w:p>
        </w:tc>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val="false"/>
                <w:bCs w:val="false"/>
                <w:color w:val="4A5568"/>
                <w:sz w:val="21"/>
                <w:szCs w:val="21"/>
              </w:rPr>
              <w:t xml:space="preserve">Hybrid organisations with trading income and charitable or community purpose. Assessed under the Social Enterprise sub-type using the dual scorecard.</w:t>
            </w:r>
          </w:p>
        </w:tc>
      </w:tr>
      <w:tr>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Unincorporated Community Organisations</w:t>
            </w:r>
          </w:p>
        </w:tc>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val="false"/>
                <w:bCs w:val="false"/>
                <w:color w:val="4A5568"/>
                <w:sz w:val="21"/>
                <w:szCs w:val="21"/>
              </w:rPr>
              <w:t xml:space="preserve">No separate legal identity. Lighter-touch engagement — reduced compliance dimension. Cannot be registered charities but may receive gaming trust and council funding.</w:t>
            </w:r>
          </w:p>
        </w:tc>
      </w:tr>
    </w:tbl>
    <w:p>
      <w:pPr>
        <w:spacing w:after="0" w:before="0"/>
      </w:pPr>
      <w:r>
        <w:t xml:space="preserve"/>
      </w:r>
    </w:p>
    <w:p>
      <w:pPr>
        <w:pBdr>
          <w:left w:val="single" w:color="B8860B" w:sz="14" w:space="8"/>
        </w:pBdr>
        <w:spacing w:after="100" w:before="100"/>
        <w:ind w:left="360"/>
      </w:pPr>
      <w:r>
        <w:rPr>
          <w:rFonts w:ascii="Arial" w:cs="Arial" w:eastAsia="Arial" w:hAnsi="Arial"/>
          <w:b w:val="false"/>
          <w:bCs w:val="false"/>
          <w:i/>
          <w:iCs/>
          <w:color w:val="8B6C42"/>
          <w:sz w:val="20"/>
          <w:szCs w:val="20"/>
        </w:rPr>
        <w:t xml:space="preserve">Legal structure is recorded at intake and determines which compliance obligations appear in Dimension 7. An incorporated society faces different obligations from a registered charity. A social enterprise may require assessment under both frameworks.</w:t>
      </w:r>
    </w:p>
    <w:p>
      <w:pPr>
        <w:spacing w:after="0" w:before="0"/>
      </w:pPr>
      <w:r>
        <w:t xml:space="preserve"/>
      </w:r>
    </w:p>
    <w:p>
      <w:pPr>
        <w:pStyle w:val="Heading2"/>
        <w:spacing w:after="160" w:before="360"/>
      </w:pPr>
      <w:r>
        <w:rPr>
          <w:rFonts w:ascii="Arial" w:cs="Arial" w:eastAsia="Arial" w:hAnsi="Arial"/>
          <w:b/>
          <w:bCs/>
          <w:color w:val="0D7A7A"/>
          <w:sz w:val="32"/>
          <w:szCs w:val="32"/>
        </w:rPr>
        <w:t xml:space="preserve">1.3 Platform Architecture — Fifth Lane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Client Profile Structure</w:t>
            </w:r>
          </w:p>
        </w:tc>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val="false"/>
                <w:bCs w:val="false"/>
                <w:color w:val="4A5568"/>
                <w:sz w:val="21"/>
                <w:szCs w:val="21"/>
              </w:rPr>
              <w:t xml:space="preserve">Identical to existing engagement types. Same document management, communication tools, T&amp;C gate, payment and sign-off flow.</w:t>
            </w:r>
          </w:p>
        </w:tc>
      </w:tr>
      <w:tr>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Advisor Command Centre</w:t>
            </w:r>
          </w:p>
        </w:tc>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val="false"/>
                <w:bCs w:val="false"/>
                <w:color w:val="4A5568"/>
                <w:sz w:val="21"/>
                <w:szCs w:val="21"/>
              </w:rPr>
              <w:t xml:space="preserve">All NPO analysis visible alongside SME clients. Advisor manages NPO and SME clients from a single dashboard. NPO badge distinguishes client type.</w:t>
            </w:r>
          </w:p>
        </w:tc>
      </w:tr>
      <w:tr>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AI Analysis Engine</w:t>
            </w:r>
          </w:p>
        </w:tc>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val="false"/>
                <w:bCs w:val="false"/>
                <w:color w:val="4A5568"/>
                <w:sz w:val="21"/>
                <w:szCs w:val="21"/>
              </w:rPr>
              <w:t xml:space="preserve">Extends the existing engine with NPO-specific analysis layers. All AI Integrity Principle requirements apply: source-attributed, evidence-based, no score inflation, mandatory uncertainty disclosure.</w:t>
            </w:r>
          </w:p>
        </w:tc>
      </w:tr>
      <w:tr>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Learning Architecture</w:t>
            </w:r>
          </w:p>
        </w:tc>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val="false"/>
                <w:bCs w:val="false"/>
                <w:color w:val="4A5568"/>
                <w:sz w:val="21"/>
                <w:szCs w:val="21"/>
              </w:rPr>
              <w:t xml:space="preserve">All 32 existing layers continue unchanged. Four new NPO-specific layers added (Layers 33–36). All updates governed by the existing admin-approval process.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2B45" w:val="clear"/>
            <w:tcMar>
              <w:top w:type="dxa" w:w="280"/>
              <w:left w:type="dxa" w:w="360"/>
              <w:bottom w:type="dxa" w:w="280"/>
              <w:right w:type="dxa" w:w="360"/>
            </w:tcMar>
          </w:tcPr>
          <w:p>
            <w:pPr>
              <w:spacing w:after="80" w:before="0"/>
            </w:pPr>
            <w:r>
              <w:rPr>
                <w:rFonts w:ascii="Arial" w:cs="Arial" w:eastAsia="Arial" w:hAnsi="Arial"/>
                <w:b/>
                <w:bCs/>
                <w:color w:val="FFFFFF"/>
                <w:sz w:val="42"/>
                <w:szCs w:val="42"/>
              </w:rPr>
              <w:t xml:space="preserve">SECTION 2</w:t>
            </w:r>
          </w:p>
          <w:p>
            <w:pPr>
              <w:spacing w:after="0" w:before="0"/>
            </w:pPr>
            <w:r>
              <w:rPr>
                <w:rFonts w:ascii="Arial" w:cs="Arial" w:eastAsia="Arial" w:hAnsi="Arial"/>
                <w:i/>
                <w:iCs/>
                <w:color w:val="E8D5A0"/>
                <w:sz w:val="22"/>
                <w:szCs w:val="22"/>
              </w:rPr>
              <w:t xml:space="preserve">Engagement Setup &amp; Configuration</w:t>
            </w:r>
          </w:p>
        </w:tc>
      </w:tr>
    </w:tbl>
    <w:p>
      <w:pPr>
        <w:spacing w:after="0" w:before="0"/>
      </w:pPr>
      <w:r>
        <w:t xml:space="preserve"/>
      </w:r>
    </w:p>
    <w:p>
      <w:pPr>
        <w:pStyle w:val="Heading1"/>
        <w:pBdr>
          <w:bottom w:val="single" w:color="B8860B" w:sz="8" w:space="6"/>
        </w:pBdr>
        <w:spacing w:after="200" w:before="480"/>
      </w:pPr>
      <w:r>
        <w:rPr>
          <w:rFonts w:ascii="Arial" w:cs="Arial" w:eastAsia="Arial" w:hAnsi="Arial"/>
          <w:b/>
          <w:bCs/>
          <w:color w:val="1C2B45"/>
          <w:sz w:val="44"/>
          <w:szCs w:val="44"/>
        </w:rPr>
        <w:t xml:space="preserve">2. Engagement Setup &amp; Configuration</w:t>
      </w:r>
    </w:p>
    <w:p>
      <w:pPr>
        <w:spacing w:after="100" w:before="80"/>
      </w:pPr>
      <w:r>
        <w:rPr>
          <w:rFonts w:ascii="Arial" w:cs="Arial" w:eastAsia="Arial" w:hAnsi="Arial"/>
          <w:b w:val="false"/>
          <w:bCs w:val="false"/>
          <w:i w:val="false"/>
          <w:iCs w:val="false"/>
          <w:color w:val="4A5568"/>
          <w:sz w:val="22"/>
          <w:szCs w:val="22"/>
        </w:rPr>
        <w:t xml:space="preserve">Three configuration decisions are made at engagement setup and shape the entire engagement. All are made by the advisor and can be amended with a full audit trail.</w:t>
      </w:r>
    </w:p>
    <w:p>
      <w:pPr>
        <w:spacing w:after="0" w:before="0"/>
      </w:pPr>
      <w:r>
        <w:t xml:space="preserve"/>
      </w:r>
    </w:p>
    <w:p>
      <w:pPr>
        <w:pStyle w:val="Heading2"/>
        <w:spacing w:after="160" w:before="360"/>
      </w:pPr>
      <w:r>
        <w:rPr>
          <w:rFonts w:ascii="Arial" w:cs="Arial" w:eastAsia="Arial" w:hAnsi="Arial"/>
          <w:b/>
          <w:bCs/>
          <w:color w:val="0D7A7A"/>
          <w:sz w:val="32"/>
          <w:szCs w:val="32"/>
        </w:rPr>
        <w:t xml:space="preserve">2.1 Step 1 — Legal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Legal Structure Options</w:t>
            </w:r>
          </w:p>
        </w:tc>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val="false"/>
                <w:bCs w:val="false"/>
                <w:color w:val="4A5568"/>
                <w:sz w:val="21"/>
                <w:szCs w:val="21"/>
              </w:rPr>
              <w:t xml:space="preserve">Registered Charity  ·  Incorporated Society  ·  Both Registered Charity and Incorporated Society  ·  Charitable Trust Board  ·  Community Trust or Foundation  ·  Social Enterprise (registered charity)  ·  Social Enterprise (not registered)  ·  Unincorporated Community Organisation</w:t>
            </w:r>
          </w:p>
        </w:tc>
      </w:tr>
    </w:tbl>
    <w:p>
      <w:pPr>
        <w:spacing w:after="0" w:before="0"/>
      </w:pPr>
      <w:r>
        <w:t xml:space="preserve"/>
      </w:r>
    </w:p>
    <w:p>
      <w:pPr>
        <w:pStyle w:val="Heading2"/>
        <w:spacing w:after="160" w:before="360"/>
      </w:pPr>
      <w:r>
        <w:rPr>
          <w:rFonts w:ascii="Arial" w:cs="Arial" w:eastAsia="Arial" w:hAnsi="Arial"/>
          <w:b/>
          <w:bCs/>
          <w:color w:val="0D7A7A"/>
          <w:sz w:val="32"/>
          <w:szCs w:val="32"/>
        </w:rPr>
        <w:t xml:space="preserve">2.2 Step 2 — Te Tiriti Responsiveness Mode</w:t>
      </w:r>
    </w:p>
    <w:p>
      <w:pPr>
        <w:spacing w:after="100" w:before="80"/>
      </w:pPr>
      <w:r>
        <w:rPr>
          <w:rFonts w:ascii="Arial" w:cs="Arial" w:eastAsia="Arial" w:hAnsi="Arial"/>
          <w:b w:val="false"/>
          <w:bCs w:val="false"/>
          <w:i w:val="false"/>
          <w:iCs w:val="false"/>
          <w:color w:val="4A5568"/>
          <w:sz w:val="22"/>
          <w:szCs w:val="22"/>
        </w:rPr>
        <w:t xml:space="preserve">The advisor selects Mode A or Mode B. The platform provides a three-question decision guide.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Decision Guide Q1</w:t>
            </w:r>
          </w:p>
        </w:tc>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val="false"/>
                <w:bCs w:val="false"/>
                <w:color w:val="4A5568"/>
                <w:sz w:val="21"/>
                <w:szCs w:val="21"/>
              </w:rPr>
              <w:t xml:space="preserve">Does this organisation primarily serve Māori communities or have Māori beneficiaries as a primary group?</w:t>
            </w:r>
          </w:p>
        </w:tc>
      </w:tr>
      <w:tr>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Decision Guide Q2</w:t>
            </w:r>
          </w:p>
        </w:tc>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val="false"/>
                <w:bCs w:val="false"/>
                <w:color w:val="4A5568"/>
                <w:sz w:val="21"/>
                <w:szCs w:val="21"/>
              </w:rPr>
              <w:t xml:space="preserve">Do this organisation’s primary funders require standalone Te Tiriti reporting (government contracts, Foundation North, community trusts with Treaty requirements)?</w:t>
            </w:r>
          </w:p>
        </w:tc>
      </w:tr>
      <w:tr>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Decision Guide Q3</w:t>
            </w:r>
          </w:p>
        </w:tc>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val="false"/>
                <w:bCs w:val="false"/>
                <w:color w:val="4A5568"/>
                <w:sz w:val="21"/>
                <w:szCs w:val="21"/>
              </w:rPr>
              <w:t xml:space="preserve">Has the board explicitly adopted a Te Tiriti o Waitangi framework as part of its governance structure?</w:t>
            </w:r>
          </w:p>
        </w:tc>
      </w:tr>
      <w:tr>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Yes to any →</w:t>
            </w:r>
          </w:p>
        </w:tc>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val="false"/>
                <w:bCs w:val="false"/>
                <w:color w:val="4A5568"/>
                <w:sz w:val="21"/>
                <w:szCs w:val="21"/>
              </w:rPr>
              <w:t xml:space="preserve">Suggest Mode A — Standalone Dimension (8th dimension, separately scored and reported).</w:t>
            </w:r>
          </w:p>
        </w:tc>
      </w:tr>
      <w:tr>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No to all →</w:t>
            </w:r>
          </w:p>
        </w:tc>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val="false"/>
                <w:bCs w:val="false"/>
                <w:color w:val="4A5568"/>
                <w:sz w:val="21"/>
                <w:szCs w:val="21"/>
              </w:rPr>
              <w:t xml:space="preserve">Suggest Mode B — Woven Through (Te Tiriti criteria embedded within each of the seven dimensions).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1"/>
              <w:bottom w:val="single" w:color="B8860B" w:sz="1"/>
              <w:right w:val="single" w:color="B8860B" w:sz="1"/>
            </w:tcBorders>
            <w:shd w:fill="F0EAD8" w:val="clear"/>
            <w:tcMar>
              <w:top w:type="dxa" w:w="200"/>
              <w:left w:type="dxa" w:w="280"/>
              <w:bottom w:type="dxa" w:w="200"/>
              <w:right w:type="dxa" w:w="280"/>
            </w:tcMar>
          </w:tcPr>
          <w:p>
            <w:pPr>
              <w:spacing w:after="40" w:before="40"/>
            </w:pPr>
            <w:r>
              <w:rPr>
                <w:rFonts w:ascii="Arial" w:cs="Arial" w:eastAsia="Arial" w:hAnsi="Arial"/>
                <w:b w:val="false"/>
                <w:bCs w:val="false"/>
                <w:i w:val="false"/>
                <w:iCs w:val="false"/>
                <w:color w:val="1C2B45"/>
                <w:sz w:val="21"/>
                <w:szCs w:val="21"/>
              </w:rPr>
              <w:t xml:space="preserve">MODE A — STANDALONE: Te Tiriti responsiveness assessed as a full 8th dimension. Separately scored, separately reported. Used where funder accountability or board commitment makes standalone visibility essential.</w:t>
            </w:r>
          </w:p>
          <w:p>
            <w:pPr>
              <w:spacing w:after="40" w:before="40"/>
            </w:pPr>
            <w:r>
              <w:rPr>
                <w:rFonts w:ascii="Arial" w:cs="Arial" w:eastAsia="Arial" w:hAnsi="Arial"/>
                <w:b w:val="false"/>
                <w:bCs w:val="false"/>
                <w:i w:val="false"/>
                <w:iCs w:val="false"/>
                <w:color w:val="1C2B45"/>
                <w:sz w:val="21"/>
                <w:szCs w:val="21"/>
              </w:rPr>
              <w:t xml:space="preserve"/>
            </w:r>
          </w:p>
          <w:p>
            <w:pPr>
              <w:spacing w:after="40" w:before="40"/>
            </w:pPr>
            <w:r>
              <w:rPr>
                <w:rFonts w:ascii="Arial" w:cs="Arial" w:eastAsia="Arial" w:hAnsi="Arial"/>
                <w:b w:val="false"/>
                <w:bCs w:val="false"/>
                <w:i w:val="false"/>
                <w:iCs w:val="false"/>
                <w:color w:val="1C2B45"/>
                <w:sz w:val="21"/>
                <w:szCs w:val="21"/>
              </w:rPr>
              <w:t xml:space="preserve">MODE B — WOVEN THROUGH: Te Tiriti criteria embedded inside each of the seven dimensions. Governance includes Māori board representation. Funding Strategy includes iwi funder relationships. Mission includes Māori outcomes measurement. Prevents Te Tiriti from becoming a compliance checkbox.</w:t>
            </w:r>
          </w:p>
        </w:tc>
      </w:tr>
    </w:tbl>
    <w:p>
      <w:pPr>
        <w:spacing w:after="0" w:before="0"/>
      </w:pPr>
      <w:r>
        <w:t xml:space="preserve"/>
      </w:r>
    </w:p>
    <w:p>
      <w:pPr>
        <w:pStyle w:val="Heading2"/>
        <w:spacing w:after="160" w:before="360"/>
      </w:pPr>
      <w:r>
        <w:rPr>
          <w:rFonts w:ascii="Arial" w:cs="Arial" w:eastAsia="Arial" w:hAnsi="Arial"/>
          <w:b/>
          <w:bCs/>
          <w:color w:val="0D7A7A"/>
          <w:sz w:val="32"/>
          <w:szCs w:val="32"/>
        </w:rPr>
        <w:t xml:space="preserve">2.3 Step 3 — Social Enterprise Flag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Social Enterprise Flag</w:t>
            </w:r>
          </w:p>
        </w:tc>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val="false"/>
                <w:bCs w:val="false"/>
                <w:color w:val="4A5568"/>
                <w:sz w:val="21"/>
                <w:szCs w:val="21"/>
              </w:rPr>
              <w:t xml:space="preserve">Set to Yes or No. If Yes, the dual scorecard architecture is activated (Section 6). If No, standard NPO assessment applies.</w:t>
            </w:r>
          </w:p>
        </w:tc>
      </w:tr>
      <w:tr>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Commercial / Mission Weighting</w:t>
            </w:r>
          </w:p>
        </w:tc>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val="false"/>
                <w:bCs w:val="false"/>
                <w:color w:val="4A5568"/>
                <w:sz w:val="21"/>
                <w:szCs w:val="21"/>
              </w:rPr>
              <w:t xml:space="preserve">If Social Enterprise: advisor sets the weighting for overall health score. Commercial Health (SME analysis) vs Mission Health (NPO analysis). Platform provides suggested weightings by social enterprise type.</w:t>
            </w:r>
          </w:p>
        </w:tc>
      </w:tr>
      <w:tr>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Weighting Adjustment</w:t>
            </w:r>
          </w:p>
        </w:tc>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val="false"/>
                <w:bCs w:val="false"/>
                <w:color w:val="4A5568"/>
                <w:sz w:val="21"/>
                <w:szCs w:val="21"/>
              </w:rPr>
              <w:t xml:space="preserve">Can be adjusted at any time. All historical scores are recalculated. Change logged in the audit trail.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2B45" w:val="clear"/>
            <w:tcMar>
              <w:top w:type="dxa" w:w="280"/>
              <w:left w:type="dxa" w:w="360"/>
              <w:bottom w:type="dxa" w:w="280"/>
              <w:right w:type="dxa" w:w="360"/>
            </w:tcMar>
          </w:tcPr>
          <w:p>
            <w:pPr>
              <w:spacing w:after="80" w:before="0"/>
            </w:pPr>
            <w:r>
              <w:rPr>
                <w:rFonts w:ascii="Arial" w:cs="Arial" w:eastAsia="Arial" w:hAnsi="Arial"/>
                <w:b/>
                <w:bCs/>
                <w:color w:val="FFFFFF"/>
                <w:sz w:val="42"/>
                <w:szCs w:val="42"/>
              </w:rPr>
              <w:t xml:space="preserve">SECTION 3</w:t>
            </w:r>
          </w:p>
          <w:p>
            <w:pPr>
              <w:spacing w:after="0" w:before="0"/>
            </w:pPr>
            <w:r>
              <w:rPr>
                <w:rFonts w:ascii="Arial" w:cs="Arial" w:eastAsia="Arial" w:hAnsi="Arial"/>
                <w:i/>
                <w:iCs/>
                <w:color w:val="E8D5A0"/>
                <w:sz w:val="22"/>
                <w:szCs w:val="22"/>
              </w:rPr>
              <w:t xml:space="preserve">The Eight Evaluation Dimensions</w:t>
            </w:r>
          </w:p>
        </w:tc>
      </w:tr>
    </w:tbl>
    <w:p>
      <w:pPr>
        <w:spacing w:after="0" w:before="0"/>
      </w:pPr>
      <w:r>
        <w:t xml:space="preserve"/>
      </w:r>
    </w:p>
    <w:p>
      <w:pPr>
        <w:pStyle w:val="Heading1"/>
        <w:pBdr>
          <w:bottom w:val="single" w:color="B8860B" w:sz="8" w:space="6"/>
        </w:pBdr>
        <w:spacing w:after="200" w:before="480"/>
      </w:pPr>
      <w:r>
        <w:rPr>
          <w:rFonts w:ascii="Arial" w:cs="Arial" w:eastAsia="Arial" w:hAnsi="Arial"/>
          <w:b/>
          <w:bCs/>
          <w:color w:val="1C2B45"/>
          <w:sz w:val="44"/>
          <w:szCs w:val="44"/>
        </w:rPr>
        <w:t xml:space="preserve">3. The Eight Evaluation Dimensions</w:t>
      </w:r>
    </w:p>
    <w:p>
      <w:pPr>
        <w:spacing w:after="100" w:before="80"/>
      </w:pPr>
      <w:r>
        <w:rPr>
          <w:rFonts w:ascii="Arial" w:cs="Arial" w:eastAsia="Arial" w:hAnsi="Arial"/>
          <w:b w:val="false"/>
          <w:bCs w:val="false"/>
          <w:i w:val="false"/>
          <w:iCs w:val="false"/>
          <w:color w:val="4A5568"/>
          <w:sz w:val="22"/>
          <w:szCs w:val="22"/>
        </w:rPr>
        <w:t xml:space="preserve">The NPO health assessment uses seven core dimensions plus a configurable Te Tiriti dimension. Each dimension is scored 0–100, weighted by the advisor, and combined into an overall NPO Health Score — the same scoring methodology as the existing SME health assessment.</w:t>
      </w:r>
    </w:p>
    <w:p>
      <w:pPr>
        <w:spacing w:after="0" w:before="0"/>
      </w:pPr>
      <w:r>
        <w:t xml:space="preserve"/>
      </w:r>
    </w:p>
    <w:p>
      <w:pPr>
        <w:pBdr>
          <w:left w:val="single" w:color="B8860B" w:sz="14" w:space="8"/>
        </w:pBdr>
        <w:spacing w:after="100" w:before="100"/>
        <w:ind w:left="360"/>
      </w:pPr>
      <w:r>
        <w:rPr>
          <w:rFonts w:ascii="Arial" w:cs="Arial" w:eastAsia="Arial" w:hAnsi="Arial"/>
          <w:b w:val="false"/>
          <w:bCs w:val="false"/>
          <w:i/>
          <w:iCs/>
          <w:color w:val="8B6C42"/>
          <w:sz w:val="20"/>
          <w:szCs w:val="20"/>
        </w:rPr>
        <w:t xml:space="preserve">Where Mode B (Te Tiriti woven through) is selected, relevant Te Tiriti criteria are embedded within each dimension, marked [MODE B]. These criteria contribute to the parent dimension score, not a separate score.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C2B45" w:val="clear"/>
            <w:tcMar>
              <w:top w:type="dxa" w:w="160"/>
              <w:left w:type="dxa" w:w="280"/>
              <w:bottom w:type="dxa" w:w="160"/>
              <w:right w:type="dxa" w:w="280"/>
            </w:tcMar>
          </w:tcPr>
          <w:p>
            <w:pPr>
              <w:spacing w:after="60" w:before="0"/>
            </w:pPr>
            <w:r>
              <w:rPr>
                <w:rFonts w:ascii="Arial" w:cs="Arial" w:eastAsia="Arial" w:hAnsi="Arial"/>
                <w:b/>
                <w:bCs/>
                <w:color w:val="D4A020"/>
                <w:sz w:val="18"/>
                <w:szCs w:val="18"/>
              </w:rPr>
              <w:t xml:space="preserve">DIMENSION 1</w:t>
            </w:r>
          </w:p>
          <w:p>
            <w:pPr>
              <w:spacing w:after="0" w:before="0"/>
            </w:pPr>
            <w:r>
              <w:rPr>
                <w:rFonts w:ascii="Arial" w:cs="Arial" w:eastAsia="Arial" w:hAnsi="Arial"/>
                <w:b/>
                <w:bCs/>
                <w:color w:val="FFFFFF"/>
                <w:sz w:val="30"/>
                <w:szCs w:val="30"/>
              </w:rPr>
              <w:t xml:space="preserve">Mission &amp; Impact</w:t>
            </w:r>
          </w:p>
        </w:tc>
        <w:tc>
          <w:tcPr>
            <w:tcW w:type="dxa" w:w="2160"/>
            <w:tcBorders>
              <w:top w:val="none" w:color="FFFFFF" w:sz="0"/>
              <w:left w:val="none" w:color="FFFFFF" w:sz="0"/>
              <w:bottom w:val="none" w:color="FFFFFF" w:sz="0"/>
              <w:right w:val="none" w:color="FFFFFF" w:sz="0"/>
            </w:tcBorders>
            <w:shd w:fill="0D7A7A" w:val="clear"/>
            <w:tcMar>
              <w:top w:type="dxa" w:w="160"/>
              <w:left w:type="dxa" w:w="200"/>
              <w:bottom w:type="dxa" w:w="160"/>
              <w:right w:type="dxa" w:w="200"/>
            </w:tcMar>
          </w:tcPr>
          <w:p>
            <w:pPr>
              <w:jc w:val="center"/>
            </w:pPr>
            <w:r>
              <w:rPr>
                <w:rFonts w:ascii="Arial" w:cs="Arial" w:eastAsia="Arial" w:hAnsi="Arial"/>
                <w:b/>
                <w:bCs/>
                <w:color w:val="FFFFFF"/>
                <w:sz w:val="19"/>
                <w:szCs w:val="19"/>
              </w:rPr>
              <w:t xml:space="preserve">NPO-SPECIFIC</w:t>
            </w:r>
          </w:p>
        </w:tc>
      </w:tr>
    </w:tbl>
    <w:p>
      <w:pPr>
        <w:spacing w:after="0" w:before="0"/>
      </w:pPr>
      <w:r>
        <w:t xml:space="preserve"/>
      </w:r>
    </w:p>
    <w:p>
      <w:pPr>
        <w:spacing w:after="100" w:before="80"/>
      </w:pPr>
      <w:r>
        <w:rPr>
          <w:rFonts w:ascii="Arial" w:cs="Arial" w:eastAsia="Arial" w:hAnsi="Arial"/>
          <w:b w:val="false"/>
          <w:bCs w:val="false"/>
          <w:i w:val="false"/>
          <w:iCs w:val="false"/>
          <w:color w:val="4A5568"/>
          <w:sz w:val="22"/>
          <w:szCs w:val="22"/>
        </w:rPr>
        <w:t xml:space="preserve">The central dimension of NPO advisory. Assesses whether the organisation can demonstrate it is achieving what it exists to achieve — not just delivering activities, but producing genuine outcomes for beneficiaries.</w:t>
      </w:r>
    </w:p>
    <w:p>
      <w:pPr>
        <w:spacing w:after="0" w:before="0"/>
      </w:pPr>
      <w:r>
        <w:t xml:space="preserve"/>
      </w:r>
    </w:p>
    <w:p>
      <w:pPr>
        <w:pStyle w:val="Heading3"/>
        <w:spacing w:after="120" w:before="260"/>
      </w:pPr>
      <w:r>
        <w:rPr>
          <w:rFonts w:ascii="Arial" w:cs="Arial" w:eastAsia="Arial" w:hAnsi="Arial"/>
          <w:b/>
          <w:bCs/>
          <w:color w:val="1C2B45"/>
          <w:sz w:val="26"/>
          <w:szCs w:val="26"/>
        </w:rPr>
        <w:t xml:space="preserve">Assessment Criteria</w:t>
      </w:r>
    </w:p>
    <w:p>
      <w:pPr>
        <w:pStyle w:val="ListParagraph"/>
        <w:numPr>
          <w:ilvl w:val="0"/>
          <w:numId w:val="2"/>
        </w:numPr>
        <w:spacing w:after="60" w:before="60"/>
      </w:pPr>
      <w:r>
        <w:rPr>
          <w:rFonts w:ascii="Arial" w:cs="Arial" w:eastAsia="Arial" w:hAnsi="Arial"/>
          <w:b w:val="false"/>
          <w:bCs w:val="false"/>
          <w:i w:val="false"/>
          <w:iCs w:val="false"/>
          <w:color w:val="4A5568"/>
          <w:sz w:val="21"/>
          <w:szCs w:val="21"/>
        </w:rPr>
        <w:t xml:space="preserve">Theory of change: documented, logically structured, evidence-based. Connects inputs to activities to outputs to outcomes to impact in a traceable way.</w:t>
      </w:r>
    </w:p>
    <w:p>
      <w:pPr>
        <w:pStyle w:val="ListParagraph"/>
        <w:numPr>
          <w:ilvl w:val="0"/>
          <w:numId w:val="2"/>
        </w:numPr>
        <w:spacing w:after="60" w:before="60"/>
      </w:pPr>
      <w:r>
        <w:rPr>
          <w:rFonts w:ascii="Arial" w:cs="Arial" w:eastAsia="Arial" w:hAnsi="Arial"/>
          <w:b w:val="false"/>
          <w:bCs w:val="false"/>
          <w:i w:val="false"/>
          <w:iCs w:val="false"/>
          <w:color w:val="4A5568"/>
          <w:sz w:val="21"/>
          <w:szCs w:val="21"/>
        </w:rPr>
        <w:t xml:space="preserve">Outputs vs outcomes: Does the organisation measure what it does (outputs) or what changes as a result (outcomes)? This is the most common and consequential gap in the NZ NPO sector.</w:t>
      </w:r>
    </w:p>
    <w:p>
      <w:pPr>
        <w:pStyle w:val="ListParagraph"/>
        <w:numPr>
          <w:ilvl w:val="0"/>
          <w:numId w:val="2"/>
        </w:numPr>
        <w:spacing w:after="60" w:before="60"/>
      </w:pPr>
      <w:r>
        <w:rPr>
          <w:rFonts w:ascii="Arial" w:cs="Arial" w:eastAsia="Arial" w:hAnsi="Arial"/>
          <w:b w:val="false"/>
          <w:bCs w:val="false"/>
          <w:i w:val="false"/>
          <w:iCs w:val="false"/>
          <w:color w:val="4A5568"/>
          <w:sz w:val="21"/>
          <w:szCs w:val="21"/>
        </w:rPr>
        <w:t xml:space="preserve">Beneficiary reach: How many people served and how deeply? Breadth vs depth trade-off analysis.</w:t>
      </w:r>
    </w:p>
    <w:p>
      <w:pPr>
        <w:pStyle w:val="ListParagraph"/>
        <w:numPr>
          <w:ilvl w:val="0"/>
          <w:numId w:val="2"/>
        </w:numPr>
        <w:spacing w:after="60" w:before="60"/>
      </w:pPr>
      <w:r>
        <w:rPr>
          <w:rFonts w:ascii="Arial" w:cs="Arial" w:eastAsia="Arial" w:hAnsi="Arial"/>
          <w:b w:val="false"/>
          <w:bCs w:val="false"/>
          <w:i w:val="false"/>
          <w:iCs w:val="false"/>
          <w:color w:val="4A5568"/>
          <w:sz w:val="21"/>
          <w:szCs w:val="21"/>
        </w:rPr>
        <w:t xml:space="preserve">Impact data quality: Is beneficiary data collected systematically, stored securely, and used to improve programme design?</w:t>
      </w:r>
    </w:p>
    <w:p>
      <w:pPr>
        <w:pStyle w:val="ListParagraph"/>
        <w:numPr>
          <w:ilvl w:val="0"/>
          <w:numId w:val="2"/>
        </w:numPr>
        <w:spacing w:after="60" w:before="60"/>
      </w:pPr>
      <w:r>
        <w:rPr>
          <w:rFonts w:ascii="Arial" w:cs="Arial" w:eastAsia="Arial" w:hAnsi="Arial"/>
          <w:b w:val="false"/>
          <w:bCs w:val="false"/>
          <w:i w:val="false"/>
          <w:iCs w:val="false"/>
          <w:color w:val="4A5568"/>
          <w:sz w:val="21"/>
          <w:szCs w:val="21"/>
        </w:rPr>
        <w:t xml:space="preserve">Impact communication: Can the organisation articulate its impact in plain language to funders, board, and community without jargon?</w:t>
      </w:r>
    </w:p>
    <w:p>
      <w:pPr>
        <w:pStyle w:val="ListParagraph"/>
        <w:numPr>
          <w:ilvl w:val="0"/>
          <w:numId w:val="2"/>
        </w:numPr>
        <w:spacing w:after="60" w:before="60"/>
      </w:pPr>
      <w:r>
        <w:rPr>
          <w:rFonts w:ascii="Arial" w:cs="Arial" w:eastAsia="Arial" w:hAnsi="Arial"/>
          <w:b w:val="false"/>
          <w:bCs w:val="false"/>
          <w:i w:val="false"/>
          <w:iCs w:val="false"/>
          <w:color w:val="4A5568"/>
          <w:sz w:val="21"/>
          <w:szCs w:val="21"/>
        </w:rPr>
        <w:t xml:space="preserve">Beneficiary voice: Are beneficiaries involved in programme design or evaluation?</w:t>
      </w:r>
    </w:p>
    <w:p>
      <w:pPr>
        <w:pStyle w:val="ListParagraph"/>
        <w:numPr>
          <w:ilvl w:val="0"/>
          <w:numId w:val="2"/>
        </w:numPr>
        <w:spacing w:after="60" w:before="60"/>
      </w:pPr>
      <w:r>
        <w:rPr>
          <w:rFonts w:ascii="Arial" w:cs="Arial" w:eastAsia="Arial" w:hAnsi="Arial"/>
          <w:b w:val="false"/>
          <w:bCs w:val="false"/>
          <w:i w:val="false"/>
          <w:iCs w:val="false"/>
          <w:color w:val="4A5568"/>
          <w:sz w:val="21"/>
          <w:szCs w:val="21"/>
        </w:rPr>
        <w:t xml:space="preserve">[MODE B] Māori outcomes measurement: Are Māori beneficiary outcomes tracked separately where relevant? Does the organisation understand its specific impact on Māori communities?</w:t>
      </w:r>
    </w:p>
    <w:p>
      <w:pPr>
        <w:spacing w:after="0" w:before="0"/>
      </w:pPr>
      <w:r>
        <w:t xml:space="preserve"/>
      </w:r>
    </w:p>
    <w:p>
      <w:pPr>
        <w:pStyle w:val="Heading3"/>
        <w:spacing w:after="120" w:before="260"/>
      </w:pPr>
      <w:r>
        <w:rPr>
          <w:rFonts w:ascii="Arial" w:cs="Arial" w:eastAsia="Arial" w:hAnsi="Arial"/>
          <w:b/>
          <w:bCs/>
          <w:color w:val="1C2B45"/>
          <w:sz w:val="26"/>
          <w:szCs w:val="26"/>
        </w:rPr>
        <w:t xml:space="preserve">AI Analysis Function</w:t>
      </w:r>
    </w:p>
    <w:p>
      <w:pPr>
        <w:spacing w:after="100" w:before="80"/>
      </w:pPr>
      <w:r>
        <w:rPr>
          <w:rFonts w:ascii="Arial" w:cs="Arial" w:eastAsia="Arial" w:hAnsi="Arial"/>
          <w:b w:val="false"/>
          <w:bCs w:val="false"/>
          <w:i w:val="false"/>
          <w:iCs w:val="false"/>
          <w:color w:val="4A5568"/>
          <w:sz w:val="22"/>
          <w:szCs w:val="22"/>
        </w:rPr>
        <w:t xml:space="preserve">Identifies the gap between what the NPO claims to do and what it can evidence. Compares the stated theory of change against data actually collected. Flags where outcomes are assumed rather than measured. Source attribution required on all benchmarks.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C2B45" w:val="clear"/>
            <w:tcMar>
              <w:top w:type="dxa" w:w="160"/>
              <w:left w:type="dxa" w:w="280"/>
              <w:bottom w:type="dxa" w:w="160"/>
              <w:right w:type="dxa" w:w="280"/>
            </w:tcMar>
          </w:tcPr>
          <w:p>
            <w:pPr>
              <w:spacing w:after="60" w:before="0"/>
            </w:pPr>
            <w:r>
              <w:rPr>
                <w:rFonts w:ascii="Arial" w:cs="Arial" w:eastAsia="Arial" w:hAnsi="Arial"/>
                <w:b/>
                <w:bCs/>
                <w:color w:val="D4A020"/>
                <w:sz w:val="18"/>
                <w:szCs w:val="18"/>
              </w:rPr>
              <w:t xml:space="preserve">DIMENSION 2</w:t>
            </w:r>
          </w:p>
          <w:p>
            <w:pPr>
              <w:spacing w:after="0" w:before="0"/>
            </w:pPr>
            <w:r>
              <w:rPr>
                <w:rFonts w:ascii="Arial" w:cs="Arial" w:eastAsia="Arial" w:hAnsi="Arial"/>
                <w:b/>
                <w:bCs/>
                <w:color w:val="FFFFFF"/>
                <w:sz w:val="30"/>
                <w:szCs w:val="30"/>
              </w:rPr>
              <w:t xml:space="preserve">Financial Sustainability</w:t>
            </w:r>
          </w:p>
        </w:tc>
        <w:tc>
          <w:tcPr>
            <w:tcW w:type="dxa" w:w="2160"/>
            <w:tcBorders>
              <w:top w:val="none" w:color="FFFFFF" w:sz="0"/>
              <w:left w:val="none" w:color="FFFFFF" w:sz="0"/>
              <w:bottom w:val="none" w:color="FFFFFF" w:sz="0"/>
              <w:right w:val="none" w:color="FFFFFF" w:sz="0"/>
            </w:tcBorders>
            <w:shd w:fill="0D7A7A" w:val="clear"/>
            <w:tcMar>
              <w:top w:type="dxa" w:w="160"/>
              <w:left w:type="dxa" w:w="200"/>
              <w:bottom w:type="dxa" w:w="160"/>
              <w:right w:type="dxa" w:w="200"/>
            </w:tcMar>
          </w:tcPr>
          <w:p>
            <w:pPr>
              <w:jc w:val="center"/>
            </w:pPr>
            <w:r>
              <w:rPr>
                <w:rFonts w:ascii="Arial" w:cs="Arial" w:eastAsia="Arial" w:hAnsi="Arial"/>
                <w:b/>
                <w:bCs/>
                <w:color w:val="FFFFFF"/>
                <w:sz w:val="19"/>
                <w:szCs w:val="19"/>
              </w:rPr>
              <w:t xml:space="preserve">NPO-SPECIFIC</w:t>
            </w:r>
          </w:p>
        </w:tc>
      </w:tr>
    </w:tbl>
    <w:p>
      <w:pPr>
        <w:spacing w:after="0" w:before="0"/>
      </w:pPr>
      <w:r>
        <w:t xml:space="preserve"/>
      </w:r>
    </w:p>
    <w:p>
      <w:pPr>
        <w:spacing w:after="100" w:before="80"/>
      </w:pPr>
      <w:r>
        <w:rPr>
          <w:rFonts w:ascii="Arial" w:cs="Arial" w:eastAsia="Arial" w:hAnsi="Arial"/>
          <w:b w:val="false"/>
          <w:bCs w:val="false"/>
          <w:i w:val="false"/>
          <w:iCs w:val="false"/>
          <w:color w:val="4A5568"/>
          <w:sz w:val="22"/>
          <w:szCs w:val="22"/>
        </w:rPr>
        <w:t xml:space="preserve">Financial sustainability, not financial profitability. The question is whether the funding model is viable over time and whether the organisation can absorb the loss of any single funder without closure.</w:t>
      </w:r>
    </w:p>
    <w:p>
      <w:pPr>
        <w:spacing w:after="0" w:before="0"/>
      </w:pPr>
      <w:r>
        <w:t xml:space="preserve"/>
      </w:r>
    </w:p>
    <w:p>
      <w:pPr>
        <w:pStyle w:val="Heading3"/>
        <w:spacing w:after="120" w:before="260"/>
      </w:pPr>
      <w:r>
        <w:rPr>
          <w:rFonts w:ascii="Arial" w:cs="Arial" w:eastAsia="Arial" w:hAnsi="Arial"/>
          <w:b/>
          <w:bCs/>
          <w:color w:val="1C2B45"/>
          <w:sz w:val="26"/>
          <w:szCs w:val="26"/>
        </w:rPr>
        <w:t xml:space="preserve">Assessment Criteria</w:t>
      </w:r>
    </w:p>
    <w:p>
      <w:pPr>
        <w:pStyle w:val="ListParagraph"/>
        <w:numPr>
          <w:ilvl w:val="0"/>
          <w:numId w:val="2"/>
        </w:numPr>
        <w:spacing w:after="60" w:before="60"/>
      </w:pPr>
      <w:r>
        <w:rPr>
          <w:rFonts w:ascii="Arial" w:cs="Arial" w:eastAsia="Arial" w:hAnsi="Arial"/>
          <w:b w:val="false"/>
          <w:bCs w:val="false"/>
          <w:i w:val="false"/>
          <w:iCs w:val="false"/>
          <w:color w:val="4A5568"/>
          <w:sz w:val="21"/>
          <w:szCs w:val="21"/>
        </w:rPr>
        <w:t xml:space="preserve">Revenue source mix: percentage of income from each funding stream — government contracts, DIA/Lottery, community trust grants, gaming trust grants, earned income, individual donations, membership fees, corporate grants, interest/investment income.</w:t>
      </w:r>
    </w:p>
    <w:p>
      <w:pPr>
        <w:pStyle w:val="ListParagraph"/>
        <w:numPr>
          <w:ilvl w:val="0"/>
          <w:numId w:val="2"/>
        </w:numPr>
        <w:spacing w:after="60" w:before="60"/>
      </w:pPr>
      <w:r>
        <w:rPr>
          <w:rFonts w:ascii="Arial" w:cs="Arial" w:eastAsia="Arial" w:hAnsi="Arial"/>
          <w:b w:val="false"/>
          <w:bCs w:val="false"/>
          <w:i w:val="false"/>
          <w:iCs w:val="false"/>
          <w:color w:val="4A5568"/>
          <w:sz w:val="21"/>
          <w:szCs w:val="21"/>
        </w:rPr>
        <w:t xml:space="preserve">Concentration risk: largest single funder’s share of total revenue. Critical threshold: any single source above 40% flagged as HIGH RISK.</w:t>
      </w:r>
    </w:p>
    <w:p>
      <w:pPr>
        <w:pStyle w:val="ListParagraph"/>
        <w:numPr>
          <w:ilvl w:val="0"/>
          <w:numId w:val="2"/>
        </w:numPr>
        <w:spacing w:after="60" w:before="60"/>
      </w:pPr>
      <w:r>
        <w:rPr>
          <w:rFonts w:ascii="Arial" w:cs="Arial" w:eastAsia="Arial" w:hAnsi="Arial"/>
          <w:b w:val="false"/>
          <w:bCs w:val="false"/>
          <w:i w:val="false"/>
          <w:iCs w:val="false"/>
          <w:color w:val="4A5568"/>
          <w:sz w:val="21"/>
          <w:szCs w:val="21"/>
        </w:rPr>
        <w:t xml:space="preserve">Reserves policy: written policy in place? Current? Targets a specific reserves level?</w:t>
      </w:r>
    </w:p>
    <w:p>
      <w:pPr>
        <w:pStyle w:val="ListParagraph"/>
        <w:numPr>
          <w:ilvl w:val="0"/>
          <w:numId w:val="2"/>
        </w:numPr>
        <w:spacing w:after="60" w:before="60"/>
      </w:pPr>
      <w:r>
        <w:rPr>
          <w:rFonts w:ascii="Arial" w:cs="Arial" w:eastAsia="Arial" w:hAnsi="Arial"/>
          <w:b w:val="false"/>
          <w:bCs w:val="false"/>
          <w:i w:val="false"/>
          <w:iCs w:val="false"/>
          <w:color w:val="4A5568"/>
          <w:sz w:val="21"/>
          <w:szCs w:val="21"/>
        </w:rPr>
        <w:t xml:space="preserve">Actual reserves position: current reserves expressed in months of operating expenditure.</w:t>
      </w:r>
    </w:p>
    <w:p>
      <w:pPr>
        <w:pStyle w:val="ListParagraph"/>
        <w:numPr>
          <w:ilvl w:val="0"/>
          <w:numId w:val="2"/>
        </w:numPr>
        <w:spacing w:after="60" w:before="60"/>
      </w:pPr>
      <w:r>
        <w:rPr>
          <w:rFonts w:ascii="Arial" w:cs="Arial" w:eastAsia="Arial" w:hAnsi="Arial"/>
          <w:b w:val="false"/>
          <w:bCs w:val="false"/>
          <w:i w:val="false"/>
          <w:iCs w:val="false"/>
          <w:color w:val="4A5568"/>
          <w:sz w:val="21"/>
          <w:szCs w:val="21"/>
        </w:rPr>
        <w:t xml:space="preserve">Grant renewal rates: percentage of grants renewed in the following funding period.</w:t>
      </w:r>
    </w:p>
    <w:p>
      <w:pPr>
        <w:pStyle w:val="ListParagraph"/>
        <w:numPr>
          <w:ilvl w:val="0"/>
          <w:numId w:val="2"/>
        </w:numPr>
        <w:spacing w:after="60" w:before="60"/>
      </w:pPr>
      <w:r>
        <w:rPr>
          <w:rFonts w:ascii="Arial" w:cs="Arial" w:eastAsia="Arial" w:hAnsi="Arial"/>
          <w:b w:val="false"/>
          <w:bCs w:val="false"/>
          <w:i w:val="false"/>
          <w:iCs w:val="false"/>
          <w:color w:val="4A5568"/>
          <w:sz w:val="21"/>
          <w:szCs w:val="21"/>
        </w:rPr>
        <w:t xml:space="preserve">Earned income ratio: percentage of income self-generated vs grant-dependent.</w:t>
      </w:r>
    </w:p>
    <w:p>
      <w:pPr>
        <w:pStyle w:val="ListParagraph"/>
        <w:numPr>
          <w:ilvl w:val="0"/>
          <w:numId w:val="2"/>
        </w:numPr>
        <w:spacing w:after="60" w:before="60"/>
      </w:pPr>
      <w:r>
        <w:rPr>
          <w:rFonts w:ascii="Arial" w:cs="Arial" w:eastAsia="Arial" w:hAnsi="Arial"/>
          <w:b w:val="false"/>
          <w:bCs w:val="false"/>
          <w:i w:val="false"/>
          <w:iCs w:val="false"/>
          <w:color w:val="4A5568"/>
          <w:sz w:val="21"/>
          <w:szCs w:val="21"/>
        </w:rPr>
        <w:t xml:space="preserve">XRB financial reporting standard compliance: correct tier applied for entity size (Tier 1/2/3/4).</w:t>
      </w:r>
    </w:p>
    <w:p>
      <w:pPr>
        <w:pStyle w:val="ListParagraph"/>
        <w:numPr>
          <w:ilvl w:val="0"/>
          <w:numId w:val="2"/>
        </w:numPr>
        <w:spacing w:after="60" w:before="60"/>
      </w:pPr>
      <w:r>
        <w:rPr>
          <w:rFonts w:ascii="Arial" w:cs="Arial" w:eastAsia="Arial" w:hAnsi="Arial"/>
          <w:b w:val="false"/>
          <w:bCs w:val="false"/>
          <w:i w:val="false"/>
          <w:iCs w:val="false"/>
          <w:color w:val="4A5568"/>
          <w:sz w:val="21"/>
          <w:szCs w:val="21"/>
        </w:rPr>
        <w:t xml:space="preserve">Reserves disclosure: organisations with operating expenses over $140,000 must disclose reserves information.</w:t>
      </w:r>
    </w:p>
    <w:p>
      <w:pPr>
        <w:pStyle w:val="ListParagraph"/>
        <w:numPr>
          <w:ilvl w:val="0"/>
          <w:numId w:val="2"/>
        </w:numPr>
        <w:spacing w:after="60" w:before="60"/>
      </w:pPr>
      <w:r>
        <w:rPr>
          <w:rFonts w:ascii="Arial" w:cs="Arial" w:eastAsia="Arial" w:hAnsi="Arial"/>
          <w:b w:val="false"/>
          <w:bCs w:val="false"/>
          <w:i w:val="false"/>
          <w:iCs w:val="false"/>
          <w:color w:val="4A5568"/>
          <w:sz w:val="21"/>
          <w:szCs w:val="21"/>
        </w:rPr>
        <w:t xml:space="preserve">[MODE B] Iwi and Māori funder relationships included in funding strategy.</w:t>
      </w:r>
    </w:p>
    <w:p>
      <w:pPr>
        <w:spacing w:after="0" w:before="0"/>
      </w:pPr>
      <w:r>
        <w:t xml:space="preserve"/>
      </w:r>
    </w:p>
    <w:p>
      <w:pPr>
        <w:pBdr>
          <w:left w:val="single" w:color="B8860B" w:sz="14" w:space="8"/>
        </w:pBdr>
        <w:spacing w:after="100" w:before="100"/>
        <w:ind w:left="360"/>
      </w:pPr>
      <w:r>
        <w:rPr>
          <w:rFonts w:ascii="Arial" w:cs="Arial" w:eastAsia="Arial" w:hAnsi="Arial"/>
          <w:b w:val="false"/>
          <w:bCs w:val="false"/>
          <w:i/>
          <w:iCs/>
          <w:color w:val="8B6C42"/>
          <w:sz w:val="20"/>
          <w:szCs w:val="20"/>
        </w:rPr>
        <w:t xml:space="preserve">The Funding Risk Value calculation (Section 5.2) lives in this dimension and is shown prominently in the NPO Advisor Report.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C2B45" w:val="clear"/>
            <w:tcMar>
              <w:top w:type="dxa" w:w="160"/>
              <w:left w:type="dxa" w:w="280"/>
              <w:bottom w:type="dxa" w:w="160"/>
              <w:right w:type="dxa" w:w="280"/>
            </w:tcMar>
          </w:tcPr>
          <w:p>
            <w:pPr>
              <w:spacing w:after="60" w:before="0"/>
            </w:pPr>
            <w:r>
              <w:rPr>
                <w:rFonts w:ascii="Arial" w:cs="Arial" w:eastAsia="Arial" w:hAnsi="Arial"/>
                <w:b/>
                <w:bCs/>
                <w:color w:val="D4A020"/>
                <w:sz w:val="18"/>
                <w:szCs w:val="18"/>
              </w:rPr>
              <w:t xml:space="preserve">DIMENSION 3</w:t>
            </w:r>
          </w:p>
          <w:p>
            <w:pPr>
              <w:spacing w:after="0" w:before="0"/>
            </w:pPr>
            <w:r>
              <w:rPr>
                <w:rFonts w:ascii="Arial" w:cs="Arial" w:eastAsia="Arial" w:hAnsi="Arial"/>
                <w:b/>
                <w:bCs/>
                <w:color w:val="FFFFFF"/>
                <w:sz w:val="30"/>
                <w:szCs w:val="30"/>
              </w:rPr>
              <w:t xml:space="preserve">Governance &amp; Leadership</w:t>
            </w:r>
          </w:p>
        </w:tc>
        <w:tc>
          <w:tcPr>
            <w:tcW w:type="dxa" w:w="2160"/>
            <w:tcBorders>
              <w:top w:val="none" w:color="FFFFFF" w:sz="0"/>
              <w:left w:val="none" w:color="FFFFFF" w:sz="0"/>
              <w:bottom w:val="none" w:color="FFFFFF" w:sz="0"/>
              <w:right w:val="none" w:color="FFFFFF" w:sz="0"/>
            </w:tcBorders>
            <w:shd w:fill="0D7A7A" w:val="clear"/>
            <w:tcMar>
              <w:top w:type="dxa" w:w="160"/>
              <w:left w:type="dxa" w:w="200"/>
              <w:bottom w:type="dxa" w:w="160"/>
              <w:right w:type="dxa" w:w="200"/>
            </w:tcMar>
          </w:tcPr>
          <w:p>
            <w:pPr>
              <w:jc w:val="center"/>
            </w:pPr>
            <w:r>
              <w:rPr>
                <w:rFonts w:ascii="Arial" w:cs="Arial" w:eastAsia="Arial" w:hAnsi="Arial"/>
                <w:b/>
                <w:bCs/>
                <w:color w:val="FFFFFF"/>
                <w:sz w:val="19"/>
                <w:szCs w:val="19"/>
              </w:rPr>
              <w:t xml:space="preserve">HIGHEST WEIGHT</w:t>
            </w:r>
          </w:p>
        </w:tc>
      </w:tr>
    </w:tbl>
    <w:p>
      <w:pPr>
        <w:spacing w:after="0" w:before="0"/>
      </w:pPr>
      <w:r>
        <w:t xml:space="preserve"/>
      </w:r>
    </w:p>
    <w:p>
      <w:pPr>
        <w:spacing w:after="100" w:before="80"/>
      </w:pPr>
      <w:r>
        <w:rPr>
          <w:rFonts w:ascii="Arial" w:cs="Arial" w:eastAsia="Arial" w:hAnsi="Arial"/>
          <w:b w:val="false"/>
          <w:bCs w:val="false"/>
          <w:i w:val="false"/>
          <w:iCs w:val="false"/>
          <w:color w:val="4A5568"/>
          <w:sz w:val="22"/>
          <w:szCs w:val="22"/>
        </w:rPr>
        <w:t xml:space="preserve">Carries more weight in NPO advisory than any equivalent SME dimension. Boards are typically volunteer-based, skills gaps are common, and the regulatory environment became significantly more demanding between 2022 and 2024.</w:t>
      </w:r>
    </w:p>
    <w:p>
      <w:pPr>
        <w:spacing w:after="0" w:before="0"/>
      </w:pPr>
      <w:r>
        <w:t xml:space="preserve"/>
      </w:r>
    </w:p>
    <w:p>
      <w:pPr>
        <w:pStyle w:val="Heading3"/>
        <w:spacing w:after="120" w:before="260"/>
      </w:pPr>
      <w:r>
        <w:rPr>
          <w:rFonts w:ascii="Arial" w:cs="Arial" w:eastAsia="Arial" w:hAnsi="Arial"/>
          <w:b/>
          <w:bCs/>
          <w:color w:val="1C2B45"/>
          <w:sz w:val="26"/>
          <w:szCs w:val="26"/>
        </w:rPr>
        <w:t xml:space="preserve">Assessment Criteria</w:t>
      </w:r>
    </w:p>
    <w:p>
      <w:pPr>
        <w:pStyle w:val="ListParagraph"/>
        <w:numPr>
          <w:ilvl w:val="0"/>
          <w:numId w:val="2"/>
        </w:numPr>
        <w:spacing w:after="60" w:before="60"/>
      </w:pPr>
      <w:r>
        <w:rPr>
          <w:rFonts w:ascii="Arial" w:cs="Arial" w:eastAsia="Arial" w:hAnsi="Arial"/>
          <w:b w:val="false"/>
          <w:bCs w:val="false"/>
          <w:i w:val="false"/>
          <w:iCs w:val="false"/>
          <w:color w:val="4A5568"/>
          <w:sz w:val="21"/>
          <w:szCs w:val="21"/>
        </w:rPr>
        <w:t xml:space="preserve">Board composition: total members, tenure, diversity across skills, experience, gender, age, ethnicity.</w:t>
      </w:r>
    </w:p>
    <w:p>
      <w:pPr>
        <w:pStyle w:val="ListParagraph"/>
        <w:numPr>
          <w:ilvl w:val="0"/>
          <w:numId w:val="2"/>
        </w:numPr>
        <w:spacing w:after="60" w:before="60"/>
      </w:pPr>
      <w:r>
        <w:rPr>
          <w:rFonts w:ascii="Arial" w:cs="Arial" w:eastAsia="Arial" w:hAnsi="Arial"/>
          <w:b w:val="false"/>
          <w:bCs w:val="false"/>
          <w:i w:val="false"/>
          <w:iCs w:val="false"/>
          <w:color w:val="4A5568"/>
          <w:sz w:val="21"/>
          <w:szCs w:val="21"/>
        </w:rPr>
        <w:t xml:space="preserve">Skills matrix: does the board collectively have the skills it needs? Typical gaps: financial literacy, legal/compliance, strategic planning, fundraising, technology.</w:t>
      </w:r>
    </w:p>
    <w:p>
      <w:pPr>
        <w:pStyle w:val="ListParagraph"/>
        <w:numPr>
          <w:ilvl w:val="0"/>
          <w:numId w:val="2"/>
        </w:numPr>
        <w:spacing w:after="60" w:before="60"/>
      </w:pPr>
      <w:r>
        <w:rPr>
          <w:rFonts w:ascii="Arial" w:cs="Arial" w:eastAsia="Arial" w:hAnsi="Arial"/>
          <w:b w:val="false"/>
          <w:bCs w:val="false"/>
          <w:i w:val="false"/>
          <w:iCs w:val="false"/>
          <w:color w:val="4A5568"/>
          <w:sz w:val="21"/>
          <w:szCs w:val="21"/>
        </w:rPr>
        <w:t xml:space="preserve">Board-CEO/Executive Director relationship: governance/management boundary clearly defined and respected.</w:t>
      </w:r>
    </w:p>
    <w:p>
      <w:pPr>
        <w:pStyle w:val="ListParagraph"/>
        <w:numPr>
          <w:ilvl w:val="0"/>
          <w:numId w:val="2"/>
        </w:numPr>
        <w:spacing w:after="60" w:before="60"/>
      </w:pPr>
      <w:r>
        <w:rPr>
          <w:rFonts w:ascii="Arial" w:cs="Arial" w:eastAsia="Arial" w:hAnsi="Arial"/>
          <w:b w:val="false"/>
          <w:bCs w:val="false"/>
          <w:i w:val="false"/>
          <w:iCs w:val="false"/>
          <w:color w:val="4A5568"/>
          <w:sz w:val="21"/>
          <w:szCs w:val="21"/>
        </w:rPr>
        <w:t xml:space="preserve">Conflict of interest: register maintained, current, understood by all board members.</w:t>
      </w:r>
    </w:p>
    <w:p>
      <w:pPr>
        <w:pStyle w:val="ListParagraph"/>
        <w:numPr>
          <w:ilvl w:val="0"/>
          <w:numId w:val="2"/>
        </w:numPr>
        <w:spacing w:after="60" w:before="60"/>
      </w:pPr>
      <w:r>
        <w:rPr>
          <w:rFonts w:ascii="Arial" w:cs="Arial" w:eastAsia="Arial" w:hAnsi="Arial"/>
          <w:b w:val="false"/>
          <w:bCs w:val="false"/>
          <w:i w:val="false"/>
          <w:iCs w:val="false"/>
          <w:color w:val="4A5568"/>
          <w:sz w:val="21"/>
          <w:szCs w:val="21"/>
        </w:rPr>
        <w:t xml:space="preserve">Board succession: term limits, pipeline of future board members, replacement plan.</w:t>
      </w:r>
    </w:p>
    <w:p>
      <w:pPr>
        <w:pStyle w:val="ListParagraph"/>
        <w:numPr>
          <w:ilvl w:val="0"/>
          <w:numId w:val="2"/>
        </w:numPr>
        <w:spacing w:after="60" w:before="60"/>
      </w:pPr>
      <w:r>
        <w:rPr>
          <w:rFonts w:ascii="Arial" w:cs="Arial" w:eastAsia="Arial" w:hAnsi="Arial"/>
          <w:b w:val="false"/>
          <w:bCs w:val="false"/>
          <w:i w:val="false"/>
          <w:iCs w:val="false"/>
          <w:color w:val="4A5568"/>
          <w:sz w:val="21"/>
          <w:szCs w:val="21"/>
        </w:rPr>
        <w:t xml:space="preserve">Executive succession: plan for CEO/Executive Director departure. Key-person dependency managed.</w:t>
      </w:r>
    </w:p>
    <w:p>
      <w:pPr>
        <w:pStyle w:val="ListParagraph"/>
        <w:numPr>
          <w:ilvl w:val="0"/>
          <w:numId w:val="2"/>
        </w:numPr>
        <w:spacing w:after="60" w:before="60"/>
      </w:pPr>
      <w:r>
        <w:rPr>
          <w:rFonts w:ascii="Arial" w:cs="Arial" w:eastAsia="Arial" w:hAnsi="Arial"/>
          <w:b w:val="false"/>
          <w:bCs w:val="false"/>
          <w:i w:val="false"/>
          <w:iCs w:val="false"/>
          <w:color w:val="4A5568"/>
          <w:sz w:val="21"/>
          <w:szCs w:val="21"/>
        </w:rPr>
        <w:t xml:space="preserve">Board induction and development: formal induction, ongoing governance education.</w:t>
      </w:r>
    </w:p>
    <w:p>
      <w:pPr>
        <w:pStyle w:val="ListParagraph"/>
        <w:numPr>
          <w:ilvl w:val="0"/>
          <w:numId w:val="2"/>
        </w:numPr>
        <w:spacing w:after="60" w:before="60"/>
      </w:pPr>
      <w:r>
        <w:rPr>
          <w:rFonts w:ascii="Arial" w:cs="Arial" w:eastAsia="Arial" w:hAnsi="Arial"/>
          <w:b w:val="false"/>
          <w:bCs w:val="false"/>
          <w:i w:val="false"/>
          <w:iCs w:val="false"/>
          <w:color w:val="4A5568"/>
          <w:sz w:val="21"/>
          <w:szCs w:val="21"/>
        </w:rPr>
        <w:t xml:space="preserve">Three-year governance review (s.42G Charities Act 2005): completed? Next review date tracked?</w:t>
      </w:r>
    </w:p>
    <w:p>
      <w:pPr>
        <w:pStyle w:val="ListParagraph"/>
        <w:numPr>
          <w:ilvl w:val="0"/>
          <w:numId w:val="2"/>
        </w:numPr>
        <w:spacing w:after="60" w:before="60"/>
      </w:pPr>
      <w:r>
        <w:rPr>
          <w:rFonts w:ascii="Arial" w:cs="Arial" w:eastAsia="Arial" w:hAnsi="Arial"/>
          <w:b w:val="false"/>
          <w:bCs w:val="false"/>
          <w:i w:val="false"/>
          <w:iCs w:val="false"/>
          <w:color w:val="4A5568"/>
          <w:sz w:val="21"/>
          <w:szCs w:val="21"/>
        </w:rPr>
        <w:t xml:space="preserve">Constitution currency: updated for ISA 2022 (incorporated societies) or Charities Amendment Act 2023 (registered charities)?</w:t>
      </w:r>
    </w:p>
    <w:p>
      <w:pPr>
        <w:pStyle w:val="ListParagraph"/>
        <w:numPr>
          <w:ilvl w:val="0"/>
          <w:numId w:val="2"/>
        </w:numPr>
        <w:spacing w:after="60" w:before="60"/>
      </w:pPr>
      <w:r>
        <w:rPr>
          <w:rFonts w:ascii="Arial" w:cs="Arial" w:eastAsia="Arial" w:hAnsi="Arial"/>
          <w:b w:val="false"/>
          <w:bCs w:val="false"/>
          <w:i w:val="false"/>
          <w:iCs w:val="false"/>
          <w:color w:val="4A5568"/>
          <w:sz w:val="21"/>
          <w:szCs w:val="21"/>
        </w:rPr>
        <w:t xml:space="preserve">[MODE B] Māori board representation commensurate with communities served. Cultural competency of board members.</w:t>
      </w:r>
    </w:p>
    <w:p>
      <w:pPr>
        <w:spacing w:after="0" w:before="0"/>
      </w:pPr>
      <w:r>
        <w:t xml:space="preserve"/>
      </w:r>
    </w:p>
    <w:p>
      <w:pPr>
        <w:pBdr>
          <w:left w:val="single" w:color="B8860B" w:sz="14" w:space="8"/>
        </w:pBdr>
        <w:spacing w:after="100" w:before="100"/>
        <w:ind w:left="360"/>
      </w:pPr>
      <w:r>
        <w:rPr>
          <w:rFonts w:ascii="Arial" w:cs="Arial" w:eastAsia="Arial" w:hAnsi="Arial"/>
          <w:b w:val="false"/>
          <w:bCs w:val="false"/>
          <w:i/>
          <w:iCs/>
          <w:color w:val="8B6C42"/>
          <w:sz w:val="20"/>
          <w:szCs w:val="20"/>
        </w:rPr>
        <w:t xml:space="preserve">Governance Review Engagement: When a Governance Review client converts to full NPO Advisory, all governance review findings are automatically pre-populated into this dimension. The advisor builds on existing work rather than repeating it.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C2B45" w:val="clear"/>
            <w:tcMar>
              <w:top w:type="dxa" w:w="160"/>
              <w:left w:type="dxa" w:w="280"/>
              <w:bottom w:type="dxa" w:w="160"/>
              <w:right w:type="dxa" w:w="280"/>
            </w:tcMar>
          </w:tcPr>
          <w:p>
            <w:pPr>
              <w:spacing w:after="60" w:before="0"/>
            </w:pPr>
            <w:r>
              <w:rPr>
                <w:rFonts w:ascii="Arial" w:cs="Arial" w:eastAsia="Arial" w:hAnsi="Arial"/>
                <w:b/>
                <w:bCs/>
                <w:color w:val="D4A020"/>
                <w:sz w:val="18"/>
                <w:szCs w:val="18"/>
              </w:rPr>
              <w:t xml:space="preserve">DIMENSION 4</w:t>
            </w:r>
          </w:p>
          <w:p>
            <w:pPr>
              <w:spacing w:after="0" w:before="0"/>
            </w:pPr>
            <w:r>
              <w:rPr>
                <w:rFonts w:ascii="Arial" w:cs="Arial" w:eastAsia="Arial" w:hAnsi="Arial"/>
                <w:b/>
                <w:bCs/>
                <w:color w:val="FFFFFF"/>
                <w:sz w:val="30"/>
                <w:szCs w:val="30"/>
              </w:rPr>
              <w:t xml:space="preserve">Operational Effectiveness</w:t>
            </w:r>
          </w:p>
        </w:tc>
        <w:tc>
          <w:tcPr>
            <w:tcW w:type="dxa" w:w="2160"/>
            <w:tcBorders>
              <w:top w:val="none" w:color="FFFFFF" w:sz="0"/>
              <w:left w:val="none" w:color="FFFFFF" w:sz="0"/>
              <w:bottom w:val="none" w:color="FFFFFF" w:sz="0"/>
              <w:right w:val="none" w:color="FFFFFF" w:sz="0"/>
            </w:tcBorders>
            <w:shd w:fill="0D7A7A" w:val="clear"/>
            <w:tcMar>
              <w:top w:type="dxa" w:w="160"/>
              <w:left w:type="dxa" w:w="200"/>
              <w:bottom w:type="dxa" w:w="160"/>
              <w:right w:type="dxa" w:w="200"/>
            </w:tcMar>
          </w:tcPr>
          <w:p>
            <w:pPr>
              <w:jc w:val="center"/>
            </w:pPr>
            <w:r>
              <w:rPr>
                <w:rFonts w:ascii="Arial" w:cs="Arial" w:eastAsia="Arial" w:hAnsi="Arial"/>
                <w:b/>
                <w:bCs/>
                <w:color w:val="FFFFFF"/>
                <w:sz w:val="19"/>
                <w:szCs w:val="19"/>
              </w:rPr>
              <w:t xml:space="preserve">STANDARD</w:t>
            </w:r>
          </w:p>
        </w:tc>
      </w:tr>
    </w:tbl>
    <w:p>
      <w:pPr>
        <w:spacing w:after="0" w:before="0"/>
      </w:pPr>
      <w:r>
        <w:t xml:space="preserve"/>
      </w:r>
    </w:p>
    <w:p>
      <w:pPr>
        <w:spacing w:after="100" w:before="80"/>
      </w:pPr>
      <w:r>
        <w:rPr>
          <w:rFonts w:ascii="Arial" w:cs="Arial" w:eastAsia="Arial" w:hAnsi="Arial"/>
          <w:b w:val="false"/>
          <w:bCs w:val="false"/>
          <w:i w:val="false"/>
          <w:iCs w:val="false"/>
          <w:color w:val="4A5568"/>
          <w:sz w:val="22"/>
          <w:szCs w:val="22"/>
        </w:rPr>
        <w:t xml:space="preserve">Assesses whether the organisation can deliver its programmes efficiently, consistently, and with appropriate quality controls.</w:t>
      </w:r>
    </w:p>
    <w:p>
      <w:pPr>
        <w:spacing w:after="0" w:before="0"/>
      </w:pPr>
      <w:r>
        <w:t xml:space="preserve"/>
      </w:r>
    </w:p>
    <w:p>
      <w:pPr>
        <w:pStyle w:val="Heading3"/>
        <w:spacing w:after="120" w:before="260"/>
      </w:pPr>
      <w:r>
        <w:rPr>
          <w:rFonts w:ascii="Arial" w:cs="Arial" w:eastAsia="Arial" w:hAnsi="Arial"/>
          <w:b/>
          <w:bCs/>
          <w:color w:val="1C2B45"/>
          <w:sz w:val="26"/>
          <w:szCs w:val="26"/>
        </w:rPr>
        <w:t xml:space="preserve">Assessment Criteria</w:t>
      </w:r>
    </w:p>
    <w:p>
      <w:pPr>
        <w:pStyle w:val="ListParagraph"/>
        <w:numPr>
          <w:ilvl w:val="0"/>
          <w:numId w:val="2"/>
        </w:numPr>
        <w:spacing w:after="60" w:before="60"/>
      </w:pPr>
      <w:r>
        <w:rPr>
          <w:rFonts w:ascii="Arial" w:cs="Arial" w:eastAsia="Arial" w:hAnsi="Arial"/>
          <w:b w:val="false"/>
          <w:bCs w:val="false"/>
          <w:i w:val="false"/>
          <w:iCs w:val="false"/>
          <w:color w:val="4A5568"/>
          <w:sz w:val="21"/>
          <w:szCs w:val="21"/>
        </w:rPr>
        <w:t xml:space="preserve">Programme delivery efficiency and service quality indicators. Defined standards measured and used for improvement.</w:t>
      </w:r>
    </w:p>
    <w:p>
      <w:pPr>
        <w:pStyle w:val="ListParagraph"/>
        <w:numPr>
          <w:ilvl w:val="0"/>
          <w:numId w:val="2"/>
        </w:numPr>
        <w:spacing w:after="60" w:before="60"/>
      </w:pPr>
      <w:r>
        <w:rPr>
          <w:rFonts w:ascii="Arial" w:cs="Arial" w:eastAsia="Arial" w:hAnsi="Arial"/>
          <w:b w:val="false"/>
          <w:bCs w:val="false"/>
          <w:i w:val="false"/>
          <w:iCs w:val="false"/>
          <w:color w:val="4A5568"/>
          <w:sz w:val="21"/>
          <w:szCs w:val="21"/>
        </w:rPr>
        <w:t xml:space="preserve">Overhead ratio: presented in context. Platform shows what the organisation achieves for its overhead investment, not the ratio in isolation.</w:t>
      </w:r>
    </w:p>
    <w:p>
      <w:pPr>
        <w:pStyle w:val="ListParagraph"/>
        <w:numPr>
          <w:ilvl w:val="0"/>
          <w:numId w:val="2"/>
        </w:numPr>
        <w:spacing w:after="60" w:before="60"/>
      </w:pPr>
      <w:r>
        <w:rPr>
          <w:rFonts w:ascii="Arial" w:cs="Arial" w:eastAsia="Arial" w:hAnsi="Arial"/>
          <w:b w:val="false"/>
          <w:bCs w:val="false"/>
          <w:i w:val="false"/>
          <w:iCs w:val="false"/>
          <w:color w:val="4A5568"/>
          <w:sz w:val="21"/>
          <w:szCs w:val="21"/>
        </w:rPr>
        <w:t xml:space="preserve">Systems and process documentation. Volunteer management systems. Technology and digital capability.</w:t>
      </w:r>
    </w:p>
    <w:p>
      <w:pPr>
        <w:pStyle w:val="ListParagraph"/>
        <w:numPr>
          <w:ilvl w:val="0"/>
          <w:numId w:val="2"/>
        </w:numPr>
        <w:spacing w:after="60" w:before="60"/>
      </w:pPr>
      <w:r>
        <w:rPr>
          <w:rFonts w:ascii="Arial" w:cs="Arial" w:eastAsia="Arial" w:hAnsi="Arial"/>
          <w:b w:val="false"/>
          <w:bCs w:val="false"/>
          <w:i w:val="false"/>
          <w:iCs w:val="false"/>
          <w:color w:val="4A5568"/>
          <w:sz w:val="21"/>
          <w:szCs w:val="21"/>
        </w:rPr>
        <w:t xml:space="preserve">Operational risk management. Health and Safety at Work Act 2015 compliance.</w:t>
      </w:r>
    </w:p>
    <w:p>
      <w:pPr>
        <w:spacing w:after="0" w:before="0"/>
      </w:pPr>
      <w:r>
        <w:t xml:space="preserve"/>
      </w:r>
    </w:p>
    <w:p>
      <w:pPr>
        <w:pBdr>
          <w:left w:val="single" w:color="B8860B" w:sz="14" w:space="8"/>
        </w:pBdr>
        <w:spacing w:after="100" w:before="100"/>
        <w:ind w:left="360"/>
      </w:pPr>
      <w:r>
        <w:rPr>
          <w:rFonts w:ascii="Arial" w:cs="Arial" w:eastAsia="Arial" w:hAnsi="Arial"/>
          <w:b w:val="false"/>
          <w:bCs w:val="false"/>
          <w:i/>
          <w:iCs/>
          <w:color w:val="8B6C42"/>
          <w:sz w:val="20"/>
          <w:szCs w:val="20"/>
        </w:rPr>
        <w:t xml:space="preserve">The Cost Per Beneficiary calculation (Section 5.1) lives in this dimension. Improvements to operational effectiveness are quantified as cost-per-beneficiary reductions.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C2B45" w:val="clear"/>
            <w:tcMar>
              <w:top w:type="dxa" w:w="160"/>
              <w:left w:type="dxa" w:w="280"/>
              <w:bottom w:type="dxa" w:w="160"/>
              <w:right w:type="dxa" w:w="280"/>
            </w:tcMar>
          </w:tcPr>
          <w:p>
            <w:pPr>
              <w:spacing w:after="60" w:before="0"/>
            </w:pPr>
            <w:r>
              <w:rPr>
                <w:rFonts w:ascii="Arial" w:cs="Arial" w:eastAsia="Arial" w:hAnsi="Arial"/>
                <w:b/>
                <w:bCs/>
                <w:color w:val="D4A020"/>
                <w:sz w:val="18"/>
                <w:szCs w:val="18"/>
              </w:rPr>
              <w:t xml:space="preserve">DIMENSION 5</w:t>
            </w:r>
          </w:p>
          <w:p>
            <w:pPr>
              <w:spacing w:after="0" w:before="0"/>
            </w:pPr>
            <w:r>
              <w:rPr>
                <w:rFonts w:ascii="Arial" w:cs="Arial" w:eastAsia="Arial" w:hAnsi="Arial"/>
                <w:b/>
                <w:bCs/>
                <w:color w:val="FFFFFF"/>
                <w:sz w:val="30"/>
                <w:szCs w:val="30"/>
              </w:rPr>
              <w:t xml:space="preserve">People &amp; Volunteer Capability</w:t>
            </w:r>
          </w:p>
        </w:tc>
        <w:tc>
          <w:tcPr>
            <w:tcW w:type="dxa" w:w="2160"/>
            <w:tcBorders>
              <w:top w:val="none" w:color="FFFFFF" w:sz="0"/>
              <w:left w:val="none" w:color="FFFFFF" w:sz="0"/>
              <w:bottom w:val="none" w:color="FFFFFF" w:sz="0"/>
              <w:right w:val="none" w:color="FFFFFF" w:sz="0"/>
            </w:tcBorders>
            <w:shd w:fill="0D7A7A" w:val="clear"/>
            <w:tcMar>
              <w:top w:type="dxa" w:w="160"/>
              <w:left w:type="dxa" w:w="200"/>
              <w:bottom w:type="dxa" w:w="160"/>
              <w:right w:type="dxa" w:w="200"/>
            </w:tcMar>
          </w:tcPr>
          <w:p>
            <w:pPr>
              <w:jc w:val="center"/>
            </w:pPr>
            <w:r>
              <w:rPr>
                <w:rFonts w:ascii="Arial" w:cs="Arial" w:eastAsia="Arial" w:hAnsi="Arial"/>
                <w:b/>
                <w:bCs/>
                <w:color w:val="FFFFFF"/>
                <w:sz w:val="19"/>
                <w:szCs w:val="19"/>
              </w:rPr>
              <w:t xml:space="preserve">ADAPTED</w:t>
            </w:r>
          </w:p>
        </w:tc>
      </w:tr>
    </w:tbl>
    <w:p>
      <w:pPr>
        <w:spacing w:after="0" w:before="0"/>
      </w:pPr>
      <w:r>
        <w:t xml:space="preserve"/>
      </w:r>
    </w:p>
    <w:p>
      <w:pPr>
        <w:spacing w:after="100" w:before="80"/>
      </w:pPr>
      <w:r>
        <w:rPr>
          <w:rFonts w:ascii="Arial" w:cs="Arial" w:eastAsia="Arial" w:hAnsi="Arial"/>
          <w:b w:val="false"/>
          <w:bCs w:val="false"/>
          <w:i w:val="false"/>
          <w:iCs w:val="false"/>
          <w:color w:val="4A5568"/>
          <w:sz w:val="22"/>
          <w:szCs w:val="22"/>
        </w:rPr>
        <w:t xml:space="preserve">Unique to NPO advisory. Volunteers are often the primary delivery workforce. Paid staff employment compliance carries the same risk profile as in SME advisory, including historic Holidays Act liability.</w:t>
      </w:r>
    </w:p>
    <w:p>
      <w:pPr>
        <w:spacing w:after="0" w:before="0"/>
      </w:pPr>
      <w:r>
        <w:t xml:space="preserve"/>
      </w:r>
    </w:p>
    <w:p>
      <w:pPr>
        <w:pStyle w:val="Heading3"/>
        <w:spacing w:after="120" w:before="260"/>
      </w:pPr>
      <w:r>
        <w:rPr>
          <w:rFonts w:ascii="Arial" w:cs="Arial" w:eastAsia="Arial" w:hAnsi="Arial"/>
          <w:b/>
          <w:bCs/>
          <w:color w:val="1C2B45"/>
          <w:sz w:val="26"/>
          <w:szCs w:val="26"/>
        </w:rPr>
        <w:t xml:space="preserve">Assessment Criteria</w:t>
      </w:r>
    </w:p>
    <w:p>
      <w:pPr>
        <w:pStyle w:val="ListParagraph"/>
        <w:numPr>
          <w:ilvl w:val="0"/>
          <w:numId w:val="2"/>
        </w:numPr>
        <w:spacing w:after="60" w:before="60"/>
      </w:pPr>
      <w:r>
        <w:rPr>
          <w:rFonts w:ascii="Arial" w:cs="Arial" w:eastAsia="Arial" w:hAnsi="Arial"/>
          <w:b w:val="false"/>
          <w:bCs w:val="false"/>
          <w:i w:val="false"/>
          <w:iCs w:val="false"/>
          <w:color w:val="4A5568"/>
          <w:sz w:val="21"/>
          <w:szCs w:val="21"/>
        </w:rPr>
        <w:t xml:space="preserve">Paid staff structure, role clarity, employment compliance: employment agreements current, minimum wage compliant, Holidays Act compliance (historic liability check — same analysis as the SME DD module).</w:t>
      </w:r>
    </w:p>
    <w:p>
      <w:pPr>
        <w:pStyle w:val="ListParagraph"/>
        <w:numPr>
          <w:ilvl w:val="0"/>
          <w:numId w:val="2"/>
        </w:numPr>
        <w:spacing w:after="60" w:before="60"/>
      </w:pPr>
      <w:r>
        <w:rPr>
          <w:rFonts w:ascii="Arial" w:cs="Arial" w:eastAsia="Arial" w:hAnsi="Arial"/>
          <w:b w:val="false"/>
          <w:bCs w:val="false"/>
          <w:i w:val="false"/>
          <w:iCs w:val="false"/>
          <w:color w:val="4A5568"/>
          <w:sz w:val="21"/>
          <w:szCs w:val="21"/>
        </w:rPr>
        <w:t xml:space="preserve">Volunteer workforce: numbers, roles, recruitment and retention systems, turnover rate.</w:t>
      </w:r>
    </w:p>
    <w:p>
      <w:pPr>
        <w:pStyle w:val="ListParagraph"/>
        <w:numPr>
          <w:ilvl w:val="0"/>
          <w:numId w:val="2"/>
        </w:numPr>
        <w:spacing w:after="60" w:before="60"/>
      </w:pPr>
      <w:r>
        <w:rPr>
          <w:rFonts w:ascii="Arial" w:cs="Arial" w:eastAsia="Arial" w:hAnsi="Arial"/>
          <w:b w:val="false"/>
          <w:bCs w:val="false"/>
          <w:i w:val="false"/>
          <w:iCs w:val="false"/>
          <w:color w:val="4A5568"/>
          <w:sz w:val="21"/>
          <w:szCs w:val="21"/>
        </w:rPr>
        <w:t xml:space="preserve">Staff and volunteer wellbeing. Burnout risk assessment in current operating model.</w:t>
      </w:r>
    </w:p>
    <w:p>
      <w:pPr>
        <w:pStyle w:val="ListParagraph"/>
        <w:numPr>
          <w:ilvl w:val="0"/>
          <w:numId w:val="2"/>
        </w:numPr>
        <w:spacing w:after="60" w:before="60"/>
      </w:pPr>
      <w:r>
        <w:rPr>
          <w:rFonts w:ascii="Arial" w:cs="Arial" w:eastAsia="Arial" w:hAnsi="Arial"/>
          <w:b w:val="false"/>
          <w:bCs w:val="false"/>
          <w:i w:val="false"/>
          <w:iCs w:val="false"/>
          <w:color w:val="4A5568"/>
          <w:sz w:val="21"/>
          <w:szCs w:val="21"/>
        </w:rPr>
        <w:t xml:space="preserve">Skills development investment. HR policy currency. Key person dependency.</w:t>
      </w:r>
    </w:p>
    <w:p>
      <w:pPr>
        <w:pStyle w:val="ListParagraph"/>
        <w:numPr>
          <w:ilvl w:val="0"/>
          <w:numId w:val="2"/>
        </w:numPr>
        <w:spacing w:after="60" w:before="60"/>
      </w:pPr>
      <w:r>
        <w:rPr>
          <w:rFonts w:ascii="Arial" w:cs="Arial" w:eastAsia="Arial" w:hAnsi="Arial"/>
          <w:b w:val="false"/>
          <w:bCs w:val="false"/>
          <w:i w:val="false"/>
          <w:iCs w:val="false"/>
          <w:color w:val="4A5568"/>
          <w:sz w:val="21"/>
          <w:szCs w:val="21"/>
        </w:rPr>
        <w:t xml:space="preserve">[MODE B] Cultural competency: do staff and volunteers have the cultural competency needed to serve the communities they work with?</w:t>
      </w:r>
    </w:p>
    <w:p>
      <w:pPr>
        <w:spacing w:after="0" w:before="0"/>
      </w:pPr>
      <w:r>
        <w:t xml:space="preserve"/>
      </w:r>
    </w:p>
    <w:p>
      <w:pPr>
        <w:pBdr>
          <w:left w:val="single" w:color="B8860B" w:sz="14" w:space="8"/>
        </w:pBdr>
        <w:spacing w:after="100" w:before="100"/>
        <w:ind w:left="360"/>
      </w:pPr>
      <w:r>
        <w:rPr>
          <w:rFonts w:ascii="Arial" w:cs="Arial" w:eastAsia="Arial" w:hAnsi="Arial"/>
          <w:b w:val="false"/>
          <w:bCs w:val="false"/>
          <w:i/>
          <w:iCs/>
          <w:color w:val="8B6C42"/>
          <w:sz w:val="20"/>
          <w:szCs w:val="20"/>
        </w:rPr>
        <w:t xml:space="preserve">The Holidays Act compliance checker is reused from the SME analysis engine. Any NPO with paid staff receives this check as standard. Many NZ NPOs carry historic Holidays Act liability they are unaware of.</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C2B45" w:val="clear"/>
            <w:tcMar>
              <w:top w:type="dxa" w:w="160"/>
              <w:left w:type="dxa" w:w="280"/>
              <w:bottom w:type="dxa" w:w="160"/>
              <w:right w:type="dxa" w:w="280"/>
            </w:tcMar>
          </w:tcPr>
          <w:p>
            <w:pPr>
              <w:spacing w:after="60" w:before="0"/>
            </w:pPr>
            <w:r>
              <w:rPr>
                <w:rFonts w:ascii="Arial" w:cs="Arial" w:eastAsia="Arial" w:hAnsi="Arial"/>
                <w:b/>
                <w:bCs/>
                <w:color w:val="D4A020"/>
                <w:sz w:val="18"/>
                <w:szCs w:val="18"/>
              </w:rPr>
              <w:t xml:space="preserve">DIMENSION 6</w:t>
            </w:r>
          </w:p>
          <w:p>
            <w:pPr>
              <w:spacing w:after="0" w:before="0"/>
            </w:pPr>
            <w:r>
              <w:rPr>
                <w:rFonts w:ascii="Arial" w:cs="Arial" w:eastAsia="Arial" w:hAnsi="Arial"/>
                <w:b/>
                <w:bCs/>
                <w:color w:val="FFFFFF"/>
                <w:sz w:val="30"/>
                <w:szCs w:val="30"/>
              </w:rPr>
              <w:t xml:space="preserve">Funding Strategy &amp; Funder Relationships</w:t>
            </w:r>
          </w:p>
        </w:tc>
        <w:tc>
          <w:tcPr>
            <w:tcW w:type="dxa" w:w="2160"/>
            <w:tcBorders>
              <w:top w:val="none" w:color="FFFFFF" w:sz="0"/>
              <w:left w:val="none" w:color="FFFFFF" w:sz="0"/>
              <w:bottom w:val="none" w:color="FFFFFF" w:sz="0"/>
              <w:right w:val="none" w:color="FFFFFF" w:sz="0"/>
            </w:tcBorders>
            <w:shd w:fill="0D7A7A" w:val="clear"/>
            <w:tcMar>
              <w:top w:type="dxa" w:w="160"/>
              <w:left w:type="dxa" w:w="200"/>
              <w:bottom w:type="dxa" w:w="160"/>
              <w:right w:type="dxa" w:w="200"/>
            </w:tcMar>
          </w:tcPr>
          <w:p>
            <w:pPr>
              <w:jc w:val="center"/>
            </w:pPr>
            <w:r>
              <w:rPr>
                <w:rFonts w:ascii="Arial" w:cs="Arial" w:eastAsia="Arial" w:hAnsi="Arial"/>
                <w:b/>
                <w:bCs/>
                <w:color w:val="FFFFFF"/>
                <w:sz w:val="19"/>
                <w:szCs w:val="19"/>
              </w:rPr>
              <w:t xml:space="preserve">NPO-SPECIFIC</w:t>
            </w:r>
          </w:p>
        </w:tc>
      </w:tr>
    </w:tbl>
    <w:p>
      <w:pPr>
        <w:spacing w:after="0" w:before="0"/>
      </w:pPr>
      <w:r>
        <w:t xml:space="preserve"/>
      </w:r>
    </w:p>
    <w:p>
      <w:pPr>
        <w:spacing w:after="100" w:before="80"/>
      </w:pPr>
      <w:r>
        <w:rPr>
          <w:rFonts w:ascii="Arial" w:cs="Arial" w:eastAsia="Arial" w:hAnsi="Arial"/>
          <w:b w:val="false"/>
          <w:bCs w:val="false"/>
          <w:i w:val="false"/>
          <w:iCs w:val="false"/>
          <w:color w:val="4A5568"/>
          <w:sz w:val="22"/>
          <w:szCs w:val="22"/>
        </w:rPr>
        <w:t xml:space="preserve">Has no equivalent in SME advisory. The ability to secure, manage, and grow funding relationships is a core strategic capability and a primary source of organisational risk for any NPO.</w:t>
      </w:r>
    </w:p>
    <w:p>
      <w:pPr>
        <w:spacing w:after="0" w:before="0"/>
      </w:pPr>
      <w:r>
        <w:t xml:space="preserve"/>
      </w:r>
    </w:p>
    <w:p>
      <w:pPr>
        <w:pStyle w:val="Heading3"/>
        <w:spacing w:after="120" w:before="260"/>
      </w:pPr>
      <w:r>
        <w:rPr>
          <w:rFonts w:ascii="Arial" w:cs="Arial" w:eastAsia="Arial" w:hAnsi="Arial"/>
          <w:b/>
          <w:bCs/>
          <w:color w:val="1C2B45"/>
          <w:sz w:val="26"/>
          <w:szCs w:val="26"/>
        </w:rPr>
        <w:t xml:space="preserve">Assessment Criteria</w:t>
      </w:r>
    </w:p>
    <w:p>
      <w:pPr>
        <w:pStyle w:val="ListParagraph"/>
        <w:numPr>
          <w:ilvl w:val="0"/>
          <w:numId w:val="2"/>
        </w:numPr>
        <w:spacing w:after="60" w:before="60"/>
      </w:pPr>
      <w:r>
        <w:rPr>
          <w:rFonts w:ascii="Arial" w:cs="Arial" w:eastAsia="Arial" w:hAnsi="Arial"/>
          <w:b w:val="false"/>
          <w:bCs w:val="false"/>
          <w:i w:val="false"/>
          <w:iCs w:val="false"/>
          <w:color w:val="4A5568"/>
          <w:sz w:val="21"/>
          <w:szCs w:val="21"/>
        </w:rPr>
        <w:t xml:space="preserve">Funding calendar management: all upcoming application windows and reporting deadlines known and managed proactively.</w:t>
      </w:r>
    </w:p>
    <w:p>
      <w:pPr>
        <w:pStyle w:val="ListParagraph"/>
        <w:numPr>
          <w:ilvl w:val="0"/>
          <w:numId w:val="2"/>
        </w:numPr>
        <w:spacing w:after="60" w:before="60"/>
      </w:pPr>
      <w:r>
        <w:rPr>
          <w:rFonts w:ascii="Arial" w:cs="Arial" w:eastAsia="Arial" w:hAnsi="Arial"/>
          <w:b w:val="false"/>
          <w:bCs w:val="false"/>
          <w:i w:val="false"/>
          <w:iCs w:val="false"/>
          <w:color w:val="4A5568"/>
          <w:sz w:val="21"/>
          <w:szCs w:val="21"/>
        </w:rPr>
        <w:t xml:space="preserve">Grant application quality: evidence-based, aligned to funder priorities. Historical success rate tracked.</w:t>
      </w:r>
    </w:p>
    <w:p>
      <w:pPr>
        <w:pStyle w:val="ListParagraph"/>
        <w:numPr>
          <w:ilvl w:val="0"/>
          <w:numId w:val="2"/>
        </w:numPr>
        <w:spacing w:after="60" w:before="60"/>
      </w:pPr>
      <w:r>
        <w:rPr>
          <w:rFonts w:ascii="Arial" w:cs="Arial" w:eastAsia="Arial" w:hAnsi="Arial"/>
          <w:b w:val="false"/>
          <w:bCs w:val="false"/>
          <w:i w:val="false"/>
          <w:iCs w:val="false"/>
          <w:color w:val="4A5568"/>
          <w:sz w:val="21"/>
          <w:szCs w:val="21"/>
        </w:rPr>
        <w:t xml:space="preserve">Funder relationship health: active and warm, or purely transactional?</w:t>
      </w:r>
    </w:p>
    <w:p>
      <w:pPr>
        <w:pStyle w:val="ListParagraph"/>
        <w:numPr>
          <w:ilvl w:val="0"/>
          <w:numId w:val="2"/>
        </w:numPr>
        <w:spacing w:after="60" w:before="60"/>
      </w:pPr>
      <w:r>
        <w:rPr>
          <w:rFonts w:ascii="Arial" w:cs="Arial" w:eastAsia="Arial" w:hAnsi="Arial"/>
          <w:b w:val="false"/>
          <w:bCs w:val="false"/>
          <w:i w:val="false"/>
          <w:iCs w:val="false"/>
          <w:color w:val="4A5568"/>
          <w:sz w:val="21"/>
          <w:szCs w:val="21"/>
        </w:rPr>
        <w:t xml:space="preserve">Reporting obligation compliance: all accountability reports submitted on time to required standard.</w:t>
      </w:r>
    </w:p>
    <w:p>
      <w:pPr>
        <w:pStyle w:val="ListParagraph"/>
        <w:numPr>
          <w:ilvl w:val="0"/>
          <w:numId w:val="2"/>
        </w:numPr>
        <w:spacing w:after="60" w:before="60"/>
      </w:pPr>
      <w:r>
        <w:rPr>
          <w:rFonts w:ascii="Arial" w:cs="Arial" w:eastAsia="Arial" w:hAnsi="Arial"/>
          <w:b w:val="false"/>
          <w:bCs w:val="false"/>
          <w:i w:val="false"/>
          <w:iCs w:val="false"/>
          <w:color w:val="4A5568"/>
          <w:sz w:val="21"/>
          <w:szCs w:val="21"/>
        </w:rPr>
        <w:t xml:space="preserve">Funding diversification strategy: active and being implemented, not just stated.</w:t>
      </w:r>
    </w:p>
    <w:p>
      <w:pPr>
        <w:pStyle w:val="ListParagraph"/>
        <w:numPr>
          <w:ilvl w:val="0"/>
          <w:numId w:val="2"/>
        </w:numPr>
        <w:spacing w:after="60" w:before="60"/>
      </w:pPr>
      <w:r>
        <w:rPr>
          <w:rFonts w:ascii="Arial" w:cs="Arial" w:eastAsia="Arial" w:hAnsi="Arial"/>
          <w:b w:val="false"/>
          <w:bCs w:val="false"/>
          <w:i w:val="false"/>
          <w:iCs w:val="false"/>
          <w:color w:val="4A5568"/>
          <w:sz w:val="21"/>
          <w:szCs w:val="21"/>
        </w:rPr>
        <w:t xml:space="preserve">Community fundraising capability. Corporate and individual donor development.</w:t>
      </w:r>
    </w:p>
    <w:p>
      <w:pPr>
        <w:pStyle w:val="ListParagraph"/>
        <w:numPr>
          <w:ilvl w:val="0"/>
          <w:numId w:val="2"/>
        </w:numPr>
        <w:spacing w:after="60" w:before="60"/>
      </w:pPr>
      <w:r>
        <w:rPr>
          <w:rFonts w:ascii="Arial" w:cs="Arial" w:eastAsia="Arial" w:hAnsi="Arial"/>
          <w:b w:val="false"/>
          <w:bCs w:val="false"/>
          <w:i w:val="false"/>
          <w:iCs w:val="false"/>
          <w:color w:val="4A5568"/>
          <w:sz w:val="21"/>
          <w:szCs w:val="21"/>
        </w:rPr>
        <w:t xml:space="preserve">[MODE B] Active relationships with relevant iwi, Te Puni Kōkiri, and Māori philanthropic funders. Applications culturally appropriate.</w:t>
      </w:r>
    </w:p>
    <w:p>
      <w:pPr>
        <w:spacing w:after="0" w:before="0"/>
      </w:pPr>
      <w:r>
        <w:t xml:space="preserve"/>
      </w:r>
    </w:p>
    <w:p>
      <w:pPr>
        <w:spacing w:after="100" w:before="80"/>
      </w:pPr>
      <w:r>
        <w:rPr>
          <w:rFonts w:ascii="Arial" w:cs="Arial" w:eastAsia="Arial" w:hAnsi="Arial"/>
          <w:b w:val="false"/>
          <w:bCs w:val="false"/>
          <w:i w:val="false"/>
          <w:iCs w:val="false"/>
          <w:color w:val="4A5568"/>
          <w:sz w:val="22"/>
          <w:szCs w:val="22"/>
        </w:rPr>
        <w:t xml:space="preserve">This dimension connects directly to the Funder Database module. Active funder relationships are recorded here. The platform auto-flags upcoming deadlines and application windows.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C2B45" w:val="clear"/>
            <w:tcMar>
              <w:top w:type="dxa" w:w="160"/>
              <w:left w:type="dxa" w:w="280"/>
              <w:bottom w:type="dxa" w:w="160"/>
              <w:right w:type="dxa" w:w="280"/>
            </w:tcMar>
          </w:tcPr>
          <w:p>
            <w:pPr>
              <w:spacing w:after="60" w:before="0"/>
            </w:pPr>
            <w:r>
              <w:rPr>
                <w:rFonts w:ascii="Arial" w:cs="Arial" w:eastAsia="Arial" w:hAnsi="Arial"/>
                <w:b/>
                <w:bCs/>
                <w:color w:val="D4A020"/>
                <w:sz w:val="18"/>
                <w:szCs w:val="18"/>
              </w:rPr>
              <w:t xml:space="preserve">DIMENSION 7</w:t>
            </w:r>
          </w:p>
          <w:p>
            <w:pPr>
              <w:spacing w:after="0" w:before="0"/>
            </w:pPr>
            <w:r>
              <w:rPr>
                <w:rFonts w:ascii="Arial" w:cs="Arial" w:eastAsia="Arial" w:hAnsi="Arial"/>
                <w:b/>
                <w:bCs/>
                <w:color w:val="FFFFFF"/>
                <w:sz w:val="30"/>
                <w:szCs w:val="30"/>
              </w:rPr>
              <w:t xml:space="preserve">Compliance &amp; Legal Standing</w:t>
            </w:r>
          </w:p>
        </w:tc>
        <w:tc>
          <w:tcPr>
            <w:tcW w:type="dxa" w:w="2160"/>
            <w:tcBorders>
              <w:top w:val="none" w:color="FFFFFF" w:sz="0"/>
              <w:left w:val="none" w:color="FFFFFF" w:sz="0"/>
              <w:bottom w:val="none" w:color="FFFFFF" w:sz="0"/>
              <w:right w:val="none" w:color="FFFFFF" w:sz="0"/>
            </w:tcBorders>
            <w:shd w:fill="0D7A7A" w:val="clear"/>
            <w:tcMar>
              <w:top w:type="dxa" w:w="160"/>
              <w:left w:type="dxa" w:w="200"/>
              <w:bottom w:type="dxa" w:w="160"/>
              <w:right w:type="dxa" w:w="200"/>
            </w:tcMar>
          </w:tcPr>
          <w:p>
            <w:pPr>
              <w:jc w:val="center"/>
            </w:pPr>
            <w:r>
              <w:rPr>
                <w:rFonts w:ascii="Arial" w:cs="Arial" w:eastAsia="Arial" w:hAnsi="Arial"/>
                <w:b/>
                <w:bCs/>
                <w:color w:val="FFFFFF"/>
                <w:sz w:val="19"/>
                <w:szCs w:val="19"/>
              </w:rPr>
              <w:t xml:space="preserve">CRITICAL</w:t>
            </w:r>
          </w:p>
        </w:tc>
      </w:tr>
    </w:tbl>
    <w:p>
      <w:pPr>
        <w:spacing w:after="0" w:before="0"/>
      </w:pPr>
      <w:r>
        <w:t xml:space="preserve"/>
      </w:r>
    </w:p>
    <w:p>
      <w:pPr>
        <w:spacing w:after="100" w:before="80"/>
      </w:pPr>
      <w:r>
        <w:rPr>
          <w:rFonts w:ascii="Arial" w:cs="Arial" w:eastAsia="Arial" w:hAnsi="Arial"/>
          <w:b w:val="false"/>
          <w:bCs w:val="false"/>
          <w:i w:val="false"/>
          <w:iCs w:val="false"/>
          <w:color w:val="4A5568"/>
          <w:sz w:val="22"/>
          <w:szCs w:val="22"/>
        </w:rPr>
        <w:t xml:space="preserve">More complex than SME compliance. Multiple legal frameworks can apply simultaneously. The platform surfaces only the compliance obligations relevant to the entity type selected at engagement setup.</w:t>
      </w:r>
    </w:p>
    <w:p>
      <w:pPr>
        <w:spacing w:after="0" w:before="0"/>
      </w:pPr>
      <w:r>
        <w:t xml:space="preserve"/>
      </w:r>
    </w:p>
    <w:p>
      <w:pPr>
        <w:pStyle w:val="Heading3"/>
        <w:spacing w:after="120" w:before="260"/>
      </w:pPr>
      <w:r>
        <w:rPr>
          <w:rFonts w:ascii="Arial" w:cs="Arial" w:eastAsia="Arial" w:hAnsi="Arial"/>
          <w:b/>
          <w:bCs/>
          <w:color w:val="1C2B45"/>
          <w:sz w:val="26"/>
          <w:szCs w:val="26"/>
        </w:rPr>
        <w:t xml:space="preserve">Assessment Criteria — All Entity Types</w:t>
      </w:r>
    </w:p>
    <w:p>
      <w:pPr>
        <w:pStyle w:val="ListParagraph"/>
        <w:numPr>
          <w:ilvl w:val="0"/>
          <w:numId w:val="2"/>
        </w:numPr>
        <w:spacing w:after="60" w:before="60"/>
      </w:pPr>
      <w:r>
        <w:rPr>
          <w:rFonts w:ascii="Arial" w:cs="Arial" w:eastAsia="Arial" w:hAnsi="Arial"/>
          <w:b w:val="false"/>
          <w:bCs w:val="false"/>
          <w:i w:val="false"/>
          <w:iCs w:val="false"/>
          <w:color w:val="4A5568"/>
          <w:sz w:val="21"/>
          <w:szCs w:val="21"/>
        </w:rPr>
        <w:t xml:space="preserve">Privacy Act 2020: policy in place, applied, beneficiary data handled correctly.</w:t>
      </w:r>
    </w:p>
    <w:p>
      <w:pPr>
        <w:pStyle w:val="ListParagraph"/>
        <w:numPr>
          <w:ilvl w:val="0"/>
          <w:numId w:val="2"/>
        </w:numPr>
        <w:spacing w:after="60" w:before="60"/>
      </w:pPr>
      <w:r>
        <w:rPr>
          <w:rFonts w:ascii="Arial" w:cs="Arial" w:eastAsia="Arial" w:hAnsi="Arial"/>
          <w:b w:val="false"/>
          <w:bCs w:val="false"/>
          <w:i w:val="false"/>
          <w:iCs w:val="false"/>
          <w:color w:val="4A5568"/>
          <w:sz w:val="21"/>
          <w:szCs w:val="21"/>
        </w:rPr>
        <w:t xml:space="preserve">Employment Relations Act 2000: all paid staff covered.</w:t>
      </w:r>
    </w:p>
    <w:p>
      <w:pPr>
        <w:pStyle w:val="ListParagraph"/>
        <w:numPr>
          <w:ilvl w:val="0"/>
          <w:numId w:val="2"/>
        </w:numPr>
        <w:spacing w:after="60" w:before="60"/>
      </w:pPr>
      <w:r>
        <w:rPr>
          <w:rFonts w:ascii="Arial" w:cs="Arial" w:eastAsia="Arial" w:hAnsi="Arial"/>
          <w:b w:val="false"/>
          <w:bCs w:val="false"/>
          <w:i w:val="false"/>
          <w:iCs w:val="false"/>
          <w:color w:val="4A5568"/>
          <w:sz w:val="21"/>
          <w:szCs w:val="21"/>
        </w:rPr>
        <w:t xml:space="preserve">Health and Safety at Work Act 2015: obligations apply to volunteers in many contexts.</w:t>
      </w:r>
    </w:p>
    <w:p>
      <w:pPr>
        <w:pStyle w:val="ListParagraph"/>
        <w:numPr>
          <w:ilvl w:val="0"/>
          <w:numId w:val="2"/>
        </w:numPr>
        <w:spacing w:after="60" w:before="60"/>
      </w:pPr>
      <w:r>
        <w:rPr>
          <w:rFonts w:ascii="Arial" w:cs="Arial" w:eastAsia="Arial" w:hAnsi="Arial"/>
          <w:b w:val="false"/>
          <w:bCs w:val="false"/>
          <w:i w:val="false"/>
          <w:iCs w:val="false"/>
          <w:color w:val="4A5568"/>
          <w:sz w:val="21"/>
          <w:szCs w:val="21"/>
        </w:rPr>
        <w:t xml:space="preserve">Income tax exemption: charitable tax exemption current and correctly applied. IRD compliance.</w:t>
      </w:r>
    </w:p>
    <w:p>
      <w:pPr>
        <w:spacing w:after="0" w:before="0"/>
      </w:pPr>
      <w:r>
        <w:t xml:space="preserve"/>
      </w:r>
    </w:p>
    <w:p>
      <w:pPr>
        <w:pStyle w:val="Heading3"/>
        <w:spacing w:after="120" w:before="260"/>
      </w:pPr>
      <w:r>
        <w:rPr>
          <w:rFonts w:ascii="Arial" w:cs="Arial" w:eastAsia="Arial" w:hAnsi="Arial"/>
          <w:b/>
          <w:bCs/>
          <w:color w:val="1C2B45"/>
          <w:sz w:val="26"/>
          <w:szCs w:val="26"/>
        </w:rPr>
        <w:t xml:space="preserve">Additional — Registered Charities (Charities Act 2005)</w:t>
      </w:r>
    </w:p>
    <w:p>
      <w:pPr>
        <w:pStyle w:val="ListParagraph"/>
        <w:numPr>
          <w:ilvl w:val="0"/>
          <w:numId w:val="2"/>
        </w:numPr>
        <w:spacing w:after="60" w:before="60"/>
      </w:pPr>
      <w:r>
        <w:rPr>
          <w:rFonts w:ascii="Arial" w:cs="Arial" w:eastAsia="Arial" w:hAnsi="Arial"/>
          <w:b w:val="false"/>
          <w:bCs w:val="false"/>
          <w:i w:val="false"/>
          <w:iCs w:val="false"/>
          <w:color w:val="4A5568"/>
          <w:sz w:val="21"/>
          <w:szCs w:val="21"/>
        </w:rPr>
        <w:t xml:space="preserve">Annual return filed on time with Charities Services / DIA.</w:t>
      </w:r>
    </w:p>
    <w:p>
      <w:pPr>
        <w:pStyle w:val="ListParagraph"/>
        <w:numPr>
          <w:ilvl w:val="0"/>
          <w:numId w:val="2"/>
        </w:numPr>
        <w:spacing w:after="60" w:before="60"/>
      </w:pPr>
      <w:r>
        <w:rPr>
          <w:rFonts w:ascii="Arial" w:cs="Arial" w:eastAsia="Arial" w:hAnsi="Arial"/>
          <w:b w:val="false"/>
          <w:bCs w:val="false"/>
          <w:i w:val="false"/>
          <w:iCs w:val="false"/>
          <w:color w:val="4A5568"/>
          <w:sz w:val="21"/>
          <w:szCs w:val="21"/>
        </w:rPr>
        <w:t xml:space="preserve">Financial statements prepared to XRB standard at the correct tier.</w:t>
      </w:r>
    </w:p>
    <w:p>
      <w:pPr>
        <w:pStyle w:val="ListParagraph"/>
        <w:numPr>
          <w:ilvl w:val="0"/>
          <w:numId w:val="2"/>
        </w:numPr>
        <w:spacing w:after="60" w:before="60"/>
      </w:pPr>
      <w:r>
        <w:rPr>
          <w:rFonts w:ascii="Arial" w:cs="Arial" w:eastAsia="Arial" w:hAnsi="Arial"/>
          <w:b w:val="false"/>
          <w:bCs w:val="false"/>
          <w:i w:val="false"/>
          <w:iCs w:val="false"/>
          <w:color w:val="4A5568"/>
          <w:sz w:val="21"/>
          <w:szCs w:val="21"/>
        </w:rPr>
        <w:t xml:space="preserve">Governance review completed within the three-year cycle (s.42G, mandatory from October 2023).</w:t>
      </w:r>
    </w:p>
    <w:p>
      <w:pPr>
        <w:pStyle w:val="ListParagraph"/>
        <w:numPr>
          <w:ilvl w:val="0"/>
          <w:numId w:val="2"/>
        </w:numPr>
        <w:spacing w:after="60" w:before="60"/>
      </w:pPr>
      <w:r>
        <w:rPr>
          <w:rFonts w:ascii="Arial" w:cs="Arial" w:eastAsia="Arial" w:hAnsi="Arial"/>
          <w:b w:val="false"/>
          <w:bCs w:val="false"/>
          <w:i w:val="false"/>
          <w:iCs w:val="false"/>
          <w:color w:val="4A5568"/>
          <w:sz w:val="21"/>
          <w:szCs w:val="21"/>
        </w:rPr>
        <w:t xml:space="preserve">Charities Amendment Act 2023: key governance and reporting changes — is the organisation compliant?</w:t>
      </w:r>
    </w:p>
    <w:p>
      <w:pPr>
        <w:pStyle w:val="ListParagraph"/>
        <w:numPr>
          <w:ilvl w:val="0"/>
          <w:numId w:val="2"/>
        </w:numPr>
        <w:spacing w:after="60" w:before="60"/>
      </w:pPr>
      <w:r>
        <w:rPr>
          <w:rFonts w:ascii="Arial" w:cs="Arial" w:eastAsia="Arial" w:hAnsi="Arial"/>
          <w:b w:val="false"/>
          <w:bCs w:val="false"/>
          <w:i w:val="false"/>
          <w:iCs w:val="false"/>
          <w:color w:val="4A5568"/>
          <w:sz w:val="21"/>
          <w:szCs w:val="21"/>
        </w:rPr>
        <w:t xml:space="preserve">Charitable purpose: all activity consistent with registered charitable purposes. Mission drift risk assessed.</w:t>
      </w:r>
    </w:p>
    <w:p>
      <w:pPr>
        <w:spacing w:after="0" w:before="0"/>
      </w:pPr>
      <w:r>
        <w:t xml:space="preserve"/>
      </w:r>
    </w:p>
    <w:p>
      <w:pPr>
        <w:pStyle w:val="Heading3"/>
        <w:spacing w:after="120" w:before="260"/>
      </w:pPr>
      <w:r>
        <w:rPr>
          <w:rFonts w:ascii="Arial" w:cs="Arial" w:eastAsia="Arial" w:hAnsi="Arial"/>
          <w:b/>
          <w:bCs/>
          <w:color w:val="1C2B45"/>
          <w:sz w:val="26"/>
          <w:szCs w:val="26"/>
        </w:rPr>
        <w:t xml:space="preserve">Additional — Incorporated Societies (ISA 2022)</w:t>
      </w:r>
    </w:p>
    <w:p>
      <w:pPr>
        <w:pStyle w:val="ListParagraph"/>
        <w:numPr>
          <w:ilvl w:val="0"/>
          <w:numId w:val="2"/>
        </w:numPr>
        <w:spacing w:after="60" w:before="60"/>
      </w:pPr>
      <w:r>
        <w:rPr>
          <w:rFonts w:ascii="Arial" w:cs="Arial" w:eastAsia="Arial" w:hAnsi="Arial"/>
          <w:b w:val="false"/>
          <w:bCs w:val="false"/>
          <w:i w:val="false"/>
          <w:iCs w:val="false"/>
          <w:color w:val="4A5568"/>
          <w:sz w:val="21"/>
          <w:szCs w:val="21"/>
        </w:rPr>
        <w:t xml:space="preserve">Re-registration status: was the society re-registered by the 5 April 2026 deadline? (Missed deadline = removed from register = critical alert.)</w:t>
      </w:r>
    </w:p>
    <w:p>
      <w:pPr>
        <w:pStyle w:val="ListParagraph"/>
        <w:numPr>
          <w:ilvl w:val="0"/>
          <w:numId w:val="2"/>
        </w:numPr>
        <w:spacing w:after="60" w:before="60"/>
      </w:pPr>
      <w:r>
        <w:rPr>
          <w:rFonts w:ascii="Arial" w:cs="Arial" w:eastAsia="Arial" w:hAnsi="Arial"/>
          <w:b w:val="false"/>
          <w:bCs w:val="false"/>
          <w:i w:val="false"/>
          <w:iCs w:val="false"/>
          <w:color w:val="4A5568"/>
          <w:sz w:val="21"/>
          <w:szCs w:val="21"/>
        </w:rPr>
        <w:t xml:space="preserve">Constitution updated to comply with ISA 2022: dispute resolution, officer duties, membership consent.</w:t>
      </w:r>
    </w:p>
    <w:p>
      <w:pPr>
        <w:pStyle w:val="ListParagraph"/>
        <w:numPr>
          <w:ilvl w:val="0"/>
          <w:numId w:val="2"/>
        </w:numPr>
        <w:spacing w:after="60" w:before="60"/>
      </w:pPr>
      <w:r>
        <w:rPr>
          <w:rFonts w:ascii="Arial" w:cs="Arial" w:eastAsia="Arial" w:hAnsi="Arial"/>
          <w:b w:val="false"/>
          <w:bCs w:val="false"/>
          <w:i w:val="false"/>
          <w:iCs w:val="false"/>
          <w:color w:val="4A5568"/>
          <w:sz w:val="21"/>
          <w:szCs w:val="21"/>
        </w:rPr>
        <w:t xml:space="preserve">Officer duties: do officers understand their new codified duties under ISA 2022?</w:t>
      </w:r>
    </w:p>
    <w:p>
      <w:pPr>
        <w:pStyle w:val="ListParagraph"/>
        <w:numPr>
          <w:ilvl w:val="0"/>
          <w:numId w:val="2"/>
        </w:numPr>
        <w:spacing w:after="60" w:before="60"/>
      </w:pPr>
      <w:r>
        <w:rPr>
          <w:rFonts w:ascii="Arial" w:cs="Arial" w:eastAsia="Arial" w:hAnsi="Arial"/>
          <w:b w:val="false"/>
          <w:bCs w:val="false"/>
          <w:i w:val="false"/>
          <w:iCs w:val="false"/>
          <w:color w:val="4A5568"/>
          <w:sz w:val="21"/>
          <w:szCs w:val="21"/>
        </w:rPr>
        <w:t xml:space="preserve">Financial reporting at correct tier. Large societies require audit.</w:t>
      </w:r>
    </w:p>
    <w:p>
      <w:pPr>
        <w:pStyle w:val="ListParagraph"/>
        <w:numPr>
          <w:ilvl w:val="0"/>
          <w:numId w:val="2"/>
        </w:numPr>
        <w:spacing w:after="60" w:before="60"/>
      </w:pPr>
      <w:r>
        <w:rPr>
          <w:rFonts w:ascii="Arial" w:cs="Arial" w:eastAsia="Arial" w:hAnsi="Arial"/>
          <w:b w:val="false"/>
          <w:bCs w:val="false"/>
          <w:i w:val="false"/>
          <w:iCs w:val="false"/>
          <w:color w:val="4A5568"/>
          <w:sz w:val="21"/>
          <w:szCs w:val="21"/>
        </w:rPr>
        <w:t xml:space="preserve">Membership register current with written consent from all members.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1"/>
              <w:left w:val="single" w:color="8B1A1A" w:sz="1"/>
              <w:bottom w:val="single" w:color="8B1A1A" w:sz="1"/>
              <w:right w:val="single" w:color="8B1A1A" w:sz="1"/>
            </w:tcBorders>
            <w:shd w:fill="F0EAD8" w:val="clear"/>
            <w:tcMar>
              <w:top w:type="dxa" w:w="200"/>
              <w:left w:type="dxa" w:w="280"/>
              <w:bottom w:type="dxa" w:w="200"/>
              <w:right w:type="dxa" w:w="280"/>
            </w:tcMar>
          </w:tcPr>
          <w:p>
            <w:pPr>
              <w:spacing w:after="40" w:before="40"/>
            </w:pPr>
            <w:r>
              <w:rPr>
                <w:rFonts w:ascii="Arial" w:cs="Arial" w:eastAsia="Arial" w:hAnsi="Arial"/>
                <w:b w:val="false"/>
                <w:bCs w:val="false"/>
                <w:i w:val="false"/>
                <w:iCs w:val="false"/>
                <w:color w:val="8B1A1A"/>
                <w:sz w:val="21"/>
                <w:szCs w:val="21"/>
              </w:rPr>
              <w:t xml:space="preserve">CRITICAL COMPLIANCE ALERT — MISSED ISA 2022 RE-REGISTRATION:</w:t>
            </w:r>
          </w:p>
          <w:p>
            <w:pPr>
              <w:spacing w:after="40" w:before="40"/>
            </w:pPr>
            <w:r>
              <w:rPr>
                <w:rFonts w:ascii="Arial" w:cs="Arial" w:eastAsia="Arial" w:hAnsi="Arial"/>
                <w:b w:val="false"/>
                <w:bCs w:val="false"/>
                <w:i w:val="false"/>
                <w:iCs w:val="false"/>
                <w:color w:val="8B1A1A"/>
                <w:sz w:val="21"/>
                <w:szCs w:val="21"/>
              </w:rPr>
              <w:t xml:space="preserve">If an incorporated society did not re-register by 5 April 2026, it has been removed from the Incorporated Societies Register and no longer has legal standing. This is a critical finding that must be addressed before any other advisory work proceeds. The platform generates an immediate critical alert and the advisor must make this the first action item.</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C2B45" w:val="clear"/>
            <w:tcMar>
              <w:top w:type="dxa" w:w="160"/>
              <w:left w:type="dxa" w:w="280"/>
              <w:bottom w:type="dxa" w:w="160"/>
              <w:right w:type="dxa" w:w="280"/>
            </w:tcMar>
          </w:tcPr>
          <w:p>
            <w:pPr>
              <w:spacing w:after="60" w:before="0"/>
            </w:pPr>
            <w:r>
              <w:rPr>
                <w:rFonts w:ascii="Arial" w:cs="Arial" w:eastAsia="Arial" w:hAnsi="Arial"/>
                <w:b/>
                <w:bCs/>
                <w:color w:val="D4A020"/>
                <w:sz w:val="18"/>
                <w:szCs w:val="18"/>
              </w:rPr>
              <w:t xml:space="preserve">DIMENSION 8</w:t>
            </w:r>
          </w:p>
          <w:p>
            <w:pPr>
              <w:spacing w:after="0" w:before="0"/>
            </w:pPr>
            <w:r>
              <w:rPr>
                <w:rFonts w:ascii="Arial" w:cs="Arial" w:eastAsia="Arial" w:hAnsi="Arial"/>
                <w:b/>
                <w:bCs/>
                <w:color w:val="FFFFFF"/>
                <w:sz w:val="30"/>
                <w:szCs w:val="30"/>
              </w:rPr>
              <w:t xml:space="preserve">Te Tiriti Responsiveness</w:t>
            </w:r>
          </w:p>
        </w:tc>
        <w:tc>
          <w:tcPr>
            <w:tcW w:type="dxa" w:w="2160"/>
            <w:tcBorders>
              <w:top w:val="none" w:color="FFFFFF" w:sz="0"/>
              <w:left w:val="none" w:color="FFFFFF" w:sz="0"/>
              <w:bottom w:val="none" w:color="FFFFFF" w:sz="0"/>
              <w:right w:val="none" w:color="FFFFFF" w:sz="0"/>
            </w:tcBorders>
            <w:shd w:fill="0D7A7A" w:val="clear"/>
            <w:tcMar>
              <w:top w:type="dxa" w:w="160"/>
              <w:left w:type="dxa" w:w="200"/>
              <w:bottom w:type="dxa" w:w="160"/>
              <w:right w:type="dxa" w:w="200"/>
            </w:tcMar>
          </w:tcPr>
          <w:p>
            <w:pPr>
              <w:jc w:val="center"/>
            </w:pPr>
            <w:r>
              <w:rPr>
                <w:rFonts w:ascii="Arial" w:cs="Arial" w:eastAsia="Arial" w:hAnsi="Arial"/>
                <w:b/>
                <w:bCs/>
                <w:color w:val="FFFFFF"/>
                <w:sz w:val="19"/>
                <w:szCs w:val="19"/>
              </w:rPr>
              <w:t xml:space="preserve">MODE A ONLY</w:t>
            </w:r>
          </w:p>
        </w:tc>
      </w:tr>
    </w:tbl>
    <w:p>
      <w:pPr>
        <w:spacing w:after="0" w:before="0"/>
      </w:pPr>
      <w:r>
        <w:t xml:space="preserve"/>
      </w:r>
    </w:p>
    <w:p>
      <w:pPr>
        <w:spacing w:after="100" w:before="80"/>
      </w:pPr>
      <w:r>
        <w:rPr>
          <w:rFonts w:ascii="Arial" w:cs="Arial" w:eastAsia="Arial" w:hAnsi="Arial"/>
          <w:b w:val="false"/>
          <w:bCs w:val="false"/>
          <w:i w:val="false"/>
          <w:iCs w:val="false"/>
          <w:color w:val="4A5568"/>
          <w:sz w:val="22"/>
          <w:szCs w:val="22"/>
        </w:rPr>
        <w:t xml:space="preserve">Active when Mode A (Standalone Dimension) is selected at engagement setup. Assesses how effectively the organisation gives effect to Te Tiriti o Waitangi in its governance, operations, service delivery, and strategic direction.</w:t>
      </w:r>
    </w:p>
    <w:p>
      <w:pPr>
        <w:spacing w:after="0" w:before="0"/>
      </w:pPr>
      <w:r>
        <w:t xml:space="preserve"/>
      </w:r>
    </w:p>
    <w:p>
      <w:pPr>
        <w:pStyle w:val="Heading3"/>
        <w:spacing w:after="120" w:before="260"/>
      </w:pPr>
      <w:r>
        <w:rPr>
          <w:rFonts w:ascii="Arial" w:cs="Arial" w:eastAsia="Arial" w:hAnsi="Arial"/>
          <w:b/>
          <w:bCs/>
          <w:color w:val="1C2B45"/>
          <w:sz w:val="26"/>
          <w:szCs w:val="26"/>
        </w:rPr>
        <w:t xml:space="preserve">Assessment Criteria — Mode A Standalone</w:t>
      </w:r>
    </w:p>
    <w:p>
      <w:pPr>
        <w:pStyle w:val="ListParagraph"/>
        <w:numPr>
          <w:ilvl w:val="0"/>
          <w:numId w:val="2"/>
        </w:numPr>
        <w:spacing w:after="60" w:before="60"/>
      </w:pPr>
      <w:r>
        <w:rPr>
          <w:rFonts w:ascii="Arial" w:cs="Arial" w:eastAsia="Arial" w:hAnsi="Arial"/>
          <w:b w:val="false"/>
          <w:bCs w:val="false"/>
          <w:i w:val="false"/>
          <w:iCs w:val="false"/>
          <w:color w:val="4A5568"/>
          <w:sz w:val="21"/>
          <w:szCs w:val="21"/>
        </w:rPr>
        <w:t xml:space="preserve">Board representation: meaningful Māori representation with genuine decision-making authority, not tokenistic.</w:t>
      </w:r>
    </w:p>
    <w:p>
      <w:pPr>
        <w:pStyle w:val="ListParagraph"/>
        <w:numPr>
          <w:ilvl w:val="0"/>
          <w:numId w:val="2"/>
        </w:numPr>
        <w:spacing w:after="60" w:before="60"/>
      </w:pPr>
      <w:r>
        <w:rPr>
          <w:rFonts w:ascii="Arial" w:cs="Arial" w:eastAsia="Arial" w:hAnsi="Arial"/>
          <w:b w:val="false"/>
          <w:bCs w:val="false"/>
          <w:i w:val="false"/>
          <w:iCs w:val="false"/>
          <w:color w:val="4A5568"/>
          <w:sz w:val="21"/>
          <w:szCs w:val="21"/>
        </w:rPr>
        <w:t xml:space="preserve">Cultural competency of board members and senior staff. Training provided and current.</w:t>
      </w:r>
    </w:p>
    <w:p>
      <w:pPr>
        <w:pStyle w:val="ListParagraph"/>
        <w:numPr>
          <w:ilvl w:val="0"/>
          <w:numId w:val="2"/>
        </w:numPr>
        <w:spacing w:after="60" w:before="60"/>
      </w:pPr>
      <w:r>
        <w:rPr>
          <w:rFonts w:ascii="Arial" w:cs="Arial" w:eastAsia="Arial" w:hAnsi="Arial"/>
          <w:b w:val="false"/>
          <w:bCs w:val="false"/>
          <w:i w:val="false"/>
          <w:iCs w:val="false"/>
          <w:color w:val="4A5568"/>
          <w:sz w:val="21"/>
          <w:szCs w:val="21"/>
        </w:rPr>
        <w:t xml:space="preserve">Iwi and hapū partnerships: active, reciprocal, documented, and governed.</w:t>
      </w:r>
    </w:p>
    <w:p>
      <w:pPr>
        <w:pStyle w:val="ListParagraph"/>
        <w:numPr>
          <w:ilvl w:val="0"/>
          <w:numId w:val="2"/>
        </w:numPr>
        <w:spacing w:after="60" w:before="60"/>
      </w:pPr>
      <w:r>
        <w:rPr>
          <w:rFonts w:ascii="Arial" w:cs="Arial" w:eastAsia="Arial" w:hAnsi="Arial"/>
          <w:b w:val="false"/>
          <w:bCs w:val="false"/>
          <w:i w:val="false"/>
          <w:iCs w:val="false"/>
          <w:color w:val="4A5568"/>
          <w:sz w:val="21"/>
          <w:szCs w:val="21"/>
        </w:rPr>
        <w:t xml:space="preserve">Māori beneficiary responsiveness: programmes designed with and for communities, not just delivered to them.</w:t>
      </w:r>
    </w:p>
    <w:p>
      <w:pPr>
        <w:pStyle w:val="ListParagraph"/>
        <w:numPr>
          <w:ilvl w:val="0"/>
          <w:numId w:val="2"/>
        </w:numPr>
        <w:spacing w:after="60" w:before="60"/>
      </w:pPr>
      <w:r>
        <w:rPr>
          <w:rFonts w:ascii="Arial" w:cs="Arial" w:eastAsia="Arial" w:hAnsi="Arial"/>
          <w:b w:val="false"/>
          <w:bCs w:val="false"/>
          <w:i w:val="false"/>
          <w:iCs w:val="false"/>
          <w:color w:val="4A5568"/>
          <w:sz w:val="21"/>
          <w:szCs w:val="21"/>
        </w:rPr>
        <w:t xml:space="preserve">Te reo Māori capability and use in communications and public-facing materials where appropriate.</w:t>
      </w:r>
    </w:p>
    <w:p>
      <w:pPr>
        <w:pStyle w:val="ListParagraph"/>
        <w:numPr>
          <w:ilvl w:val="0"/>
          <w:numId w:val="2"/>
        </w:numPr>
        <w:spacing w:after="60" w:before="60"/>
      </w:pPr>
      <w:r>
        <w:rPr>
          <w:rFonts w:ascii="Arial" w:cs="Arial" w:eastAsia="Arial" w:hAnsi="Arial"/>
          <w:b w:val="false"/>
          <w:bCs w:val="false"/>
          <w:i w:val="false"/>
          <w:iCs w:val="false"/>
          <w:color w:val="4A5568"/>
          <w:sz w:val="21"/>
          <w:szCs w:val="21"/>
        </w:rPr>
        <w:t xml:space="preserve">Alignment with relevant iwi strategic plans and priorities.</w:t>
      </w:r>
    </w:p>
    <w:p>
      <w:pPr>
        <w:pStyle w:val="ListParagraph"/>
        <w:numPr>
          <w:ilvl w:val="0"/>
          <w:numId w:val="2"/>
        </w:numPr>
        <w:spacing w:after="60" w:before="60"/>
      </w:pPr>
      <w:r>
        <w:rPr>
          <w:rFonts w:ascii="Arial" w:cs="Arial" w:eastAsia="Arial" w:hAnsi="Arial"/>
          <w:b w:val="false"/>
          <w:bCs w:val="false"/>
          <w:i w:val="false"/>
          <w:iCs w:val="false"/>
          <w:color w:val="4A5568"/>
          <w:sz w:val="21"/>
          <w:szCs w:val="21"/>
        </w:rPr>
        <w:t xml:space="preserve">Māori staff and volunteer participation strategy.</w:t>
      </w:r>
    </w:p>
    <w:p>
      <w:pPr>
        <w:pStyle w:val="ListParagraph"/>
        <w:numPr>
          <w:ilvl w:val="0"/>
          <w:numId w:val="2"/>
        </w:numPr>
        <w:spacing w:after="60" w:before="60"/>
      </w:pPr>
      <w:r>
        <w:rPr>
          <w:rFonts w:ascii="Arial" w:cs="Arial" w:eastAsia="Arial" w:hAnsi="Arial"/>
          <w:b w:val="false"/>
          <w:bCs w:val="false"/>
          <w:i w:val="false"/>
          <w:iCs w:val="false"/>
          <w:color w:val="4A5568"/>
          <w:sz w:val="21"/>
          <w:szCs w:val="21"/>
        </w:rPr>
        <w:t xml:space="preserve">Funder Treaty requirements: all obligations met and tracked.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2B45" w:val="clear"/>
            <w:tcMar>
              <w:top w:type="dxa" w:w="280"/>
              <w:left w:type="dxa" w:w="360"/>
              <w:bottom w:type="dxa" w:w="280"/>
              <w:right w:type="dxa" w:w="360"/>
            </w:tcMar>
          </w:tcPr>
          <w:p>
            <w:pPr>
              <w:spacing w:after="80" w:before="0"/>
            </w:pPr>
            <w:r>
              <w:rPr>
                <w:rFonts w:ascii="Arial" w:cs="Arial" w:eastAsia="Arial" w:hAnsi="Arial"/>
                <w:b/>
                <w:bCs/>
                <w:color w:val="FFFFFF"/>
                <w:sz w:val="42"/>
                <w:szCs w:val="42"/>
              </w:rPr>
              <w:t xml:space="preserve">SECTION 4</w:t>
            </w:r>
          </w:p>
          <w:p>
            <w:pPr>
              <w:spacing w:after="0" w:before="0"/>
            </w:pPr>
            <w:r>
              <w:rPr>
                <w:rFonts w:ascii="Arial" w:cs="Arial" w:eastAsia="Arial" w:hAnsi="Arial"/>
                <w:i/>
                <w:iCs/>
                <w:color w:val="E8D5A0"/>
                <w:sz w:val="22"/>
                <w:szCs w:val="22"/>
              </w:rPr>
              <w:t xml:space="preserve">NPO Questionnaire System</w:t>
            </w:r>
          </w:p>
        </w:tc>
      </w:tr>
    </w:tbl>
    <w:p>
      <w:pPr>
        <w:spacing w:after="0" w:before="0"/>
      </w:pPr>
      <w:r>
        <w:t xml:space="preserve"/>
      </w:r>
    </w:p>
    <w:p>
      <w:pPr>
        <w:pStyle w:val="Heading1"/>
        <w:pBdr>
          <w:bottom w:val="single" w:color="B8860B" w:sz="8" w:space="6"/>
        </w:pBdr>
        <w:spacing w:after="200" w:before="480"/>
      </w:pPr>
      <w:r>
        <w:rPr>
          <w:rFonts w:ascii="Arial" w:cs="Arial" w:eastAsia="Arial" w:hAnsi="Arial"/>
          <w:b/>
          <w:bCs/>
          <w:color w:val="1C2B45"/>
          <w:sz w:val="44"/>
          <w:szCs w:val="44"/>
        </w:rPr>
        <w:t xml:space="preserve">4. NPO Questionnaire System</w:t>
      </w:r>
    </w:p>
    <w:p>
      <w:pPr>
        <w:spacing w:after="100" w:before="80"/>
      </w:pPr>
      <w:r>
        <w:rPr>
          <w:rFonts w:ascii="Arial" w:cs="Arial" w:eastAsia="Arial" w:hAnsi="Arial"/>
          <w:b w:val="false"/>
          <w:bCs w:val="false"/>
          <w:i w:val="false"/>
          <w:iCs w:val="false"/>
          <w:color w:val="4A5568"/>
          <w:sz w:val="22"/>
          <w:szCs w:val="22"/>
        </w:rPr>
        <w:t xml:space="preserve">The NPO module uses the existing questionnaire engine with NPO-specific question sets. Question content is admin-managed — not hardcoded. The questionnaire is divided into ten sections aligned to the eight evaluation dimensions.</w:t>
      </w:r>
    </w:p>
    <w:p>
      <w:pPr>
        <w:spacing w:after="0" w:before="0"/>
      </w:pPr>
      <w:r>
        <w:t xml:space="preserve"/>
      </w:r>
    </w:p>
    <w:p>
      <w:pPr>
        <w:pStyle w:val="Heading2"/>
        <w:spacing w:after="160" w:before="360"/>
      </w:pPr>
      <w:r>
        <w:rPr>
          <w:rFonts w:ascii="Arial" w:cs="Arial" w:eastAsia="Arial" w:hAnsi="Arial"/>
          <w:b/>
          <w:bCs/>
          <w:color w:val="0D7A7A"/>
          <w:sz w:val="32"/>
          <w:szCs w:val="32"/>
        </w:rPr>
        <w:t xml:space="preserve">4.1 Full NPO Questionnaire — Ten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Section 1</w:t>
            </w:r>
          </w:p>
        </w:tc>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val="false"/>
                <w:bCs w:val="false"/>
                <w:color w:val="4A5568"/>
                <w:sz w:val="21"/>
                <w:szCs w:val="21"/>
              </w:rPr>
              <w:t xml:space="preserve">Organisation Profile — Legal structure, founding year, mission statement, geographic reach, entity type confirmation, key contacts (board chair, CEO/ED, treasurer).</w:t>
            </w:r>
          </w:p>
        </w:tc>
      </w:tr>
      <w:tr>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Section 2</w:t>
            </w:r>
          </w:p>
        </w:tc>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val="false"/>
                <w:bCs w:val="false"/>
                <w:color w:val="4A5568"/>
                <w:sz w:val="21"/>
                <w:szCs w:val="21"/>
              </w:rPr>
              <w:t xml:space="preserve">Mission, Impact &amp; Theory of Change — Dimension 1. Theory of change, outcome measurement, beneficiary data, impact reporting.</w:t>
            </w:r>
          </w:p>
        </w:tc>
      </w:tr>
      <w:tr>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Section 3</w:t>
            </w:r>
          </w:p>
        </w:tc>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val="false"/>
                <w:bCs w:val="false"/>
                <w:color w:val="4A5568"/>
                <w:sz w:val="21"/>
                <w:szCs w:val="21"/>
              </w:rPr>
              <w:t xml:space="preserve">Financial Position &amp; Funding Mix — Dimension 2. Revenue by stream, reserves position, financial statements (upload), funder list, concentration risk data.</w:t>
            </w:r>
          </w:p>
        </w:tc>
      </w:tr>
      <w:tr>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Section 4</w:t>
            </w:r>
          </w:p>
        </w:tc>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val="false"/>
                <w:bCs w:val="false"/>
                <w:color w:val="4A5568"/>
                <w:sz w:val="21"/>
                <w:szCs w:val="21"/>
              </w:rPr>
              <w:t xml:space="preserve">Governance &amp; Leadership — Dimension 3. Board composition, skills matrix, meeting frequency, conflict of interest register, governance review history, constitution (upload).</w:t>
            </w:r>
          </w:p>
        </w:tc>
      </w:tr>
      <w:tr>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Section 5</w:t>
            </w:r>
          </w:p>
        </w:tc>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val="false"/>
                <w:bCs w:val="false"/>
                <w:color w:val="4A5568"/>
                <w:sz w:val="21"/>
                <w:szCs w:val="21"/>
              </w:rPr>
              <w:t xml:space="preserve">Operational Delivery — Dimension 4. Programme description, delivery metrics, overhead ratio, process documentation, technology systems.</w:t>
            </w:r>
          </w:p>
        </w:tc>
      </w:tr>
      <w:tr>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Section 6</w:t>
            </w:r>
          </w:p>
        </w:tc>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val="false"/>
                <w:bCs w:val="false"/>
                <w:color w:val="4A5568"/>
                <w:sz w:val="21"/>
                <w:szCs w:val="21"/>
              </w:rPr>
              <w:t xml:space="preserve">People &amp; Volunteers — Dimension 5. Paid staff count and structure, volunteer numbers and roles, HR policies (upload), employment agreement status.</w:t>
            </w:r>
          </w:p>
        </w:tc>
      </w:tr>
      <w:tr>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Section 7</w:t>
            </w:r>
          </w:p>
        </w:tc>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val="false"/>
                <w:bCs w:val="false"/>
                <w:color w:val="4A5568"/>
                <w:sz w:val="21"/>
                <w:szCs w:val="21"/>
              </w:rPr>
              <w:t xml:space="preserve">Funding Strategy &amp; Funder Relationships — Dimension 6. Active funders, application success rates, relationship management, reporting compliance.</w:t>
            </w:r>
          </w:p>
        </w:tc>
      </w:tr>
      <w:tr>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Section 8</w:t>
            </w:r>
          </w:p>
        </w:tc>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val="false"/>
                <w:bCs w:val="false"/>
                <w:color w:val="4A5568"/>
                <w:sz w:val="21"/>
                <w:szCs w:val="21"/>
              </w:rPr>
              <w:t xml:space="preserve">Compliance &amp; Legal Standing — Dimension 7. Annual return status, re-registration status, insurance, regulatory compliance self-assessment.</w:t>
            </w:r>
          </w:p>
        </w:tc>
      </w:tr>
      <w:tr>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Section 9</w:t>
            </w:r>
          </w:p>
        </w:tc>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val="false"/>
                <w:bCs w:val="false"/>
                <w:color w:val="4A5568"/>
                <w:sz w:val="21"/>
                <w:szCs w:val="21"/>
              </w:rPr>
              <w:t xml:space="preserve">Te Tiriti Responsiveness — Dimension 8 (Mode A only). Board representation, partnership agreements, cultural competency evidence.</w:t>
            </w:r>
          </w:p>
        </w:tc>
      </w:tr>
      <w:tr>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Section 10</w:t>
            </w:r>
          </w:p>
        </w:tc>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val="false"/>
                <w:bCs w:val="false"/>
                <w:color w:val="4A5568"/>
                <w:sz w:val="21"/>
                <w:szCs w:val="21"/>
              </w:rPr>
              <w:t xml:space="preserve">Strategic Direction — Cross-cutting. Strategic plan (upload), key risks, three-year goals, growth or sustainability intent.</w:t>
            </w:r>
          </w:p>
        </w:tc>
      </w:tr>
    </w:tbl>
    <w:p>
      <w:pPr>
        <w:spacing w:after="0" w:before="0"/>
      </w:pPr>
      <w:r>
        <w:t xml:space="preserve"/>
      </w:r>
    </w:p>
    <w:p>
      <w:pPr>
        <w:pStyle w:val="Heading2"/>
        <w:spacing w:after="160" w:before="360"/>
      </w:pPr>
      <w:r>
        <w:rPr>
          <w:rFonts w:ascii="Arial" w:cs="Arial" w:eastAsia="Arial" w:hAnsi="Arial"/>
          <w:b/>
          <w:bCs/>
          <w:color w:val="0D7A7A"/>
          <w:sz w:val="32"/>
          <w:szCs w:val="32"/>
        </w:rPr>
        <w:t xml:space="preserve">4.2 Governance Review Questionnaire</w:t>
      </w:r>
    </w:p>
    <w:p>
      <w:pPr>
        <w:spacing w:after="100" w:before="80"/>
      </w:pPr>
      <w:r>
        <w:rPr>
          <w:rFonts w:ascii="Arial" w:cs="Arial" w:eastAsia="Arial" w:hAnsi="Arial"/>
          <w:b w:val="false"/>
          <w:bCs w:val="false"/>
          <w:i w:val="false"/>
          <w:iCs w:val="false"/>
          <w:color w:val="4A5568"/>
          <w:sz w:val="22"/>
          <w:szCs w:val="22"/>
        </w:rPr>
        <w:t xml:space="preserve">The governance review standalone engagement uses a shorter, focused questionnaire covering sections 4 and 8 only, plus a governance-specific supplement. Designed to minimise the barrier to entry for first-contact NPO clients.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Governance Review Sections</w:t>
            </w:r>
          </w:p>
        </w:tc>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val="false"/>
                <w:bCs w:val="false"/>
                <w:color w:val="4A5568"/>
                <w:sz w:val="21"/>
                <w:szCs w:val="21"/>
              </w:rPr>
              <w:t xml:space="preserve">Board composition and structure, officer details and tenure, conflict of interest policy and register, constitution (upload and review), financial oversight processes, dispute resolution procedures, s.42G history, ISA 2022 compliance checklist (incorporated societies), Charities Amendment Act 2023 checklist (registered charities).</w:t>
            </w:r>
          </w:p>
        </w:tc>
      </w:tr>
      <w:tr>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Target Completion Time</w:t>
            </w:r>
          </w:p>
        </w:tc>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val="false"/>
                <w:bCs w:val="false"/>
                <w:color w:val="4A5568"/>
                <w:sz w:val="21"/>
                <w:szCs w:val="21"/>
              </w:rPr>
              <w:t xml:space="preserve">45–60 minutes for the primary contact. Significantly shorter than the full NPO questionnaire.</w:t>
            </w:r>
          </w:p>
        </w:tc>
      </w:tr>
      <w:tr>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Document Uploads Required</w:t>
            </w:r>
          </w:p>
        </w:tc>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val="false"/>
                <w:bCs w:val="false"/>
                <w:color w:val="4A5568"/>
                <w:sz w:val="21"/>
                <w:szCs w:val="21"/>
              </w:rPr>
              <w:t xml:space="preserve">Constitution or rules document, most recent financial statements, current board register, conflict of interest register (if exists).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2B45" w:val="clear"/>
            <w:tcMar>
              <w:top w:type="dxa" w:w="280"/>
              <w:left w:type="dxa" w:w="360"/>
              <w:bottom w:type="dxa" w:w="280"/>
              <w:right w:type="dxa" w:w="360"/>
            </w:tcMar>
          </w:tcPr>
          <w:p>
            <w:pPr>
              <w:spacing w:after="80" w:before="0"/>
            </w:pPr>
            <w:r>
              <w:rPr>
                <w:rFonts w:ascii="Arial" w:cs="Arial" w:eastAsia="Arial" w:hAnsi="Arial"/>
                <w:b/>
                <w:bCs/>
                <w:color w:val="FFFFFF"/>
                <w:sz w:val="42"/>
                <w:szCs w:val="42"/>
              </w:rPr>
              <w:t xml:space="preserve">SECTION 5</w:t>
            </w:r>
          </w:p>
          <w:p>
            <w:pPr>
              <w:spacing w:after="0" w:before="0"/>
            </w:pPr>
            <w:r>
              <w:rPr>
                <w:rFonts w:ascii="Arial" w:cs="Arial" w:eastAsia="Arial" w:hAnsi="Arial"/>
                <w:i/>
                <w:iCs/>
                <w:color w:val="E8D5A0"/>
                <w:sz w:val="22"/>
                <w:szCs w:val="22"/>
              </w:rPr>
              <w:t xml:space="preserve">Value Measurement — Two NPO Calculations</w:t>
            </w:r>
          </w:p>
        </w:tc>
      </w:tr>
    </w:tbl>
    <w:p>
      <w:pPr>
        <w:spacing w:after="0" w:before="0"/>
      </w:pPr>
      <w:r>
        <w:t xml:space="preserve"/>
      </w:r>
    </w:p>
    <w:p>
      <w:pPr>
        <w:pStyle w:val="Heading1"/>
        <w:pBdr>
          <w:bottom w:val="single" w:color="B8860B" w:sz="8" w:space="6"/>
        </w:pBdr>
        <w:spacing w:after="200" w:before="480"/>
      </w:pPr>
      <w:r>
        <w:rPr>
          <w:rFonts w:ascii="Arial" w:cs="Arial" w:eastAsia="Arial" w:hAnsi="Arial"/>
          <w:b/>
          <w:bCs/>
          <w:color w:val="1C2B45"/>
          <w:sz w:val="44"/>
          <w:szCs w:val="44"/>
        </w:rPr>
        <w:t xml:space="preserve">5. Value Measurement</w:t>
      </w:r>
    </w:p>
    <w:p>
      <w:pPr>
        <w:spacing w:after="100" w:before="80"/>
      </w:pPr>
      <w:r>
        <w:rPr>
          <w:rFonts w:ascii="Arial" w:cs="Arial" w:eastAsia="Arial" w:hAnsi="Arial"/>
          <w:b w:val="false"/>
          <w:bCs w:val="false"/>
          <w:i w:val="false"/>
          <w:iCs w:val="false"/>
          <w:color w:val="4A5568"/>
          <w:sz w:val="22"/>
          <w:szCs w:val="22"/>
        </w:rPr>
        <w:t xml:space="preserve">NPOs do not have a business valuation equivalent. The platform runs two separate value calculations that quantify the benefit of advisory recommendations in terms meaningful to NPO stakeholders: mission efficiency and funding risk.</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1"/>
              <w:bottom w:val="single" w:color="B8860B" w:sz="1"/>
              <w:right w:val="single" w:color="B8860B" w:sz="1"/>
            </w:tcBorders>
            <w:shd w:fill="F9F6F0" w:val="clear"/>
            <w:tcMar>
              <w:top w:type="dxa" w:w="200"/>
              <w:left w:type="dxa" w:w="280"/>
              <w:bottom w:type="dxa" w:w="200"/>
              <w:right w:type="dxa" w:w="280"/>
            </w:tcMar>
          </w:tcPr>
          <w:p>
            <w:pPr>
              <w:spacing w:after="40" w:before="40"/>
            </w:pPr>
            <w:r>
              <w:rPr>
                <w:rFonts w:ascii="Arial" w:cs="Arial" w:eastAsia="Arial" w:hAnsi="Arial"/>
                <w:b w:val="false"/>
                <w:bCs w:val="false"/>
                <w:i w:val="false"/>
                <w:iCs w:val="false"/>
                <w:color w:val="1C2B45"/>
                <w:sz w:val="21"/>
                <w:szCs w:val="21"/>
              </w:rPr>
              <w:t xml:space="preserve">Cost Per Beneficiary speaks to the board and mission-focused leadership: "Are we using our resources as efficiently as possible to serve our beneficiaries?"</w:t>
            </w:r>
          </w:p>
          <w:p>
            <w:pPr>
              <w:spacing w:after="40" w:before="40"/>
            </w:pPr>
            <w:r>
              <w:rPr>
                <w:rFonts w:ascii="Arial" w:cs="Arial" w:eastAsia="Arial" w:hAnsi="Arial"/>
                <w:b w:val="false"/>
                <w:bCs w:val="false"/>
                <w:i w:val="false"/>
                <w:iCs w:val="false"/>
                <w:color w:val="1C2B45"/>
                <w:sz w:val="21"/>
                <w:szCs w:val="21"/>
              </w:rPr>
              <w:t xml:space="preserve"/>
            </w:r>
          </w:p>
          <w:p>
            <w:pPr>
              <w:spacing w:after="40" w:before="40"/>
            </w:pPr>
            <w:r>
              <w:rPr>
                <w:rFonts w:ascii="Arial" w:cs="Arial" w:eastAsia="Arial" w:hAnsi="Arial"/>
                <w:b w:val="false"/>
                <w:bCs w:val="false"/>
                <w:i w:val="false"/>
                <w:iCs w:val="false"/>
                <w:color w:val="1C2B45"/>
                <w:sz w:val="21"/>
                <w:szCs w:val="21"/>
              </w:rPr>
              <w:t xml:space="preserve">Funding Risk Value speaks to the CEO, treasurer, and funders: "How exposed are we if our largest funder does not renew, and what would happen to operations?"</w:t>
            </w:r>
          </w:p>
          <w:p>
            <w:pPr>
              <w:spacing w:after="40" w:before="40"/>
            </w:pPr>
            <w:r>
              <w:rPr>
                <w:rFonts w:ascii="Arial" w:cs="Arial" w:eastAsia="Arial" w:hAnsi="Arial"/>
                <w:b w:val="false"/>
                <w:bCs w:val="false"/>
                <w:i w:val="false"/>
                <w:iCs w:val="false"/>
                <w:color w:val="1C2B45"/>
                <w:sz w:val="21"/>
                <w:szCs w:val="21"/>
              </w:rPr>
              <w:t xml:space="preserve"/>
            </w:r>
          </w:p>
          <w:p>
            <w:pPr>
              <w:spacing w:after="40" w:before="40"/>
            </w:pPr>
            <w:r>
              <w:rPr>
                <w:rFonts w:ascii="Arial" w:cs="Arial" w:eastAsia="Arial" w:hAnsi="Arial"/>
                <w:b w:val="false"/>
                <w:bCs w:val="false"/>
                <w:i w:val="false"/>
                <w:iCs w:val="false"/>
                <w:color w:val="1C2B45"/>
                <w:sz w:val="21"/>
                <w:szCs w:val="21"/>
              </w:rPr>
              <w:t xml:space="preserve">Both calculations appear in the NPO Advisor Report. The NPO Health Report (client-facing) shows a plain-English summary of both.</w:t>
            </w:r>
          </w:p>
        </w:tc>
      </w:tr>
    </w:tbl>
    <w:p>
      <w:pPr>
        <w:spacing w:after="0" w:before="0"/>
      </w:pPr>
      <w:r>
        <w:t xml:space="preserve"/>
      </w:r>
    </w:p>
    <w:p>
      <w:pPr>
        <w:pStyle w:val="Heading2"/>
        <w:spacing w:after="160" w:before="360"/>
      </w:pPr>
      <w:r>
        <w:rPr>
          <w:rFonts w:ascii="Arial" w:cs="Arial" w:eastAsia="Arial" w:hAnsi="Arial"/>
          <w:b/>
          <w:bCs/>
          <w:color w:val="0D7A7A"/>
          <w:sz w:val="32"/>
          <w:szCs w:val="32"/>
        </w:rPr>
        <w:t xml:space="preserve">5.1 Cost Per Beneficiary Efficiency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Definition</w:t>
            </w:r>
          </w:p>
        </w:tc>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val="false"/>
                <w:bCs w:val="false"/>
                <w:color w:val="4A5568"/>
                <w:sz w:val="21"/>
                <w:szCs w:val="21"/>
              </w:rPr>
              <w:t xml:space="preserve">Total programme expenditure for a defined period divided by the number of beneficiaries served in that period. Expressed as a dollar cost per beneficiary.</w:t>
            </w:r>
          </w:p>
        </w:tc>
      </w:tr>
      <w:tr>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Inputs</w:t>
            </w:r>
          </w:p>
        </w:tc>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val="false"/>
                <w:bCs w:val="false"/>
                <w:color w:val="4A5568"/>
                <w:sz w:val="21"/>
                <w:szCs w:val="21"/>
              </w:rPr>
              <w:t xml:space="preserve">Total programme expenditure (Xero/MYOB integration or uploaded financials), total beneficiary count for the same period (entered by client in portal or uploaded), programme type (enables like-for-like benchmarking).</w:t>
            </w:r>
          </w:p>
        </w:tc>
      </w:tr>
      <w:tr>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Benchmark</w:t>
            </w:r>
          </w:p>
        </w:tc>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val="false"/>
                <w:bCs w:val="false"/>
                <w:color w:val="4A5568"/>
                <w:sz w:val="21"/>
                <w:szCs w:val="21"/>
              </w:rPr>
              <w:t xml:space="preserve">Compared against anonymised benchmarks from similar organisations (same programme type, same size band) in the platform dataset. Managed via Learning Architecture Layer 35.</w:t>
            </w:r>
          </w:p>
        </w:tc>
      </w:tr>
      <w:tr>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Improvement Valuation</w:t>
            </w:r>
          </w:p>
        </w:tc>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val="false"/>
                <w:bCs w:val="false"/>
                <w:color w:val="4A5568"/>
                <w:sz w:val="21"/>
                <w:szCs w:val="21"/>
              </w:rPr>
              <w:t xml:space="preserve">When the advisor makes operational recommendations, the expected cost-per-beneficiary reduction is calculated: annual saving per beneficiary × current beneficiary volume = annual efficiency saving. Alternatively expressed as additional beneficiaries served at the improved efficiency rate with the same budget.</w:t>
            </w:r>
          </w:p>
        </w:tc>
      </w:tr>
      <w:tr>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Output Example</w:t>
            </w:r>
          </w:p>
        </w:tc>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val="false"/>
                <w:bCs w:val="false"/>
                <w:color w:val="4A5568"/>
                <w:sz w:val="21"/>
                <w:szCs w:val="21"/>
              </w:rPr>
              <w:t xml:space="preserve">"Your current cost per beneficiary is $847. Benchmark for your programme type is $623. The three operational recommendations in this report reduce your cost per beneficiary to an estimated $651 — a 23% improvement. At your current volume of 480 beneficiaries, this frees $93,000 annually to serve approximately 143 additional beneficiaries or to strengthen your reserves."</w:t>
            </w:r>
          </w:p>
        </w:tc>
      </w:tr>
      <w:tr>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Uncertainty Disclosure</w:t>
            </w:r>
          </w:p>
        </w:tc>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val="false"/>
                <w:bCs w:val="false"/>
                <w:color w:val="4A5568"/>
                <w:sz w:val="21"/>
                <w:szCs w:val="21"/>
              </w:rPr>
              <w:t xml:space="preserve">All projections include a ±15% confidence range and a clear statement that projections assume stable beneficiary volume and programme design.</w:t>
            </w:r>
          </w:p>
        </w:tc>
      </w:tr>
    </w:tbl>
    <w:p>
      <w:pPr>
        <w:spacing w:after="0" w:before="0"/>
      </w:pPr>
      <w:r>
        <w:t xml:space="preserve"/>
      </w:r>
    </w:p>
    <w:p>
      <w:pPr>
        <w:pStyle w:val="Heading2"/>
        <w:spacing w:after="160" w:before="360"/>
      </w:pPr>
      <w:r>
        <w:rPr>
          <w:rFonts w:ascii="Arial" w:cs="Arial" w:eastAsia="Arial" w:hAnsi="Arial"/>
          <w:b/>
          <w:bCs/>
          <w:color w:val="0D7A7A"/>
          <w:sz w:val="32"/>
          <w:szCs w:val="32"/>
        </w:rPr>
        <w:t xml:space="preserve">5.2 Funding Risk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Definition</w:t>
            </w:r>
          </w:p>
        </w:tc>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val="false"/>
                <w:bCs w:val="false"/>
                <w:color w:val="4A5568"/>
                <w:sz w:val="21"/>
                <w:szCs w:val="21"/>
              </w:rPr>
              <w:t xml:space="preserve">Quantifies the financial consequence of the organisation’s current funding concentration. Models the operating gap if the largest funder does not renew. Calculates operational runway from current reserves before closure.</w:t>
            </w:r>
          </w:p>
        </w:tc>
      </w:tr>
      <w:tr>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Inputs</w:t>
            </w:r>
          </w:p>
        </w:tc>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val="false"/>
                <w:bCs w:val="false"/>
                <w:color w:val="4A5568"/>
                <w:sz w:val="21"/>
                <w:szCs w:val="21"/>
              </w:rPr>
              <w:t xml:space="preserve">Revenue by funder (questionnaire Section 3 and financial records), current reserves balance, monthly operating expenditure (financial records), existing funding diversification commitments.</w:t>
            </w:r>
          </w:p>
        </w:tc>
      </w:tr>
      <w:tr>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Concentration Risk Rating</w:t>
            </w:r>
          </w:p>
        </w:tc>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val="false"/>
                <w:bCs w:val="false"/>
                <w:color w:val="4A5568"/>
                <w:sz w:val="21"/>
                <w:szCs w:val="21"/>
              </w:rPr>
              <w:t xml:space="preserve">Single funder above 40% of revenue: HIGH RISK. 25–40%: MEDIUM RISK. Below 25%: LOW RISK. Thresholds admin-configurable via Learning Architecture Layer 36.</w:t>
            </w:r>
          </w:p>
        </w:tc>
      </w:tr>
      <w:tr>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Runway Calculation</w:t>
            </w:r>
          </w:p>
        </w:tc>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val="false"/>
                <w:bCs w:val="false"/>
                <w:color w:val="4A5568"/>
                <w:sz w:val="21"/>
                <w:szCs w:val="21"/>
              </w:rPr>
              <w:t xml:space="preserve">If largest funder does not renew: (current reserves ÷ monthly operating expenditure) = operational runway in months. Under 3 months: CRITICAL. 3–6: HIGH. 6–12: MEDIUM. Over 12: LOW.</w:t>
            </w:r>
          </w:p>
        </w:tc>
      </w:tr>
      <w:tr>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Improvement Valuation</w:t>
            </w:r>
          </w:p>
        </w:tc>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val="false"/>
                <w:bCs w:val="false"/>
                <w:color w:val="4A5568"/>
                <w:sz w:val="21"/>
                <w:szCs w:val="21"/>
              </w:rPr>
              <w:t xml:space="preserve">Funding diversification recommendations valued by risk reduction: projected concentration risk after implementation, new runway under improved funding model, approximate time to achieve the improved position.</w:t>
            </w:r>
          </w:p>
        </w:tc>
      </w:tr>
      <w:tr>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Output Example</w:t>
            </w:r>
          </w:p>
        </w:tc>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val="false"/>
                <w:bCs w:val="false"/>
                <w:color w:val="4A5568"/>
                <w:sz w:val="21"/>
                <w:szCs w:val="21"/>
              </w:rPr>
              <w:t xml:space="preserve">"Your top funder (Lion Foundation) represents 61% of your annual revenue ($183,000 of $300,000). If this grant is not renewed, your current reserves of $28,000 give you approximately 6 weeks of operational runway. The three funding diversification recommendations in this report would reduce your concentration risk below 40% within 18 months, extending your runway to 4.2 months under the same loss scenario."</w:t>
            </w:r>
          </w:p>
        </w:tc>
      </w:tr>
      <w:tr>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Funder Renewal Intelligence</w:t>
            </w:r>
          </w:p>
        </w:tc>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val="false"/>
                <w:bCs w:val="false"/>
                <w:color w:val="4A5568"/>
                <w:sz w:val="21"/>
                <w:szCs w:val="21"/>
              </w:rPr>
              <w:t xml:space="preserve">The funder database provides historical renewal rate data by funder type. This informs the probability weighting of the risk scenario. A long-term government contract receives a lower risk weight than a competitive contestable grant.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2B45" w:val="clear"/>
            <w:tcMar>
              <w:top w:type="dxa" w:w="280"/>
              <w:left w:type="dxa" w:w="360"/>
              <w:bottom w:type="dxa" w:w="280"/>
              <w:right w:type="dxa" w:w="360"/>
            </w:tcMar>
          </w:tcPr>
          <w:p>
            <w:pPr>
              <w:spacing w:after="80" w:before="0"/>
            </w:pPr>
            <w:r>
              <w:rPr>
                <w:rFonts w:ascii="Arial" w:cs="Arial" w:eastAsia="Arial" w:hAnsi="Arial"/>
                <w:b/>
                <w:bCs/>
                <w:color w:val="FFFFFF"/>
                <w:sz w:val="42"/>
                <w:szCs w:val="42"/>
              </w:rPr>
              <w:t xml:space="preserve">SECTION 6</w:t>
            </w:r>
          </w:p>
          <w:p>
            <w:pPr>
              <w:spacing w:after="0" w:before="0"/>
            </w:pPr>
            <w:r>
              <w:rPr>
                <w:rFonts w:ascii="Arial" w:cs="Arial" w:eastAsia="Arial" w:hAnsi="Arial"/>
                <w:i/>
                <w:iCs/>
                <w:color w:val="E8D5A0"/>
                <w:sz w:val="22"/>
                <w:szCs w:val="22"/>
              </w:rPr>
              <w:t xml:space="preserve">Social Enterprise Sub-Type</w:t>
            </w:r>
          </w:p>
        </w:tc>
      </w:tr>
    </w:tbl>
    <w:p>
      <w:pPr>
        <w:spacing w:after="0" w:before="0"/>
      </w:pPr>
      <w:r>
        <w:t xml:space="preserve"/>
      </w:r>
    </w:p>
    <w:p>
      <w:pPr>
        <w:pStyle w:val="Heading1"/>
        <w:pBdr>
          <w:bottom w:val="single" w:color="B8860B" w:sz="8" w:space="6"/>
        </w:pBdr>
        <w:spacing w:after="200" w:before="480"/>
      </w:pPr>
      <w:r>
        <w:rPr>
          <w:rFonts w:ascii="Arial" w:cs="Arial" w:eastAsia="Arial" w:hAnsi="Arial"/>
          <w:b/>
          <w:bCs/>
          <w:color w:val="1C2B45"/>
          <w:sz w:val="44"/>
          <w:szCs w:val="44"/>
        </w:rPr>
        <w:t xml:space="preserve">6. Social Enterprise Sub-Type</w:t>
      </w:r>
    </w:p>
    <w:p>
      <w:pPr>
        <w:spacing w:after="100" w:before="80"/>
      </w:pPr>
      <w:r>
        <w:rPr>
          <w:rFonts w:ascii="Arial" w:cs="Arial" w:eastAsia="Arial" w:hAnsi="Arial"/>
          <w:b w:val="false"/>
          <w:bCs w:val="false"/>
          <w:i w:val="false"/>
          <w:iCs w:val="false"/>
          <w:color w:val="4A5568"/>
          <w:sz w:val="22"/>
          <w:szCs w:val="22"/>
        </w:rPr>
        <w:t xml:space="preserve">Social enterprises are assessed on two axes simultaneously: commercial viability (using the existing SME analysis engine) and mission delivery (using the NPO analysis engine). The platform generates a dual scorecard and an AI Tension Analysis identifying where the commercial and mission imperatives conflict.</w:t>
      </w:r>
    </w:p>
    <w:p>
      <w:pPr>
        <w:spacing w:after="0" w:before="0"/>
      </w:pPr>
      <w:r>
        <w:t xml:space="preserve"/>
      </w:r>
    </w:p>
    <w:p>
      <w:pPr>
        <w:pStyle w:val="Heading2"/>
        <w:spacing w:after="160" w:before="360"/>
      </w:pPr>
      <w:r>
        <w:rPr>
          <w:rFonts w:ascii="Arial" w:cs="Arial" w:eastAsia="Arial" w:hAnsi="Arial"/>
          <w:b/>
          <w:bCs/>
          <w:color w:val="0D7A7A"/>
          <w:sz w:val="32"/>
          <w:szCs w:val="32"/>
        </w:rPr>
        <w:t xml:space="preserve">6.1 Dual Scorecard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Commercial Health Score</w:t>
            </w:r>
          </w:p>
        </w:tc>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val="false"/>
                <w:bCs w:val="false"/>
                <w:color w:val="4A5568"/>
                <w:sz w:val="21"/>
                <w:szCs w:val="21"/>
              </w:rPr>
              <w:t xml:space="preserve">The existing SME analysis engine runs in full. All five SME dimensions apply to the trading side: Financial Health, Operational Performance, People &amp; HR, Strategic Direction, Commercial Compliance. SME questionnaire sections relevant to trading operations are administered alongside the NPO questionnaire.</w:t>
            </w:r>
          </w:p>
        </w:tc>
      </w:tr>
      <w:tr>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Mission Health Score</w:t>
            </w:r>
          </w:p>
        </w:tc>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val="false"/>
                <w:bCs w:val="false"/>
                <w:color w:val="4A5568"/>
                <w:sz w:val="21"/>
                <w:szCs w:val="21"/>
              </w:rPr>
              <w:t xml:space="preserve">The NPO analysis engine runs in full. All eight NPO dimensions apply to the charitable or community purpose side of the organisation.</w:t>
            </w:r>
          </w:p>
        </w:tc>
      </w:tr>
      <w:tr>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Overall Health Score</w:t>
            </w:r>
          </w:p>
        </w:tc>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val="false"/>
                <w:bCs w:val="false"/>
                <w:color w:val="4A5568"/>
                <w:sz w:val="21"/>
                <w:szCs w:val="21"/>
              </w:rPr>
              <w:t xml:space="preserve">A weighted blend of Commercial Health Score and Mission Health Score. Weighting set by the advisor at setup. Both individual scores and the blended score are shown prominently throughout the engagement.</w:t>
            </w:r>
          </w:p>
        </w:tc>
      </w:tr>
      <w:tr>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Visual Presentation</w:t>
            </w:r>
          </w:p>
        </w:tc>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val="false"/>
                <w:bCs w:val="false"/>
                <w:color w:val="4A5568"/>
                <w:sz w:val="21"/>
                <w:szCs w:val="21"/>
              </w:rPr>
              <w:t xml:space="preserve">Two radar charts displayed side by side on the Social Enterprise dashboard: commercial dimensions (navy), mission dimensions (teal). The blended score shown as a single number below both charts with the current weighting displayed.</w:t>
            </w:r>
          </w:p>
        </w:tc>
      </w:tr>
    </w:tbl>
    <w:p>
      <w:pPr>
        <w:spacing w:after="0" w:before="0"/>
      </w:pPr>
      <w:r>
        <w:t xml:space="preserve"/>
      </w:r>
    </w:p>
    <w:p>
      <w:pPr>
        <w:pStyle w:val="Heading2"/>
        <w:spacing w:after="160" w:before="360"/>
      </w:pPr>
      <w:r>
        <w:rPr>
          <w:rFonts w:ascii="Arial" w:cs="Arial" w:eastAsia="Arial" w:hAnsi="Arial"/>
          <w:b/>
          <w:bCs/>
          <w:color w:val="0D7A7A"/>
          <w:sz w:val="32"/>
          <w:szCs w:val="32"/>
        </w:rPr>
        <w:t xml:space="preserve">6.2 Suggested Weightings by Social Enterprise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c>
          <w:tcPr>
            <w:tcW w:type="dxa" w:w="4200"/>
            <w:tcBorders>
              <w:top w:val="single" w:color="D0D5DD" w:sz="1"/>
              <w:left w:val="single" w:color="D0D5DD" w:sz="1"/>
              <w:bottom w:val="single" w:color="D0D5DD" w:sz="1"/>
              <w:right w:val="single" w:color="D0D5DD" w:sz="1"/>
            </w:tcBorders>
            <w:shd w:fill="1C2B45" w:val="clear"/>
            <w:tcMar>
              <w:top w:type="dxa" w:w="100"/>
              <w:left w:type="dxa" w:w="140"/>
              <w:bottom w:type="dxa" w:w="100"/>
              <w:right w:type="dxa" w:w="140"/>
            </w:tcMar>
          </w:tcPr>
          <w:p>
            <w:r>
              <w:rPr>
                <w:rFonts w:ascii="Arial" w:cs="Arial" w:eastAsia="Arial" w:hAnsi="Arial"/>
                <w:b/>
                <w:bCs/>
                <w:color w:val="FFFFFF"/>
                <w:sz w:val="20"/>
                <w:szCs w:val="20"/>
              </w:rPr>
              <w:t xml:space="preserve">Social Enterprise Type</w:t>
            </w:r>
          </w:p>
        </w:tc>
        <w:tc>
          <w:tcPr>
            <w:tcW w:type="dxa" w:w="2580"/>
            <w:tcBorders>
              <w:top w:val="single" w:color="D0D5DD" w:sz="1"/>
              <w:left w:val="single" w:color="D0D5DD" w:sz="1"/>
              <w:bottom w:val="single" w:color="D0D5DD" w:sz="1"/>
              <w:right w:val="single" w:color="D0D5DD" w:sz="1"/>
            </w:tcBorders>
            <w:shd w:fill="1C2B45" w:val="clear"/>
            <w:tcMar>
              <w:top w:type="dxa" w:w="100"/>
              <w:left w:type="dxa" w:w="140"/>
              <w:bottom w:type="dxa" w:w="100"/>
              <w:right w:type="dxa" w:w="140"/>
            </w:tcMar>
          </w:tcPr>
          <w:p>
            <w:r>
              <w:rPr>
                <w:rFonts w:ascii="Arial" w:cs="Arial" w:eastAsia="Arial" w:hAnsi="Arial"/>
                <w:b/>
                <w:bCs/>
                <w:color w:val="FFFFFF"/>
                <w:sz w:val="20"/>
                <w:szCs w:val="20"/>
              </w:rPr>
              <w:t xml:space="preserve">Commercial Weight</w:t>
            </w:r>
          </w:p>
        </w:tc>
        <w:tc>
          <w:tcPr>
            <w:tcW w:type="dxa" w:w="2580"/>
            <w:tcBorders>
              <w:top w:val="single" w:color="D0D5DD" w:sz="1"/>
              <w:left w:val="single" w:color="D0D5DD" w:sz="1"/>
              <w:bottom w:val="single" w:color="D0D5DD" w:sz="1"/>
              <w:right w:val="single" w:color="D0D5DD" w:sz="1"/>
            </w:tcBorders>
            <w:shd w:fill="1C2B45" w:val="clear"/>
            <w:tcMar>
              <w:top w:type="dxa" w:w="100"/>
              <w:left w:type="dxa" w:w="140"/>
              <w:bottom w:type="dxa" w:w="100"/>
              <w:right w:type="dxa" w:w="140"/>
            </w:tcMar>
          </w:tcPr>
          <w:p>
            <w:r>
              <w:rPr>
                <w:rFonts w:ascii="Arial" w:cs="Arial" w:eastAsia="Arial" w:hAnsi="Arial"/>
                <w:b/>
                <w:bCs/>
                <w:color w:val="FFFFFF"/>
                <w:sz w:val="20"/>
                <w:szCs w:val="20"/>
              </w:rPr>
              <w:t xml:space="preserve">Mission Weight</w:t>
            </w:r>
          </w:p>
        </w:tc>
      </w:tr>
      <w:tr>
        <w:tc>
          <w:tcPr>
            <w:tcW w:type="dxa" w:w="4200"/>
            <w:tcBorders>
              <w:top w:val="single" w:color="D0D5DD" w:sz="1"/>
              <w:left w:val="single" w:color="D0D5DD" w:sz="1"/>
              <w:bottom w:val="single" w:color="D0D5DD" w:sz="1"/>
              <w:right w:val="single" w:color="D0D5DD" w:sz="1"/>
            </w:tcBorders>
            <w:shd w:fill="F9F6F0" w:val="clear"/>
            <w:tcMar>
              <w:top w:type="dxa" w:w="100"/>
              <w:left w:type="dxa" w:w="140"/>
              <w:bottom w:type="dxa" w:w="100"/>
              <w:right w:type="dxa" w:w="140"/>
            </w:tcMar>
          </w:tcPr>
          <w:p>
            <w:r>
              <w:rPr>
                <w:rFonts w:ascii="Arial" w:cs="Arial" w:eastAsia="Arial" w:hAnsi="Arial"/>
                <w:b w:val="false"/>
                <w:bCs w:val="false"/>
                <w:color w:val="4A5568"/>
                <w:sz w:val="20"/>
                <w:szCs w:val="20"/>
              </w:rPr>
              <w:t xml:space="preserve">Community housing provider</w:t>
            </w:r>
          </w:p>
        </w:tc>
        <w:tc>
          <w:tcPr>
            <w:tcW w:type="dxa" w:w="2580"/>
            <w:tcBorders>
              <w:top w:val="single" w:color="D0D5DD" w:sz="1"/>
              <w:left w:val="single" w:color="D0D5DD" w:sz="1"/>
              <w:bottom w:val="single" w:color="D0D5DD" w:sz="1"/>
              <w:right w:val="single" w:color="D0D5DD" w:sz="1"/>
            </w:tcBorders>
            <w:shd w:fill="F9F6F0" w:val="clear"/>
            <w:tcMar>
              <w:top w:type="dxa" w:w="100"/>
              <w:left w:type="dxa" w:w="140"/>
              <w:bottom w:type="dxa" w:w="100"/>
              <w:right w:type="dxa" w:w="140"/>
            </w:tcMar>
          </w:tcPr>
          <w:p>
            <w:r>
              <w:rPr>
                <w:rFonts w:ascii="Arial" w:cs="Arial" w:eastAsia="Arial" w:hAnsi="Arial"/>
                <w:b w:val="false"/>
                <w:bCs w:val="false"/>
                <w:color w:val="4A5568"/>
                <w:sz w:val="20"/>
                <w:szCs w:val="20"/>
              </w:rPr>
              <w:t xml:space="preserve">30%</w:t>
            </w:r>
          </w:p>
        </w:tc>
        <w:tc>
          <w:tcPr>
            <w:tcW w:type="dxa" w:w="2580"/>
            <w:tcBorders>
              <w:top w:val="single" w:color="D0D5DD" w:sz="1"/>
              <w:left w:val="single" w:color="D0D5DD" w:sz="1"/>
              <w:bottom w:val="single" w:color="D0D5DD" w:sz="1"/>
              <w:right w:val="single" w:color="D0D5DD" w:sz="1"/>
            </w:tcBorders>
            <w:shd w:fill="F9F6F0" w:val="clear"/>
            <w:tcMar>
              <w:top w:type="dxa" w:w="100"/>
              <w:left w:type="dxa" w:w="140"/>
              <w:bottom w:type="dxa" w:w="100"/>
              <w:right w:type="dxa" w:w="140"/>
            </w:tcMar>
          </w:tcPr>
          <w:p>
            <w:r>
              <w:rPr>
                <w:rFonts w:ascii="Arial" w:cs="Arial" w:eastAsia="Arial" w:hAnsi="Arial"/>
                <w:b w:val="false"/>
                <w:bCs w:val="false"/>
                <w:color w:val="4A5568"/>
                <w:sz w:val="20"/>
                <w:szCs w:val="20"/>
              </w:rPr>
              <w:t xml:space="preserve">70%</w:t>
            </w:r>
          </w:p>
        </w:tc>
      </w:tr>
      <w:tr>
        <w:tc>
          <w:tcPr>
            <w:tcW w:type="dxa" w:w="42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tcPr>
          <w:p>
            <w:r>
              <w:rPr>
                <w:rFonts w:ascii="Arial" w:cs="Arial" w:eastAsia="Arial" w:hAnsi="Arial"/>
                <w:b w:val="false"/>
                <w:bCs w:val="false"/>
                <w:color w:val="4A5568"/>
                <w:sz w:val="20"/>
                <w:szCs w:val="20"/>
              </w:rPr>
              <w:t xml:space="preserve">Social supermarket / food rescue</w:t>
            </w:r>
          </w:p>
        </w:tc>
        <w:tc>
          <w:tcPr>
            <w:tcW w:type="dxa" w:w="258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tcPr>
          <w:p>
            <w:r>
              <w:rPr>
                <w:rFonts w:ascii="Arial" w:cs="Arial" w:eastAsia="Arial" w:hAnsi="Arial"/>
                <w:b w:val="false"/>
                <w:bCs w:val="false"/>
                <w:color w:val="4A5568"/>
                <w:sz w:val="20"/>
                <w:szCs w:val="20"/>
              </w:rPr>
              <w:t xml:space="preserve">35%</w:t>
            </w:r>
          </w:p>
        </w:tc>
        <w:tc>
          <w:tcPr>
            <w:tcW w:type="dxa" w:w="258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tcPr>
          <w:p>
            <w:r>
              <w:rPr>
                <w:rFonts w:ascii="Arial" w:cs="Arial" w:eastAsia="Arial" w:hAnsi="Arial"/>
                <w:b w:val="false"/>
                <w:bCs w:val="false"/>
                <w:color w:val="4A5568"/>
                <w:sz w:val="20"/>
                <w:szCs w:val="20"/>
              </w:rPr>
              <w:t xml:space="preserve">65%</w:t>
            </w:r>
          </w:p>
        </w:tc>
      </w:tr>
      <w:tr>
        <w:tc>
          <w:tcPr>
            <w:tcW w:type="dxa" w:w="4200"/>
            <w:tcBorders>
              <w:top w:val="single" w:color="D0D5DD" w:sz="1"/>
              <w:left w:val="single" w:color="D0D5DD" w:sz="1"/>
              <w:bottom w:val="single" w:color="D0D5DD" w:sz="1"/>
              <w:right w:val="single" w:color="D0D5DD" w:sz="1"/>
            </w:tcBorders>
            <w:shd w:fill="F9F6F0" w:val="clear"/>
            <w:tcMar>
              <w:top w:type="dxa" w:w="100"/>
              <w:left w:type="dxa" w:w="140"/>
              <w:bottom w:type="dxa" w:w="100"/>
              <w:right w:type="dxa" w:w="140"/>
            </w:tcMar>
          </w:tcPr>
          <w:p>
            <w:r>
              <w:rPr>
                <w:rFonts w:ascii="Arial" w:cs="Arial" w:eastAsia="Arial" w:hAnsi="Arial"/>
                <w:b w:val="false"/>
                <w:bCs w:val="false"/>
                <w:color w:val="4A5568"/>
                <w:sz w:val="20"/>
                <w:szCs w:val="20"/>
              </w:rPr>
              <w:t xml:space="preserve">Employment social enterprise (training + work)</w:t>
            </w:r>
          </w:p>
        </w:tc>
        <w:tc>
          <w:tcPr>
            <w:tcW w:type="dxa" w:w="2580"/>
            <w:tcBorders>
              <w:top w:val="single" w:color="D0D5DD" w:sz="1"/>
              <w:left w:val="single" w:color="D0D5DD" w:sz="1"/>
              <w:bottom w:val="single" w:color="D0D5DD" w:sz="1"/>
              <w:right w:val="single" w:color="D0D5DD" w:sz="1"/>
            </w:tcBorders>
            <w:shd w:fill="F9F6F0" w:val="clear"/>
            <w:tcMar>
              <w:top w:type="dxa" w:w="100"/>
              <w:left w:type="dxa" w:w="140"/>
              <w:bottom w:type="dxa" w:w="100"/>
              <w:right w:type="dxa" w:w="140"/>
            </w:tcMar>
          </w:tcPr>
          <w:p>
            <w:r>
              <w:rPr>
                <w:rFonts w:ascii="Arial" w:cs="Arial" w:eastAsia="Arial" w:hAnsi="Arial"/>
                <w:b w:val="false"/>
                <w:bCs w:val="false"/>
                <w:color w:val="4A5568"/>
                <w:sz w:val="20"/>
                <w:szCs w:val="20"/>
              </w:rPr>
              <w:t xml:space="preserve">45%</w:t>
            </w:r>
          </w:p>
        </w:tc>
        <w:tc>
          <w:tcPr>
            <w:tcW w:type="dxa" w:w="2580"/>
            <w:tcBorders>
              <w:top w:val="single" w:color="D0D5DD" w:sz="1"/>
              <w:left w:val="single" w:color="D0D5DD" w:sz="1"/>
              <w:bottom w:val="single" w:color="D0D5DD" w:sz="1"/>
              <w:right w:val="single" w:color="D0D5DD" w:sz="1"/>
            </w:tcBorders>
            <w:shd w:fill="F9F6F0" w:val="clear"/>
            <w:tcMar>
              <w:top w:type="dxa" w:w="100"/>
              <w:left w:type="dxa" w:w="140"/>
              <w:bottom w:type="dxa" w:w="100"/>
              <w:right w:type="dxa" w:w="140"/>
            </w:tcMar>
          </w:tcPr>
          <w:p>
            <w:r>
              <w:rPr>
                <w:rFonts w:ascii="Arial" w:cs="Arial" w:eastAsia="Arial" w:hAnsi="Arial"/>
                <w:b w:val="false"/>
                <w:bCs w:val="false"/>
                <w:color w:val="4A5568"/>
                <w:sz w:val="20"/>
                <w:szCs w:val="20"/>
              </w:rPr>
              <w:t xml:space="preserve">55%</w:t>
            </w:r>
          </w:p>
        </w:tc>
      </w:tr>
      <w:tr>
        <w:tc>
          <w:tcPr>
            <w:tcW w:type="dxa" w:w="42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tcPr>
          <w:p>
            <w:r>
              <w:rPr>
                <w:rFonts w:ascii="Arial" w:cs="Arial" w:eastAsia="Arial" w:hAnsi="Arial"/>
                <w:b w:val="false"/>
                <w:bCs w:val="false"/>
                <w:color w:val="4A5568"/>
                <w:sz w:val="20"/>
                <w:szCs w:val="20"/>
              </w:rPr>
              <w:t xml:space="preserve">Trading social enterprise (income funds mission)</w:t>
            </w:r>
          </w:p>
        </w:tc>
        <w:tc>
          <w:tcPr>
            <w:tcW w:type="dxa" w:w="258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tcPr>
          <w:p>
            <w:r>
              <w:rPr>
                <w:rFonts w:ascii="Arial" w:cs="Arial" w:eastAsia="Arial" w:hAnsi="Arial"/>
                <w:b w:val="false"/>
                <w:bCs w:val="false"/>
                <w:color w:val="4A5568"/>
                <w:sz w:val="20"/>
                <w:szCs w:val="20"/>
              </w:rPr>
              <w:t xml:space="preserve">55%</w:t>
            </w:r>
          </w:p>
        </w:tc>
        <w:tc>
          <w:tcPr>
            <w:tcW w:type="dxa" w:w="258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tcPr>
          <w:p>
            <w:r>
              <w:rPr>
                <w:rFonts w:ascii="Arial" w:cs="Arial" w:eastAsia="Arial" w:hAnsi="Arial"/>
                <w:b w:val="false"/>
                <w:bCs w:val="false"/>
                <w:color w:val="4A5568"/>
                <w:sz w:val="20"/>
                <w:szCs w:val="20"/>
              </w:rPr>
              <w:t xml:space="preserve">45%</w:t>
            </w:r>
          </w:p>
        </w:tc>
      </w:tr>
      <w:tr>
        <w:tc>
          <w:tcPr>
            <w:tcW w:type="dxa" w:w="4200"/>
            <w:tcBorders>
              <w:top w:val="single" w:color="D0D5DD" w:sz="1"/>
              <w:left w:val="single" w:color="D0D5DD" w:sz="1"/>
              <w:bottom w:val="single" w:color="D0D5DD" w:sz="1"/>
              <w:right w:val="single" w:color="D0D5DD" w:sz="1"/>
            </w:tcBorders>
            <w:shd w:fill="F9F6F0" w:val="clear"/>
            <w:tcMar>
              <w:top w:type="dxa" w:w="100"/>
              <w:left w:type="dxa" w:w="140"/>
              <w:bottom w:type="dxa" w:w="100"/>
              <w:right w:type="dxa" w:w="140"/>
            </w:tcMar>
          </w:tcPr>
          <w:p>
            <w:r>
              <w:rPr>
                <w:rFonts w:ascii="Arial" w:cs="Arial" w:eastAsia="Arial" w:hAnsi="Arial"/>
                <w:b w:val="false"/>
                <w:bCs w:val="false"/>
                <w:color w:val="4A5568"/>
                <w:sz w:val="20"/>
                <w:szCs w:val="20"/>
              </w:rPr>
              <w:t xml:space="preserve">Environmental / sustainability enterprise</w:t>
            </w:r>
          </w:p>
        </w:tc>
        <w:tc>
          <w:tcPr>
            <w:tcW w:type="dxa" w:w="2580"/>
            <w:tcBorders>
              <w:top w:val="single" w:color="D0D5DD" w:sz="1"/>
              <w:left w:val="single" w:color="D0D5DD" w:sz="1"/>
              <w:bottom w:val="single" w:color="D0D5DD" w:sz="1"/>
              <w:right w:val="single" w:color="D0D5DD" w:sz="1"/>
            </w:tcBorders>
            <w:shd w:fill="F9F6F0" w:val="clear"/>
            <w:tcMar>
              <w:top w:type="dxa" w:w="100"/>
              <w:left w:type="dxa" w:w="140"/>
              <w:bottom w:type="dxa" w:w="100"/>
              <w:right w:type="dxa" w:w="140"/>
            </w:tcMar>
          </w:tcPr>
          <w:p>
            <w:r>
              <w:rPr>
                <w:rFonts w:ascii="Arial" w:cs="Arial" w:eastAsia="Arial" w:hAnsi="Arial"/>
                <w:b w:val="false"/>
                <w:bCs w:val="false"/>
                <w:color w:val="4A5568"/>
                <w:sz w:val="20"/>
                <w:szCs w:val="20"/>
              </w:rPr>
              <w:t xml:space="preserve">40%</w:t>
            </w:r>
          </w:p>
        </w:tc>
        <w:tc>
          <w:tcPr>
            <w:tcW w:type="dxa" w:w="2580"/>
            <w:tcBorders>
              <w:top w:val="single" w:color="D0D5DD" w:sz="1"/>
              <w:left w:val="single" w:color="D0D5DD" w:sz="1"/>
              <w:bottom w:val="single" w:color="D0D5DD" w:sz="1"/>
              <w:right w:val="single" w:color="D0D5DD" w:sz="1"/>
            </w:tcBorders>
            <w:shd w:fill="F9F6F0" w:val="clear"/>
            <w:tcMar>
              <w:top w:type="dxa" w:w="100"/>
              <w:left w:type="dxa" w:w="140"/>
              <w:bottom w:type="dxa" w:w="100"/>
              <w:right w:type="dxa" w:w="140"/>
            </w:tcMar>
          </w:tcPr>
          <w:p>
            <w:r>
              <w:rPr>
                <w:rFonts w:ascii="Arial" w:cs="Arial" w:eastAsia="Arial" w:hAnsi="Arial"/>
                <w:b w:val="false"/>
                <w:bCs w:val="false"/>
                <w:color w:val="4A5568"/>
                <w:sz w:val="20"/>
                <w:szCs w:val="20"/>
              </w:rPr>
              <w:t xml:space="preserve">60%</w:t>
            </w:r>
          </w:p>
        </w:tc>
      </w:tr>
      <w:tr>
        <w:tc>
          <w:tcPr>
            <w:tcW w:type="dxa" w:w="42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tcPr>
          <w:p>
            <w:r>
              <w:rPr>
                <w:rFonts w:ascii="Arial" w:cs="Arial" w:eastAsia="Arial" w:hAnsi="Arial"/>
                <w:b w:val="false"/>
                <w:bCs w:val="false"/>
                <w:color w:val="4A5568"/>
                <w:sz w:val="20"/>
                <w:szCs w:val="20"/>
              </w:rPr>
              <w:t xml:space="preserve">Health and social service provider</w:t>
            </w:r>
          </w:p>
        </w:tc>
        <w:tc>
          <w:tcPr>
            <w:tcW w:type="dxa" w:w="258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tcPr>
          <w:p>
            <w:r>
              <w:rPr>
                <w:rFonts w:ascii="Arial" w:cs="Arial" w:eastAsia="Arial" w:hAnsi="Arial"/>
                <w:b w:val="false"/>
                <w:bCs w:val="false"/>
                <w:color w:val="4A5568"/>
                <w:sz w:val="20"/>
                <w:szCs w:val="20"/>
              </w:rPr>
              <w:t xml:space="preserve">30%</w:t>
            </w:r>
          </w:p>
        </w:tc>
        <w:tc>
          <w:tcPr>
            <w:tcW w:type="dxa" w:w="258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tcPr>
          <w:p>
            <w:r>
              <w:rPr>
                <w:rFonts w:ascii="Arial" w:cs="Arial" w:eastAsia="Arial" w:hAnsi="Arial"/>
                <w:b w:val="false"/>
                <w:bCs w:val="false"/>
                <w:color w:val="4A5568"/>
                <w:sz w:val="20"/>
                <w:szCs w:val="20"/>
              </w:rPr>
              <w:t xml:space="preserve">70%</w:t>
            </w:r>
          </w:p>
        </w:tc>
      </w:tr>
      <w:tr>
        <w:tc>
          <w:tcPr>
            <w:tcW w:type="dxa" w:w="4200"/>
            <w:tcBorders>
              <w:top w:val="single" w:color="D0D5DD" w:sz="1"/>
              <w:left w:val="single" w:color="D0D5DD" w:sz="1"/>
              <w:bottom w:val="single" w:color="D0D5DD" w:sz="1"/>
              <w:right w:val="single" w:color="D0D5DD" w:sz="1"/>
            </w:tcBorders>
            <w:shd w:fill="F9F6F0" w:val="clear"/>
            <w:tcMar>
              <w:top w:type="dxa" w:w="100"/>
              <w:left w:type="dxa" w:w="140"/>
              <w:bottom w:type="dxa" w:w="100"/>
              <w:right w:type="dxa" w:w="140"/>
            </w:tcMar>
          </w:tcPr>
          <w:p>
            <w:r>
              <w:rPr>
                <w:rFonts w:ascii="Arial" w:cs="Arial" w:eastAsia="Arial" w:hAnsi="Arial"/>
                <w:b w:val="false"/>
                <w:bCs w:val="false"/>
                <w:color w:val="4A5568"/>
                <w:sz w:val="20"/>
                <w:szCs w:val="20"/>
              </w:rPr>
              <w:t xml:space="preserve">Arts and culture social enterprise</w:t>
            </w:r>
          </w:p>
        </w:tc>
        <w:tc>
          <w:tcPr>
            <w:tcW w:type="dxa" w:w="2580"/>
            <w:tcBorders>
              <w:top w:val="single" w:color="D0D5DD" w:sz="1"/>
              <w:left w:val="single" w:color="D0D5DD" w:sz="1"/>
              <w:bottom w:val="single" w:color="D0D5DD" w:sz="1"/>
              <w:right w:val="single" w:color="D0D5DD" w:sz="1"/>
            </w:tcBorders>
            <w:shd w:fill="F9F6F0" w:val="clear"/>
            <w:tcMar>
              <w:top w:type="dxa" w:w="100"/>
              <w:left w:type="dxa" w:w="140"/>
              <w:bottom w:type="dxa" w:w="100"/>
              <w:right w:type="dxa" w:w="140"/>
            </w:tcMar>
          </w:tcPr>
          <w:p>
            <w:r>
              <w:rPr>
                <w:rFonts w:ascii="Arial" w:cs="Arial" w:eastAsia="Arial" w:hAnsi="Arial"/>
                <w:b w:val="false"/>
                <w:bCs w:val="false"/>
                <w:color w:val="4A5568"/>
                <w:sz w:val="20"/>
                <w:szCs w:val="20"/>
              </w:rPr>
              <w:t xml:space="preserve">40%</w:t>
            </w:r>
          </w:p>
        </w:tc>
        <w:tc>
          <w:tcPr>
            <w:tcW w:type="dxa" w:w="2580"/>
            <w:tcBorders>
              <w:top w:val="single" w:color="D0D5DD" w:sz="1"/>
              <w:left w:val="single" w:color="D0D5DD" w:sz="1"/>
              <w:bottom w:val="single" w:color="D0D5DD" w:sz="1"/>
              <w:right w:val="single" w:color="D0D5DD" w:sz="1"/>
            </w:tcBorders>
            <w:shd w:fill="F9F6F0" w:val="clear"/>
            <w:tcMar>
              <w:top w:type="dxa" w:w="100"/>
              <w:left w:type="dxa" w:w="140"/>
              <w:bottom w:type="dxa" w:w="100"/>
              <w:right w:type="dxa" w:w="140"/>
            </w:tcMar>
          </w:tcPr>
          <w:p>
            <w:r>
              <w:rPr>
                <w:rFonts w:ascii="Arial" w:cs="Arial" w:eastAsia="Arial" w:hAnsi="Arial"/>
                <w:b w:val="false"/>
                <w:bCs w:val="false"/>
                <w:color w:val="4A5568"/>
                <w:sz w:val="20"/>
                <w:szCs w:val="20"/>
              </w:rPr>
              <w:t xml:space="preserve">60%</w:t>
            </w:r>
          </w:p>
        </w:tc>
      </w:tr>
      <w:tr>
        <w:tc>
          <w:tcPr>
            <w:tcW w:type="dxa" w:w="42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tcPr>
          <w:p>
            <w:r>
              <w:rPr>
                <w:rFonts w:ascii="Arial" w:cs="Arial" w:eastAsia="Arial" w:hAnsi="Arial"/>
                <w:b w:val="false"/>
                <w:bCs w:val="false"/>
                <w:color w:val="4A5568"/>
                <w:sz w:val="20"/>
                <w:szCs w:val="20"/>
              </w:rPr>
              <w:t xml:space="preserve">Organisation in transition to sustainability</w:t>
            </w:r>
          </w:p>
        </w:tc>
        <w:tc>
          <w:tcPr>
            <w:tcW w:type="dxa" w:w="258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tcPr>
          <w:p>
            <w:r>
              <w:rPr>
                <w:rFonts w:ascii="Arial" w:cs="Arial" w:eastAsia="Arial" w:hAnsi="Arial"/>
                <w:b w:val="false"/>
                <w:bCs w:val="false"/>
                <w:color w:val="4A5568"/>
                <w:sz w:val="20"/>
                <w:szCs w:val="20"/>
              </w:rPr>
              <w:t xml:space="preserve">60%</w:t>
            </w:r>
          </w:p>
        </w:tc>
        <w:tc>
          <w:tcPr>
            <w:tcW w:type="dxa" w:w="258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tcPr>
          <w:p>
            <w:r>
              <w:rPr>
                <w:rFonts w:ascii="Arial" w:cs="Arial" w:eastAsia="Arial" w:hAnsi="Arial"/>
                <w:b w:val="false"/>
                <w:bCs w:val="false"/>
                <w:color w:val="4A5568"/>
                <w:sz w:val="20"/>
                <w:szCs w:val="20"/>
              </w:rPr>
              <w:t xml:space="preserve">40%</w:t>
            </w:r>
          </w:p>
        </w:tc>
      </w:tr>
    </w:tbl>
    <w:p>
      <w:pPr>
        <w:spacing w:after="0" w:before="0"/>
      </w:pPr>
      <w:r>
        <w:t xml:space="preserve"/>
      </w:r>
    </w:p>
    <w:p>
      <w:pPr>
        <w:pBdr>
          <w:left w:val="single" w:color="B8860B" w:sz="14" w:space="8"/>
        </w:pBdr>
        <w:spacing w:after="100" w:before="100"/>
        <w:ind w:left="360"/>
      </w:pPr>
      <w:r>
        <w:rPr>
          <w:rFonts w:ascii="Arial" w:cs="Arial" w:eastAsia="Arial" w:hAnsi="Arial"/>
          <w:b w:val="false"/>
          <w:bCs w:val="false"/>
          <w:i/>
          <w:iCs/>
          <w:color w:val="8B6C42"/>
          <w:sz w:val="20"/>
          <w:szCs w:val="20"/>
        </w:rPr>
        <w:t xml:space="preserve">Suggested weightings are a starting point. The advisor discusses the weighting with the board and CEO at engagement setup and adjusts to reflect the organisation’s actual strategic priorities. The weighting choice and rationale are recorded in the engagement notes.</w:t>
      </w:r>
    </w:p>
    <w:p>
      <w:pPr>
        <w:spacing w:after="0" w:before="0"/>
      </w:pPr>
      <w:r>
        <w:t xml:space="preserve"/>
      </w:r>
    </w:p>
    <w:p>
      <w:pPr>
        <w:pStyle w:val="Heading2"/>
        <w:spacing w:after="160" w:before="360"/>
      </w:pPr>
      <w:r>
        <w:rPr>
          <w:rFonts w:ascii="Arial" w:cs="Arial" w:eastAsia="Arial" w:hAnsi="Arial"/>
          <w:b/>
          <w:bCs/>
          <w:color w:val="0D7A7A"/>
          <w:sz w:val="32"/>
          <w:szCs w:val="32"/>
        </w:rPr>
        <w:t xml:space="preserve">6.3 AI Tension Analysis</w:t>
      </w:r>
    </w:p>
    <w:p>
      <w:pPr>
        <w:spacing w:after="100" w:before="80"/>
      </w:pPr>
      <w:r>
        <w:rPr>
          <w:rFonts w:ascii="Arial" w:cs="Arial" w:eastAsia="Arial" w:hAnsi="Arial"/>
          <w:b w:val="false"/>
          <w:bCs w:val="false"/>
          <w:i w:val="false"/>
          <w:iCs w:val="false"/>
          <w:color w:val="4A5568"/>
          <w:sz w:val="22"/>
          <w:szCs w:val="22"/>
        </w:rPr>
        <w:t xml:space="preserve">The AI Tension Analysis is the highest-value output for social enterprise advisory. It identifies where the commercial and mission imperatives are in direct conflict and provides specific, evidence-based recommendations for resolving each tension strategically.</w:t>
      </w:r>
    </w:p>
    <w:p>
      <w:pPr>
        <w:spacing w:after="0" w:before="0"/>
      </w:pPr>
      <w:r>
        <w:t xml:space="preserve"/>
      </w:r>
    </w:p>
    <w:p>
      <w:pPr>
        <w:pStyle w:val="Heading3"/>
        <w:spacing w:after="120" w:before="260"/>
      </w:pPr>
      <w:r>
        <w:rPr>
          <w:rFonts w:ascii="Arial" w:cs="Arial" w:eastAsia="Arial" w:hAnsi="Arial"/>
          <w:b/>
          <w:bCs/>
          <w:color w:val="1C2B45"/>
          <w:sz w:val="26"/>
          <w:szCs w:val="26"/>
        </w:rPr>
        <w:t xml:space="preserve">Tension Types the AI Identifies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Revenue Growth vs Mission Access</w:t>
            </w:r>
          </w:p>
        </w:tc>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val="false"/>
                <w:bCs w:val="false"/>
                <w:color w:val="4A5568"/>
                <w:sz w:val="21"/>
                <w:szCs w:val="21"/>
              </w:rPr>
              <w:t xml:space="preserve">Does scaling the commercial operation reduce access for the beneficiaries the mission exists to serve? E.g. a social supermarket that increases prices to improve margin at the cost of affordability for low-income shoppers.</w:t>
            </w:r>
          </w:p>
        </w:tc>
      </w:tr>
      <w:tr>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Earned Income Margin vs Staff Pay Equity</w:t>
            </w:r>
          </w:p>
        </w:tc>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val="false"/>
                <w:bCs w:val="false"/>
                <w:color w:val="4A5568"/>
                <w:sz w:val="21"/>
                <w:szCs w:val="21"/>
              </w:rPr>
              <w:t xml:space="preserve">Is commercial viability being achieved at the cost of fair wages for front-line workers? The platform checks wage levels against the NZ Living Wage and minimum wage.</w:t>
            </w:r>
          </w:p>
        </w:tc>
      </w:tr>
      <w:tr>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Funder Restrictions vs Commercial Operations</w:t>
            </w:r>
          </w:p>
        </w:tc>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val="false"/>
                <w:bCs w:val="false"/>
                <w:color w:val="4A5568"/>
                <w:sz w:val="21"/>
                <w:szCs w:val="21"/>
              </w:rPr>
              <w:t xml:space="preserve">Are grant conditions preventing the organisation from pursuing commercial opportunities that would reduce grant dependency?</w:t>
            </w:r>
          </w:p>
        </w:tc>
      </w:tr>
      <w:tr>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Governance Conflict</w:t>
            </w:r>
          </w:p>
        </w:tc>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val="false"/>
                <w:bCs w:val="false"/>
                <w:color w:val="4A5568"/>
                <w:sz w:val="21"/>
                <w:szCs w:val="21"/>
              </w:rPr>
              <w:t xml:space="preserve">Are board members with commercial backgrounds making decisions that prioritise margin over mission, or vice versa? The Dimension 3 skills matrix informs this analysis.</w:t>
            </w:r>
          </w:p>
        </w:tc>
      </w:tr>
      <w:tr>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Impact Measurement vs Commercial KPIs</w:t>
            </w:r>
          </w:p>
        </w:tc>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val="false"/>
                <w:bCs w:val="false"/>
                <w:color w:val="4A5568"/>
                <w:sz w:val="21"/>
                <w:szCs w:val="21"/>
              </w:rPr>
              <w:t xml:space="preserve">Is the organisation measuring the wrong things because funders and investors want different data?</w:t>
            </w:r>
          </w:p>
        </w:tc>
      </w:tr>
      <w:tr>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Growth Tension</w:t>
            </w:r>
          </w:p>
        </w:tc>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val="false"/>
                <w:bCs w:val="false"/>
                <w:color w:val="4A5568"/>
                <w:sz w:val="21"/>
                <w:szCs w:val="21"/>
              </w:rPr>
              <w:t xml:space="preserve">Is the organisation under pressure to scale commercially in ways that would dilute the quality or specificity of its mission impact?</w:t>
            </w:r>
          </w:p>
        </w:tc>
      </w:tr>
    </w:tbl>
    <w:p>
      <w:pPr>
        <w:spacing w:after="0" w:before="0"/>
      </w:pPr>
      <w:r>
        <w:t xml:space="preserve"/>
      </w:r>
    </w:p>
    <w:p>
      <w:pPr>
        <w:pStyle w:val="Heading3"/>
        <w:spacing w:after="120" w:before="260"/>
      </w:pPr>
      <w:r>
        <w:rPr>
          <w:rFonts w:ascii="Arial" w:cs="Arial" w:eastAsia="Arial" w:hAnsi="Arial"/>
          <w:b/>
          <w:bCs/>
          <w:color w:val="1C2B45"/>
          <w:sz w:val="26"/>
          <w:szCs w:val="26"/>
        </w:rPr>
        <w:t xml:space="preserve">Tension Analysis Output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Tension Identified</w:t>
            </w:r>
          </w:p>
        </w:tc>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val="false"/>
                <w:bCs w:val="false"/>
                <w:color w:val="4A5568"/>
                <w:sz w:val="21"/>
                <w:szCs w:val="21"/>
              </w:rPr>
              <w:t xml:space="preserve">Plain English description of the specific tension with the data points that evidence it.</w:t>
            </w:r>
          </w:p>
        </w:tc>
      </w:tr>
      <w:tr>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Commercial Implication</w:t>
            </w:r>
          </w:p>
        </w:tc>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val="false"/>
                <w:bCs w:val="false"/>
                <w:color w:val="4A5568"/>
                <w:sz w:val="21"/>
                <w:szCs w:val="21"/>
              </w:rPr>
              <w:t xml:space="preserve">What the tension means for the commercial health score and trading sustainability.</w:t>
            </w:r>
          </w:p>
        </w:tc>
      </w:tr>
      <w:tr>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Mission Implication</w:t>
            </w:r>
          </w:p>
        </w:tc>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val="false"/>
                <w:bCs w:val="false"/>
                <w:color w:val="4A5568"/>
                <w:sz w:val="21"/>
                <w:szCs w:val="21"/>
              </w:rPr>
              <w:t xml:space="preserve">What the tension means for the mission health score and impact delivery.</w:t>
            </w:r>
          </w:p>
        </w:tc>
      </w:tr>
      <w:tr>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Strategic Options</w:t>
            </w:r>
          </w:p>
        </w:tc>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val="false"/>
                <w:bCs w:val="false"/>
                <w:color w:val="4A5568"/>
                <w:sz w:val="21"/>
                <w:szCs w:val="21"/>
              </w:rPr>
              <w:t xml:space="preserve">Two or three specific options for resolving the tension, each with a commercial trade-off and a mission trade-off stated explicitly.</w:t>
            </w:r>
          </w:p>
        </w:tc>
      </w:tr>
      <w:tr>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Recommended Path</w:t>
            </w:r>
          </w:p>
        </w:tc>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val="false"/>
                <w:bCs w:val="false"/>
                <w:color w:val="4A5568"/>
                <w:sz w:val="21"/>
                <w:szCs w:val="21"/>
              </w:rPr>
              <w:t xml:space="preserve">The advisor-reviewed recommendation for resolving the tension given the organisation’s specific context and stated strategic priorities.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2B45" w:val="clear"/>
            <w:tcMar>
              <w:top w:type="dxa" w:w="280"/>
              <w:left w:type="dxa" w:w="360"/>
              <w:bottom w:type="dxa" w:w="280"/>
              <w:right w:type="dxa" w:w="360"/>
            </w:tcMar>
          </w:tcPr>
          <w:p>
            <w:pPr>
              <w:spacing w:after="80" w:before="0"/>
            </w:pPr>
            <w:r>
              <w:rPr>
                <w:rFonts w:ascii="Arial" w:cs="Arial" w:eastAsia="Arial" w:hAnsi="Arial"/>
                <w:b/>
                <w:bCs/>
                <w:color w:val="FFFFFF"/>
                <w:sz w:val="42"/>
                <w:szCs w:val="42"/>
              </w:rPr>
              <w:t xml:space="preserve">SECTION 7</w:t>
            </w:r>
          </w:p>
          <w:p>
            <w:pPr>
              <w:spacing w:after="0" w:before="0"/>
            </w:pPr>
            <w:r>
              <w:rPr>
                <w:rFonts w:ascii="Arial" w:cs="Arial" w:eastAsia="Arial" w:hAnsi="Arial"/>
                <w:i/>
                <w:iCs/>
                <w:color w:val="E8D5A0"/>
                <w:sz w:val="22"/>
                <w:szCs w:val="22"/>
              </w:rPr>
              <w:t xml:space="preserve">Governance Review — Standalone Engagement</w:t>
            </w:r>
          </w:p>
        </w:tc>
      </w:tr>
    </w:tbl>
    <w:p>
      <w:pPr>
        <w:spacing w:after="0" w:before="0"/>
      </w:pPr>
      <w:r>
        <w:t xml:space="preserve"/>
      </w:r>
    </w:p>
    <w:p>
      <w:pPr>
        <w:pStyle w:val="Heading1"/>
        <w:pBdr>
          <w:bottom w:val="single" w:color="B8860B" w:sz="8" w:space="6"/>
        </w:pBdr>
        <w:spacing w:after="200" w:before="480"/>
      </w:pPr>
      <w:r>
        <w:rPr>
          <w:rFonts w:ascii="Arial" w:cs="Arial" w:eastAsia="Arial" w:hAnsi="Arial"/>
          <w:b/>
          <w:bCs/>
          <w:color w:val="1C2B45"/>
          <w:sz w:val="44"/>
          <w:szCs w:val="44"/>
        </w:rPr>
        <w:t xml:space="preserve">7. Governance Review — Standalone Engagement</w:t>
      </w:r>
    </w:p>
    <w:p>
      <w:pPr>
        <w:spacing w:after="100" w:before="80"/>
      </w:pPr>
      <w:r>
        <w:rPr>
          <w:rFonts w:ascii="Arial" w:cs="Arial" w:eastAsia="Arial" w:hAnsi="Arial"/>
          <w:b w:val="false"/>
          <w:bCs w:val="false"/>
          <w:i w:val="false"/>
          <w:iCs w:val="false"/>
          <w:color w:val="4A5568"/>
          <w:sz w:val="22"/>
          <w:szCs w:val="22"/>
        </w:rPr>
        <w:t xml:space="preserve">The mandatory three-year governance review under s.42G Charities Act 2005 is the primary entry point into NPO advisory. Most registered charities must complete this review and lack the internal capability to do so. The governance review engagement is designed to be completed efficiently, deliver genuine compliance value, and convert naturally into full NPO Advisory.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1"/>
              <w:bottom w:val="single" w:color="B8860B" w:sz="1"/>
              <w:right w:val="single" w:color="B8860B" w:sz="1"/>
            </w:tcBorders>
            <w:shd w:fill="F9F6F0" w:val="clear"/>
            <w:tcMar>
              <w:top w:type="dxa" w:w="200"/>
              <w:left w:type="dxa" w:w="280"/>
              <w:bottom w:type="dxa" w:w="200"/>
              <w:right w:type="dxa" w:w="280"/>
            </w:tcMar>
          </w:tcPr>
          <w:p>
            <w:pPr>
              <w:spacing w:after="40" w:before="40"/>
            </w:pPr>
            <w:r>
              <w:rPr>
                <w:rFonts w:ascii="Arial" w:cs="Arial" w:eastAsia="Arial" w:hAnsi="Arial"/>
                <w:b w:val="false"/>
                <w:bCs w:val="false"/>
                <w:i w:val="false"/>
                <w:iCs w:val="false"/>
                <w:color w:val="1C2B45"/>
                <w:sz w:val="21"/>
                <w:szCs w:val="21"/>
              </w:rPr>
              <w:t xml:space="preserve">REGULATORY CONTEXT: From 5 October 2023, all registered charities must complete a governance review at least every three years under s.42G Charities Act 2005. Charities Services expects evidence of this review to be available on request. FSA’s Governance Review Report fulfils this obligation and provides documented evidence the charity can produce at any time.</w:t>
            </w:r>
          </w:p>
        </w:tc>
      </w:tr>
    </w:tbl>
    <w:p>
      <w:pPr>
        <w:spacing w:after="0" w:before="0"/>
      </w:pPr>
      <w:r>
        <w:t xml:space="preserve"/>
      </w:r>
    </w:p>
    <w:p>
      <w:pPr>
        <w:pStyle w:val="Heading2"/>
        <w:spacing w:after="160" w:before="360"/>
      </w:pPr>
      <w:r>
        <w:rPr>
          <w:rFonts w:ascii="Arial" w:cs="Arial" w:eastAsia="Arial" w:hAnsi="Arial"/>
          <w:b/>
          <w:bCs/>
          <w:color w:val="0D7A7A"/>
          <w:sz w:val="32"/>
          <w:szCs w:val="32"/>
        </w:rPr>
        <w:t xml:space="preserve">7.1 Engagement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1"/>
              <w:bottom w:val="single" w:color="E0D8CC" w:sz="1"/>
              <w:right w:val="single" w:color="B8860B" w:sz="1"/>
            </w:tcBorders>
            <w:shd w:fill="F9F6F0" w:val="clear"/>
            <w:tcMar>
              <w:top w:type="dxa" w:w="120"/>
              <w:left w:type="dxa" w:w="240"/>
              <w:bottom w:type="dxa" w:w="120"/>
              <w:right w:type="dxa" w:w="240"/>
            </w:tcMar>
          </w:tcPr>
          <w:p>
            <w:pPr>
              <w:spacing w:after="60" w:before="0"/>
            </w:pPr>
            <w:r>
              <w:rPr>
                <w:rFonts w:ascii="Arial" w:cs="Arial" w:eastAsia="Arial" w:hAnsi="Arial"/>
                <w:b/>
                <w:bCs/>
                <w:color w:val="B8860B"/>
                <w:sz w:val="22"/>
                <w:szCs w:val="22"/>
              </w:rPr>
              <w:t xml:space="preserve">1  </w:t>
            </w:r>
            <w:r>
              <w:rPr>
                <w:rFonts w:ascii="Arial" w:cs="Arial" w:eastAsia="Arial" w:hAnsi="Arial"/>
                <w:b/>
                <w:bCs/>
                <w:color w:val="1C2B45"/>
                <w:sz w:val="22"/>
                <w:szCs w:val="22"/>
              </w:rPr>
              <w:t xml:space="preserve">NPO Contact Established</w:t>
            </w:r>
          </w:p>
          <w:p>
            <w:pPr>
              <w:spacing w:after="0" w:before="0"/>
            </w:pPr>
            <w:r>
              <w:rPr>
                <w:rFonts w:ascii="Arial" w:cs="Arial" w:eastAsia="Arial" w:hAnsi="Arial"/>
                <w:b w:val="false"/>
                <w:bCs w:val="false"/>
                <w:i w:val="false"/>
                <w:iCs w:val="false"/>
                <w:color w:val="4A5568"/>
                <w:sz w:val="21"/>
                <w:szCs w:val="21"/>
              </w:rPr>
              <w:t xml:space="preserve">NPO contacts FSA for a governance review, or the advisor proactively identifies an NPO approaching their three-year review deadline. A governance review engagement is created in the platform.</w:t>
            </w:r>
          </w:p>
        </w:tc>
      </w:tr>
      <w:tr>
        <w:tc>
          <w:tcPr>
            <w:tcW w:type="dxa" w:w="9360"/>
            <w:tcBorders>
              <w:top w:val="none" w:color="FFFFFF" w:sz="0"/>
              <w:left w:val="single" w:color="B8860B" w:sz="1"/>
              <w:bottom w:val="single" w:color="E0D8CC" w:sz="1"/>
              <w:right w:val="single" w:color="B8860B" w:sz="1"/>
            </w:tcBorders>
            <w:shd w:fill="FFFFFF" w:val="clear"/>
            <w:tcMar>
              <w:top w:type="dxa" w:w="120"/>
              <w:left w:type="dxa" w:w="240"/>
              <w:bottom w:type="dxa" w:w="120"/>
              <w:right w:type="dxa" w:w="240"/>
            </w:tcMar>
          </w:tcPr>
          <w:p>
            <w:pPr>
              <w:spacing w:after="60" w:before="0"/>
            </w:pPr>
            <w:r>
              <w:rPr>
                <w:rFonts w:ascii="Arial" w:cs="Arial" w:eastAsia="Arial" w:hAnsi="Arial"/>
                <w:b/>
                <w:bCs/>
                <w:color w:val="B8860B"/>
                <w:sz w:val="22"/>
                <w:szCs w:val="22"/>
              </w:rPr>
              <w:t xml:space="preserve">2  </w:t>
            </w:r>
            <w:r>
              <w:rPr>
                <w:rFonts w:ascii="Arial" w:cs="Arial" w:eastAsia="Arial" w:hAnsi="Arial"/>
                <w:b/>
                <w:bCs/>
                <w:color w:val="1C2B45"/>
                <w:sz w:val="22"/>
                <w:szCs w:val="22"/>
              </w:rPr>
              <w:t xml:space="preserve">Governance Review Questionnaire</w:t>
            </w:r>
          </w:p>
          <w:p>
            <w:pPr>
              <w:spacing w:after="0" w:before="0"/>
            </w:pPr>
            <w:r>
              <w:rPr>
                <w:rFonts w:ascii="Arial" w:cs="Arial" w:eastAsia="Arial" w:hAnsi="Arial"/>
                <w:b w:val="false"/>
                <w:bCs w:val="false"/>
                <w:i w:val="false"/>
                <w:iCs w:val="false"/>
                <w:color w:val="4A5568"/>
                <w:sz w:val="21"/>
                <w:szCs w:val="21"/>
              </w:rPr>
              <w:t xml:space="preserve">The focused governance questionnaire is sent to the NPO primary contact (typically the board chair or CEO). Target completion: 45–60 minutes.</w:t>
            </w:r>
          </w:p>
        </w:tc>
      </w:tr>
      <w:tr>
        <w:tc>
          <w:tcPr>
            <w:tcW w:type="dxa" w:w="9360"/>
            <w:tcBorders>
              <w:top w:val="none" w:color="FFFFFF" w:sz="0"/>
              <w:left w:val="single" w:color="B8860B" w:sz="1"/>
              <w:bottom w:val="single" w:color="E0D8CC" w:sz="1"/>
              <w:right w:val="single" w:color="B8860B" w:sz="1"/>
            </w:tcBorders>
            <w:shd w:fill="F9F6F0" w:val="clear"/>
            <w:tcMar>
              <w:top w:type="dxa" w:w="120"/>
              <w:left w:type="dxa" w:w="240"/>
              <w:bottom w:type="dxa" w:w="120"/>
              <w:right w:type="dxa" w:w="240"/>
            </w:tcMar>
          </w:tcPr>
          <w:p>
            <w:pPr>
              <w:spacing w:after="60" w:before="0"/>
            </w:pPr>
            <w:r>
              <w:rPr>
                <w:rFonts w:ascii="Arial" w:cs="Arial" w:eastAsia="Arial" w:hAnsi="Arial"/>
                <w:b/>
                <w:bCs/>
                <w:color w:val="B8860B"/>
                <w:sz w:val="22"/>
                <w:szCs w:val="22"/>
              </w:rPr>
              <w:t xml:space="preserve">3  </w:t>
            </w:r>
            <w:r>
              <w:rPr>
                <w:rFonts w:ascii="Arial" w:cs="Arial" w:eastAsia="Arial" w:hAnsi="Arial"/>
                <w:b/>
                <w:bCs/>
                <w:color w:val="1C2B45"/>
                <w:sz w:val="22"/>
                <w:szCs w:val="22"/>
              </w:rPr>
              <w:t xml:space="preserve">Document Collection</w:t>
            </w:r>
          </w:p>
          <w:p>
            <w:pPr>
              <w:spacing w:after="0" w:before="0"/>
            </w:pPr>
            <w:r>
              <w:rPr>
                <w:rFonts w:ascii="Arial" w:cs="Arial" w:eastAsia="Arial" w:hAnsi="Arial"/>
                <w:b w:val="false"/>
                <w:bCs w:val="false"/>
                <w:i w:val="false"/>
                <w:iCs w:val="false"/>
                <w:color w:val="4A5568"/>
                <w:sz w:val="21"/>
                <w:szCs w:val="21"/>
              </w:rPr>
              <w:t xml:space="preserve">Constitution or rules, most recent financial statements, board register, and conflict of interest register uploaded to the platform.</w:t>
            </w:r>
          </w:p>
        </w:tc>
      </w:tr>
      <w:tr>
        <w:tc>
          <w:tcPr>
            <w:tcW w:type="dxa" w:w="9360"/>
            <w:tcBorders>
              <w:top w:val="none" w:color="FFFFFF" w:sz="0"/>
              <w:left w:val="single" w:color="B8860B" w:sz="1"/>
              <w:bottom w:val="single" w:color="E0D8CC" w:sz="1"/>
              <w:right w:val="single" w:color="B8860B" w:sz="1"/>
            </w:tcBorders>
            <w:shd w:fill="FFFFFF" w:val="clear"/>
            <w:tcMar>
              <w:top w:type="dxa" w:w="120"/>
              <w:left w:type="dxa" w:w="240"/>
              <w:bottom w:type="dxa" w:w="120"/>
              <w:right w:type="dxa" w:w="240"/>
            </w:tcMar>
          </w:tcPr>
          <w:p>
            <w:pPr>
              <w:spacing w:after="60" w:before="0"/>
            </w:pPr>
            <w:r>
              <w:rPr>
                <w:rFonts w:ascii="Arial" w:cs="Arial" w:eastAsia="Arial" w:hAnsi="Arial"/>
                <w:b/>
                <w:bCs/>
                <w:color w:val="B8860B"/>
                <w:sz w:val="22"/>
                <w:szCs w:val="22"/>
              </w:rPr>
              <w:t xml:space="preserve">4  </w:t>
            </w:r>
            <w:r>
              <w:rPr>
                <w:rFonts w:ascii="Arial" w:cs="Arial" w:eastAsia="Arial" w:hAnsi="Arial"/>
                <w:b/>
                <w:bCs/>
                <w:color w:val="1C2B45"/>
                <w:sz w:val="22"/>
                <w:szCs w:val="22"/>
              </w:rPr>
              <w:t xml:space="preserve">AI Analysis — Governance Assessment</w:t>
            </w:r>
          </w:p>
          <w:p>
            <w:pPr>
              <w:spacing w:after="0" w:before="0"/>
            </w:pPr>
            <w:r>
              <w:rPr>
                <w:rFonts w:ascii="Arial" w:cs="Arial" w:eastAsia="Arial" w:hAnsi="Arial"/>
                <w:b w:val="false"/>
                <w:bCs w:val="false"/>
                <w:i w:val="false"/>
                <w:iCs w:val="false"/>
                <w:color w:val="4A5568"/>
                <w:sz w:val="21"/>
                <w:szCs w:val="21"/>
              </w:rPr>
              <w:t xml:space="preserve">The AI analysis engine reviews all inputs against governance assessment criteria for this organisation’s legal structure. Identifies gaps, risks, and compliance issues. Advisor reviews AI outputs and adds professional judgment.</w:t>
            </w:r>
          </w:p>
        </w:tc>
      </w:tr>
      <w:tr>
        <w:tc>
          <w:tcPr>
            <w:tcW w:type="dxa" w:w="9360"/>
            <w:tcBorders>
              <w:top w:val="none" w:color="FFFFFF" w:sz="0"/>
              <w:left w:val="single" w:color="B8860B" w:sz="1"/>
              <w:bottom w:val="single" w:color="E0D8CC" w:sz="1"/>
              <w:right w:val="single" w:color="B8860B" w:sz="1"/>
            </w:tcBorders>
            <w:shd w:fill="F9F6F0" w:val="clear"/>
            <w:tcMar>
              <w:top w:type="dxa" w:w="120"/>
              <w:left w:type="dxa" w:w="240"/>
              <w:bottom w:type="dxa" w:w="120"/>
              <w:right w:type="dxa" w:w="240"/>
            </w:tcMar>
          </w:tcPr>
          <w:p>
            <w:pPr>
              <w:spacing w:after="60" w:before="0"/>
            </w:pPr>
            <w:r>
              <w:rPr>
                <w:rFonts w:ascii="Arial" w:cs="Arial" w:eastAsia="Arial" w:hAnsi="Arial"/>
                <w:b/>
                <w:bCs/>
                <w:color w:val="B8860B"/>
                <w:sz w:val="22"/>
                <w:szCs w:val="22"/>
              </w:rPr>
              <w:t xml:space="preserve">5  </w:t>
            </w:r>
            <w:r>
              <w:rPr>
                <w:rFonts w:ascii="Arial" w:cs="Arial" w:eastAsia="Arial" w:hAnsi="Arial"/>
                <w:b/>
                <w:bCs/>
                <w:color w:val="1C2B45"/>
                <w:sz w:val="22"/>
                <w:szCs w:val="22"/>
              </w:rPr>
              <w:t xml:space="preserve">Fee Proposal — Governance Review</w:t>
            </w:r>
          </w:p>
          <w:p>
            <w:pPr>
              <w:spacing w:after="0" w:before="0"/>
            </w:pPr>
            <w:r>
              <w:rPr>
                <w:rFonts w:ascii="Arial" w:cs="Arial" w:eastAsia="Arial" w:hAnsi="Arial"/>
                <w:b w:val="false"/>
                <w:bCs w:val="false"/>
                <w:i w:val="false"/>
                <w:iCs w:val="false"/>
                <w:color w:val="4A5568"/>
                <w:sz w:val="21"/>
                <w:szCs w:val="21"/>
              </w:rPr>
              <w:t xml:space="preserve">Advisor generates a fixed-fee governance review proposal within the platform. Same sign-off flow as standard advisory proposals: released, reviewed, signed, payment authorised. Fixed fee range: $1,500–$2,500.</w:t>
            </w:r>
          </w:p>
        </w:tc>
      </w:tr>
      <w:tr>
        <w:tc>
          <w:tcPr>
            <w:tcW w:type="dxa" w:w="9360"/>
            <w:tcBorders>
              <w:top w:val="none" w:color="FFFFFF" w:sz="0"/>
              <w:left w:val="single" w:color="B8860B" w:sz="1"/>
              <w:bottom w:val="single" w:color="E0D8CC" w:sz="1"/>
              <w:right w:val="single" w:color="B8860B" w:sz="1"/>
            </w:tcBorders>
            <w:shd w:fill="FFFFFF" w:val="clear"/>
            <w:tcMar>
              <w:top w:type="dxa" w:w="120"/>
              <w:left w:type="dxa" w:w="240"/>
              <w:bottom w:type="dxa" w:w="120"/>
              <w:right w:type="dxa" w:w="240"/>
            </w:tcMar>
          </w:tcPr>
          <w:p>
            <w:pPr>
              <w:spacing w:after="60" w:before="0"/>
            </w:pPr>
            <w:r>
              <w:rPr>
                <w:rFonts w:ascii="Arial" w:cs="Arial" w:eastAsia="Arial" w:hAnsi="Arial"/>
                <w:b/>
                <w:bCs/>
                <w:color w:val="B8860B"/>
                <w:sz w:val="22"/>
                <w:szCs w:val="22"/>
              </w:rPr>
              <w:t xml:space="preserve">6  </w:t>
            </w:r>
            <w:r>
              <w:rPr>
                <w:rFonts w:ascii="Arial" w:cs="Arial" w:eastAsia="Arial" w:hAnsi="Arial"/>
                <w:b/>
                <w:bCs/>
                <w:color w:val="1C2B45"/>
                <w:sz w:val="22"/>
                <w:szCs w:val="22"/>
              </w:rPr>
              <w:t xml:space="preserve">Governance Review Report Generated</w:t>
            </w:r>
          </w:p>
          <w:p>
            <w:pPr>
              <w:spacing w:after="0" w:before="0"/>
            </w:pPr>
            <w:r>
              <w:rPr>
                <w:rFonts w:ascii="Arial" w:cs="Arial" w:eastAsia="Arial" w:hAnsi="Arial"/>
                <w:b w:val="false"/>
                <w:bCs w:val="false"/>
                <w:i w:val="false"/>
                <w:iCs w:val="false"/>
                <w:color w:val="4A5568"/>
                <w:sz w:val="21"/>
                <w:szCs w:val="21"/>
              </w:rPr>
              <w:t xml:space="preserve">The platform generates the Governance Review Report (Section 9.3). Documents s.42G compliance, board assessment, gaps, recommendations, and 12-month action plan.</w:t>
            </w:r>
          </w:p>
        </w:tc>
      </w:tr>
      <w:tr>
        <w:tc>
          <w:tcPr>
            <w:tcW w:type="dxa" w:w="9360"/>
            <w:tcBorders>
              <w:top w:val="none" w:color="FFFFFF" w:sz="0"/>
              <w:left w:val="single" w:color="B8860B" w:sz="1"/>
              <w:bottom w:val="single" w:color="E0D8CC" w:sz="1"/>
              <w:right w:val="single" w:color="B8860B" w:sz="1"/>
            </w:tcBorders>
            <w:shd w:fill="F9F6F0" w:val="clear"/>
            <w:tcMar>
              <w:top w:type="dxa" w:w="120"/>
              <w:left w:type="dxa" w:w="240"/>
              <w:bottom w:type="dxa" w:w="120"/>
              <w:right w:type="dxa" w:w="240"/>
            </w:tcMar>
          </w:tcPr>
          <w:p>
            <w:pPr>
              <w:spacing w:after="60" w:before="0"/>
            </w:pPr>
            <w:r>
              <w:rPr>
                <w:rFonts w:ascii="Arial" w:cs="Arial" w:eastAsia="Arial" w:hAnsi="Arial"/>
                <w:b/>
                <w:bCs/>
                <w:color w:val="B8860B"/>
                <w:sz w:val="22"/>
                <w:szCs w:val="22"/>
              </w:rPr>
              <w:t xml:space="preserve">7  </w:t>
            </w:r>
            <w:r>
              <w:rPr>
                <w:rFonts w:ascii="Arial" w:cs="Arial" w:eastAsia="Arial" w:hAnsi="Arial"/>
                <w:b/>
                <w:bCs/>
                <w:color w:val="1C2B45"/>
                <w:sz w:val="22"/>
                <w:szCs w:val="22"/>
              </w:rPr>
              <w:t xml:space="preserve">Report Delivery Meeting</w:t>
            </w:r>
          </w:p>
          <w:p>
            <w:pPr>
              <w:spacing w:after="0" w:before="0"/>
            </w:pPr>
            <w:r>
              <w:rPr>
                <w:rFonts w:ascii="Arial" w:cs="Arial" w:eastAsia="Arial" w:hAnsi="Arial"/>
                <w:b w:val="false"/>
                <w:bCs w:val="false"/>
                <w:i w:val="false"/>
                <w:iCs w:val="false"/>
                <w:color w:val="4A5568"/>
                <w:sz w:val="21"/>
                <w:szCs w:val="21"/>
              </w:rPr>
              <w:t xml:space="preserve">Advisor presents findings to the board or board chair. Full NPO Advisory is introduced as the natural next step. A preliminary fee indication for full advisory is provided at this meeting.</w:t>
            </w:r>
          </w:p>
        </w:tc>
      </w:tr>
      <w:tr>
        <w:tc>
          <w:tcPr>
            <w:tcW w:type="dxa" w:w="9360"/>
            <w:tcBorders>
              <w:top w:val="none" w:color="FFFFFF" w:sz="0"/>
              <w:left w:val="single" w:color="B8860B" w:sz="1"/>
              <w:bottom w:val="single" w:color="E0D8CC" w:sz="1"/>
              <w:right w:val="single" w:color="B8860B" w:sz="1"/>
            </w:tcBorders>
            <w:shd w:fill="FFFFFF" w:val="clear"/>
            <w:tcMar>
              <w:top w:type="dxa" w:w="120"/>
              <w:left w:type="dxa" w:w="240"/>
              <w:bottom w:type="dxa" w:w="120"/>
              <w:right w:type="dxa" w:w="240"/>
            </w:tcMar>
          </w:tcPr>
          <w:p>
            <w:pPr>
              <w:spacing w:after="60" w:before="0"/>
            </w:pPr>
            <w:r>
              <w:rPr>
                <w:rFonts w:ascii="Arial" w:cs="Arial" w:eastAsia="Arial" w:hAnsi="Arial"/>
                <w:b/>
                <w:bCs/>
                <w:color w:val="B8860B"/>
                <w:sz w:val="22"/>
                <w:szCs w:val="22"/>
              </w:rPr>
              <w:t xml:space="preserve">8  </w:t>
            </w:r>
            <w:r>
              <w:rPr>
                <w:rFonts w:ascii="Arial" w:cs="Arial" w:eastAsia="Arial" w:hAnsi="Arial"/>
                <w:b/>
                <w:bCs/>
                <w:color w:val="1C2B45"/>
                <w:sz w:val="22"/>
                <w:szCs w:val="22"/>
              </w:rPr>
              <w:t xml:space="preserve">Conversion Decision</w:t>
            </w:r>
          </w:p>
          <w:p>
            <w:pPr>
              <w:spacing w:after="0" w:before="0"/>
            </w:pPr>
            <w:r>
              <w:rPr>
                <w:rFonts w:ascii="Arial" w:cs="Arial" w:eastAsia="Arial" w:hAnsi="Arial"/>
                <w:b w:val="false"/>
                <w:bCs w:val="false"/>
                <w:i w:val="false"/>
                <w:iCs w:val="false"/>
                <w:color w:val="4A5568"/>
                <w:sz w:val="21"/>
                <w:szCs w:val="21"/>
              </w:rPr>
              <w:t xml:space="preserve">NPO decides whether to proceed to full advisory. If yes, full NPO Advisory engagement is created. If no, NPO is placed in the conversion pipeline for follow-up.</w:t>
            </w:r>
          </w:p>
        </w:tc>
      </w:tr>
      <w:tr>
        <w:tc>
          <w:tcPr>
            <w:tcW w:type="dxa" w:w="9360"/>
            <w:tcBorders>
              <w:top w:val="none" w:color="FFFFFF" w:sz="0"/>
              <w:left w:val="single" w:color="B8860B" w:sz="1"/>
              <w:bottom w:val="single" w:color="B8860B" w:sz="1"/>
              <w:right w:val="single" w:color="B8860B" w:sz="1"/>
            </w:tcBorders>
            <w:shd w:fill="F9F6F0" w:val="clear"/>
            <w:tcMar>
              <w:top w:type="dxa" w:w="120"/>
              <w:left w:type="dxa" w:w="240"/>
              <w:bottom w:type="dxa" w:w="120"/>
              <w:right w:type="dxa" w:w="240"/>
            </w:tcMar>
          </w:tcPr>
          <w:p>
            <w:pPr>
              <w:spacing w:after="60" w:before="0"/>
            </w:pPr>
            <w:r>
              <w:rPr>
                <w:rFonts w:ascii="Arial" w:cs="Arial" w:eastAsia="Arial" w:hAnsi="Arial"/>
                <w:b/>
                <w:bCs/>
                <w:color w:val="B8860B"/>
                <w:sz w:val="22"/>
                <w:szCs w:val="22"/>
              </w:rPr>
              <w:t xml:space="preserve">9  </w:t>
            </w:r>
            <w:r>
              <w:rPr>
                <w:rFonts w:ascii="Arial" w:cs="Arial" w:eastAsia="Arial" w:hAnsi="Arial"/>
                <w:b/>
                <w:bCs/>
                <w:color w:val="1C2B45"/>
                <w:sz w:val="22"/>
                <w:szCs w:val="22"/>
              </w:rPr>
              <w:t xml:space="preserve">Pre-population on Conversion</w:t>
            </w:r>
          </w:p>
          <w:p>
            <w:pPr>
              <w:spacing w:after="0" w:before="0"/>
            </w:pPr>
            <w:r>
              <w:rPr>
                <w:rFonts w:ascii="Arial" w:cs="Arial" w:eastAsia="Arial" w:hAnsi="Arial"/>
                <w:b w:val="false"/>
                <w:bCs w:val="false"/>
                <w:i w:val="false"/>
                <w:iCs w:val="false"/>
                <w:color w:val="4A5568"/>
                <w:sz w:val="21"/>
                <w:szCs w:val="21"/>
              </w:rPr>
              <w:t xml:space="preserve">On conversion, all governance review findings automatically pre-populate the Governance &amp; Leadership dimension (Dimension 3) of the full NPO health assessment. No repeated work.</w:t>
            </w:r>
          </w:p>
        </w:tc>
      </w:tr>
    </w:tbl>
    <w:p>
      <w:pPr>
        <w:spacing w:after="0" w:before="0"/>
      </w:pPr>
      <w:r>
        <w:t xml:space="preserve"/>
      </w:r>
    </w:p>
    <w:p>
      <w:pPr>
        <w:pStyle w:val="Heading2"/>
        <w:spacing w:after="160" w:before="360"/>
      </w:pPr>
      <w:r>
        <w:rPr>
          <w:rFonts w:ascii="Arial" w:cs="Arial" w:eastAsia="Arial" w:hAnsi="Arial"/>
          <w:b/>
          <w:bCs/>
          <w:color w:val="0D7A7A"/>
          <w:sz w:val="32"/>
          <w:szCs w:val="32"/>
        </w:rPr>
        <w:t xml:space="preserve">7.2 Governance Review Fee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D0D5DD" w:sz="1"/>
              <w:left w:val="single" w:color="D0D5DD" w:sz="1"/>
              <w:bottom w:val="single" w:color="D0D5DD" w:sz="1"/>
              <w:right w:val="single" w:color="D0D5DD" w:sz="1"/>
            </w:tcBorders>
            <w:shd w:fill="1C2B45" w:val="clear"/>
            <w:tcMar>
              <w:top w:type="dxa" w:w="100"/>
              <w:left w:type="dxa" w:w="140"/>
              <w:bottom w:type="dxa" w:w="100"/>
              <w:right w:type="dxa" w:w="140"/>
            </w:tcMar>
          </w:tcPr>
          <w:p>
            <w:r>
              <w:rPr>
                <w:rFonts w:ascii="Arial" w:cs="Arial" w:eastAsia="Arial" w:hAnsi="Arial"/>
                <w:b/>
                <w:bCs/>
                <w:color w:val="FFFFFF"/>
                <w:sz w:val="20"/>
                <w:szCs w:val="20"/>
              </w:rPr>
              <w:t xml:space="preserve">Organisation Size</w:t>
            </w:r>
          </w:p>
        </w:tc>
        <w:tc>
          <w:tcPr>
            <w:tcW w:type="dxa" w:w="3080"/>
            <w:tcBorders>
              <w:top w:val="single" w:color="D0D5DD" w:sz="1"/>
              <w:left w:val="single" w:color="D0D5DD" w:sz="1"/>
              <w:bottom w:val="single" w:color="D0D5DD" w:sz="1"/>
              <w:right w:val="single" w:color="D0D5DD" w:sz="1"/>
            </w:tcBorders>
            <w:shd w:fill="1C2B45" w:val="clear"/>
            <w:tcMar>
              <w:top w:type="dxa" w:w="100"/>
              <w:left w:type="dxa" w:w="140"/>
              <w:bottom w:type="dxa" w:w="100"/>
              <w:right w:type="dxa" w:w="140"/>
            </w:tcMar>
          </w:tcPr>
          <w:p>
            <w:r>
              <w:rPr>
                <w:rFonts w:ascii="Arial" w:cs="Arial" w:eastAsia="Arial" w:hAnsi="Arial"/>
                <w:b/>
                <w:bCs/>
                <w:color w:val="FFFFFF"/>
                <w:sz w:val="20"/>
                <w:szCs w:val="20"/>
              </w:rPr>
              <w:t xml:space="preserve">Annual Operating Budget</w:t>
            </w:r>
          </w:p>
        </w:tc>
        <w:tc>
          <w:tcPr>
            <w:tcW w:type="dxa" w:w="3080"/>
            <w:tcBorders>
              <w:top w:val="single" w:color="D0D5DD" w:sz="1"/>
              <w:left w:val="single" w:color="D0D5DD" w:sz="1"/>
              <w:bottom w:val="single" w:color="D0D5DD" w:sz="1"/>
              <w:right w:val="single" w:color="D0D5DD" w:sz="1"/>
            </w:tcBorders>
            <w:shd w:fill="1C2B45" w:val="clear"/>
            <w:tcMar>
              <w:top w:type="dxa" w:w="100"/>
              <w:left w:type="dxa" w:w="140"/>
              <w:bottom w:type="dxa" w:w="100"/>
              <w:right w:type="dxa" w:w="140"/>
            </w:tcMar>
          </w:tcPr>
          <w:p>
            <w:r>
              <w:rPr>
                <w:rFonts w:ascii="Arial" w:cs="Arial" w:eastAsia="Arial" w:hAnsi="Arial"/>
                <w:b/>
                <w:bCs/>
                <w:color w:val="FFFFFF"/>
                <w:sz w:val="20"/>
                <w:szCs w:val="20"/>
              </w:rPr>
              <w:t xml:space="preserve">Fixed Fee Range</w:t>
            </w:r>
          </w:p>
        </w:tc>
      </w:tr>
      <w:tr>
        <w:tc>
          <w:tcPr>
            <w:tcW w:type="dxa" w:w="3200"/>
            <w:tcBorders>
              <w:top w:val="single" w:color="D0D5DD" w:sz="1"/>
              <w:left w:val="single" w:color="D0D5DD" w:sz="1"/>
              <w:bottom w:val="single" w:color="D0D5DD" w:sz="1"/>
              <w:right w:val="single" w:color="D0D5DD" w:sz="1"/>
            </w:tcBorders>
            <w:shd w:fill="F9F6F0" w:val="clear"/>
            <w:tcMar>
              <w:top w:type="dxa" w:w="100"/>
              <w:left w:type="dxa" w:w="140"/>
              <w:bottom w:type="dxa" w:w="100"/>
              <w:right w:type="dxa" w:w="140"/>
            </w:tcMar>
          </w:tcPr>
          <w:p>
            <w:r>
              <w:rPr>
                <w:rFonts w:ascii="Arial" w:cs="Arial" w:eastAsia="Arial" w:hAnsi="Arial"/>
                <w:b w:val="false"/>
                <w:bCs w:val="false"/>
                <w:color w:val="4A5568"/>
                <w:sz w:val="20"/>
                <w:szCs w:val="20"/>
              </w:rPr>
              <w:t xml:space="preserve">Small</w:t>
            </w:r>
          </w:p>
        </w:tc>
        <w:tc>
          <w:tcPr>
            <w:tcW w:type="dxa" w:w="3080"/>
            <w:tcBorders>
              <w:top w:val="single" w:color="D0D5DD" w:sz="1"/>
              <w:left w:val="single" w:color="D0D5DD" w:sz="1"/>
              <w:bottom w:val="single" w:color="D0D5DD" w:sz="1"/>
              <w:right w:val="single" w:color="D0D5DD" w:sz="1"/>
            </w:tcBorders>
            <w:shd w:fill="F9F6F0" w:val="clear"/>
            <w:tcMar>
              <w:top w:type="dxa" w:w="100"/>
              <w:left w:type="dxa" w:w="140"/>
              <w:bottom w:type="dxa" w:w="100"/>
              <w:right w:type="dxa" w:w="140"/>
            </w:tcMar>
          </w:tcPr>
          <w:p>
            <w:r>
              <w:rPr>
                <w:rFonts w:ascii="Arial" w:cs="Arial" w:eastAsia="Arial" w:hAnsi="Arial"/>
                <w:b w:val="false"/>
                <w:bCs w:val="false"/>
                <w:color w:val="4A5568"/>
                <w:sz w:val="20"/>
                <w:szCs w:val="20"/>
              </w:rPr>
              <w:t xml:space="preserve">Under $200,000</w:t>
            </w:r>
          </w:p>
        </w:tc>
        <w:tc>
          <w:tcPr>
            <w:tcW w:type="dxa" w:w="3080"/>
            <w:tcBorders>
              <w:top w:val="single" w:color="D0D5DD" w:sz="1"/>
              <w:left w:val="single" w:color="D0D5DD" w:sz="1"/>
              <w:bottom w:val="single" w:color="D0D5DD" w:sz="1"/>
              <w:right w:val="single" w:color="D0D5DD" w:sz="1"/>
            </w:tcBorders>
            <w:shd w:fill="F9F6F0" w:val="clear"/>
            <w:tcMar>
              <w:top w:type="dxa" w:w="100"/>
              <w:left w:type="dxa" w:w="140"/>
              <w:bottom w:type="dxa" w:w="100"/>
              <w:right w:type="dxa" w:w="140"/>
            </w:tcMar>
          </w:tcPr>
          <w:p>
            <w:r>
              <w:rPr>
                <w:rFonts w:ascii="Arial" w:cs="Arial" w:eastAsia="Arial" w:hAnsi="Arial"/>
                <w:b w:val="false"/>
                <w:bCs w:val="false"/>
                <w:color w:val="4A5568"/>
                <w:sz w:val="20"/>
                <w:szCs w:val="20"/>
              </w:rPr>
              <w:t xml:space="preserve">$1,500</w:t>
            </w:r>
          </w:p>
        </w:tc>
      </w:tr>
      <w:tr>
        <w:tc>
          <w:tcPr>
            <w:tcW w:type="dxa" w:w="32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tcPr>
          <w:p>
            <w:r>
              <w:rPr>
                <w:rFonts w:ascii="Arial" w:cs="Arial" w:eastAsia="Arial" w:hAnsi="Arial"/>
                <w:b w:val="false"/>
                <w:bCs w:val="false"/>
                <w:color w:val="4A5568"/>
                <w:sz w:val="20"/>
                <w:szCs w:val="20"/>
              </w:rPr>
              <w:t xml:space="preserve">Medium</w:t>
            </w:r>
          </w:p>
        </w:tc>
        <w:tc>
          <w:tcPr>
            <w:tcW w:type="dxa" w:w="308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tcPr>
          <w:p>
            <w:r>
              <w:rPr>
                <w:rFonts w:ascii="Arial" w:cs="Arial" w:eastAsia="Arial" w:hAnsi="Arial"/>
                <w:b w:val="false"/>
                <w:bCs w:val="false"/>
                <w:color w:val="4A5568"/>
                <w:sz w:val="20"/>
                <w:szCs w:val="20"/>
              </w:rPr>
              <w:t xml:space="preserve">$200,000 – $1,000,000</w:t>
            </w:r>
          </w:p>
        </w:tc>
        <w:tc>
          <w:tcPr>
            <w:tcW w:type="dxa" w:w="308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tcPr>
          <w:p>
            <w:r>
              <w:rPr>
                <w:rFonts w:ascii="Arial" w:cs="Arial" w:eastAsia="Arial" w:hAnsi="Arial"/>
                <w:b w:val="false"/>
                <w:bCs w:val="false"/>
                <w:color w:val="4A5568"/>
                <w:sz w:val="20"/>
                <w:szCs w:val="20"/>
              </w:rPr>
              <w:t xml:space="preserve">$1,800 – $2,200</w:t>
            </w:r>
          </w:p>
        </w:tc>
      </w:tr>
      <w:tr>
        <w:tc>
          <w:tcPr>
            <w:tcW w:type="dxa" w:w="3200"/>
            <w:tcBorders>
              <w:top w:val="single" w:color="D0D5DD" w:sz="1"/>
              <w:left w:val="single" w:color="D0D5DD" w:sz="1"/>
              <w:bottom w:val="single" w:color="D0D5DD" w:sz="1"/>
              <w:right w:val="single" w:color="D0D5DD" w:sz="1"/>
            </w:tcBorders>
            <w:shd w:fill="F9F6F0" w:val="clear"/>
            <w:tcMar>
              <w:top w:type="dxa" w:w="100"/>
              <w:left w:type="dxa" w:w="140"/>
              <w:bottom w:type="dxa" w:w="100"/>
              <w:right w:type="dxa" w:w="140"/>
            </w:tcMar>
          </w:tcPr>
          <w:p>
            <w:r>
              <w:rPr>
                <w:rFonts w:ascii="Arial" w:cs="Arial" w:eastAsia="Arial" w:hAnsi="Arial"/>
                <w:b w:val="false"/>
                <w:bCs w:val="false"/>
                <w:color w:val="4A5568"/>
                <w:sz w:val="20"/>
                <w:szCs w:val="20"/>
              </w:rPr>
              <w:t xml:space="preserve">Large</w:t>
            </w:r>
          </w:p>
        </w:tc>
        <w:tc>
          <w:tcPr>
            <w:tcW w:type="dxa" w:w="3080"/>
            <w:tcBorders>
              <w:top w:val="single" w:color="D0D5DD" w:sz="1"/>
              <w:left w:val="single" w:color="D0D5DD" w:sz="1"/>
              <w:bottom w:val="single" w:color="D0D5DD" w:sz="1"/>
              <w:right w:val="single" w:color="D0D5DD" w:sz="1"/>
            </w:tcBorders>
            <w:shd w:fill="F9F6F0" w:val="clear"/>
            <w:tcMar>
              <w:top w:type="dxa" w:w="100"/>
              <w:left w:type="dxa" w:w="140"/>
              <w:bottom w:type="dxa" w:w="100"/>
              <w:right w:type="dxa" w:w="140"/>
            </w:tcMar>
          </w:tcPr>
          <w:p>
            <w:r>
              <w:rPr>
                <w:rFonts w:ascii="Arial" w:cs="Arial" w:eastAsia="Arial" w:hAnsi="Arial"/>
                <w:b w:val="false"/>
                <w:bCs w:val="false"/>
                <w:color w:val="4A5568"/>
                <w:sz w:val="20"/>
                <w:szCs w:val="20"/>
              </w:rPr>
              <w:t xml:space="preserve">Over $1,000,000</w:t>
            </w:r>
          </w:p>
        </w:tc>
        <w:tc>
          <w:tcPr>
            <w:tcW w:type="dxa" w:w="3080"/>
            <w:tcBorders>
              <w:top w:val="single" w:color="D0D5DD" w:sz="1"/>
              <w:left w:val="single" w:color="D0D5DD" w:sz="1"/>
              <w:bottom w:val="single" w:color="D0D5DD" w:sz="1"/>
              <w:right w:val="single" w:color="D0D5DD" w:sz="1"/>
            </w:tcBorders>
            <w:shd w:fill="F9F6F0" w:val="clear"/>
            <w:tcMar>
              <w:top w:type="dxa" w:w="100"/>
              <w:left w:type="dxa" w:w="140"/>
              <w:bottom w:type="dxa" w:w="100"/>
              <w:right w:type="dxa" w:w="140"/>
            </w:tcMar>
          </w:tcPr>
          <w:p>
            <w:r>
              <w:rPr>
                <w:rFonts w:ascii="Arial" w:cs="Arial" w:eastAsia="Arial" w:hAnsi="Arial"/>
                <w:b w:val="false"/>
                <w:bCs w:val="false"/>
                <w:color w:val="4A5568"/>
                <w:sz w:val="20"/>
                <w:szCs w:val="20"/>
              </w:rPr>
              <w:t xml:space="preserve">$2,200 – $2,500</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What Is Included</w:t>
            </w:r>
          </w:p>
        </w:tc>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val="false"/>
                <w:bCs w:val="false"/>
                <w:color w:val="4A5568"/>
                <w:sz w:val="21"/>
                <w:szCs w:val="21"/>
              </w:rPr>
              <w:t xml:space="preserve">Governance questionnaire and document review, AI analysis, advisor professional review, Governance Review Report, report delivery meeting (up to 90 minutes), 12-month governance improvement action plan.</w:t>
            </w:r>
          </w:p>
        </w:tc>
      </w:tr>
      <w:tr>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What Is Not Included</w:t>
            </w:r>
          </w:p>
        </w:tc>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val="false"/>
                <w:bCs w:val="false"/>
                <w:color w:val="4A5568"/>
                <w:sz w:val="21"/>
                <w:szCs w:val="21"/>
              </w:rPr>
              <w:t xml:space="preserve">Legal advice (advisor refers to appropriate NZ lawyer), constitution redrafting (referral to legal provider), ongoing advisory beyond the review.</w:t>
            </w:r>
          </w:p>
        </w:tc>
      </w:tr>
      <w:tr>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Conversion Credit</w:t>
            </w:r>
          </w:p>
        </w:tc>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val="false"/>
                <w:bCs w:val="false"/>
                <w:color w:val="4A5568"/>
                <w:sz w:val="21"/>
                <w:szCs w:val="21"/>
              </w:rPr>
              <w:t xml:space="preserve">At advisor discretion, 50% of the governance review fee may be credited against the first month of a full NPO Advisory retainer. Reduces the financial barrier to conversion.</w:t>
            </w:r>
          </w:p>
        </w:tc>
      </w:tr>
    </w:tbl>
    <w:p>
      <w:pPr>
        <w:spacing w:after="0" w:before="0"/>
      </w:pPr>
      <w:r>
        <w:t xml:space="preserve"/>
      </w:r>
    </w:p>
    <w:p>
      <w:pPr>
        <w:pStyle w:val="Heading2"/>
        <w:spacing w:after="160" w:before="360"/>
      </w:pPr>
      <w:r>
        <w:rPr>
          <w:rFonts w:ascii="Arial" w:cs="Arial" w:eastAsia="Arial" w:hAnsi="Arial"/>
          <w:b/>
          <w:bCs/>
          <w:color w:val="0D7A7A"/>
          <w:sz w:val="32"/>
          <w:szCs w:val="32"/>
        </w:rPr>
        <w:t xml:space="preserve">7.3 Conversion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Dashboard Panel</w:t>
            </w:r>
          </w:p>
        </w:tc>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val="false"/>
                <w:bCs w:val="false"/>
                <w:color w:val="4A5568"/>
                <w:sz w:val="21"/>
                <w:szCs w:val="21"/>
              </w:rPr>
              <w:t xml:space="preserve">Governance review clients who have not converted appear in a dedicated "Pending Conversion" panel on the advisor dashboard. Functions similarly to the Entrepreneur Module conversion pipeline.</w:t>
            </w:r>
          </w:p>
        </w:tc>
      </w:tr>
      <w:tr>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Follow-Up Timing</w:t>
            </w:r>
          </w:p>
        </w:tc>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val="false"/>
                <w:bCs w:val="false"/>
                <w:color w:val="4A5568"/>
                <w:sz w:val="21"/>
                <w:szCs w:val="21"/>
              </w:rPr>
              <w:t xml:space="preserve">Automated nudge to advisor at 30 days and 90 days after governance review report delivery if no conversion has occurred.</w:t>
            </w:r>
          </w:p>
        </w:tc>
      </w:tr>
      <w:tr>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Conversion Statuses</w:t>
            </w:r>
          </w:p>
        </w:tc>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val="false"/>
                <w:bCs w:val="false"/>
                <w:color w:val="4A5568"/>
                <w:sz w:val="21"/>
                <w:szCs w:val="21"/>
              </w:rPr>
              <w:t xml:space="preserve">Report Delivered (awaiting decision)  ·  Declined — Reason Recorded  ·  Converted to Full Advisory.</w:t>
            </w:r>
          </w:p>
        </w:tc>
      </w:tr>
      <w:tr>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Decline Reasons Tracked</w:t>
            </w:r>
          </w:p>
        </w:tc>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val="false"/>
                <w:bCs w:val="false"/>
                <w:color w:val="4A5568"/>
                <w:sz w:val="21"/>
                <w:szCs w:val="21"/>
              </w:rPr>
              <w:t xml:space="preserve">Not ready yet  ·  Budget constraints  ·  Using another advisor  ·  Satisfied with review only  ·  No reason given. Tracked for Learning Architecture Layer 35 improvement.</w:t>
            </w:r>
          </w:p>
        </w:tc>
      </w:tr>
      <w:tr>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Re-engagement Trigger</w:t>
            </w:r>
          </w:p>
        </w:tc>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val="false"/>
                <w:bCs w:val="false"/>
                <w:color w:val="4A5568"/>
                <w:sz w:val="21"/>
                <w:szCs w:val="21"/>
              </w:rPr>
              <w:t xml:space="preserve">At three years from the governance review date, the platform flags the NPO as due for their next mandatory review — a natural re-engagement opportunity.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2B45" w:val="clear"/>
            <w:tcMar>
              <w:top w:type="dxa" w:w="280"/>
              <w:left w:type="dxa" w:w="360"/>
              <w:bottom w:type="dxa" w:w="280"/>
              <w:right w:type="dxa" w:w="360"/>
            </w:tcMar>
          </w:tcPr>
          <w:p>
            <w:pPr>
              <w:spacing w:after="80" w:before="0"/>
            </w:pPr>
            <w:r>
              <w:rPr>
                <w:rFonts w:ascii="Arial" w:cs="Arial" w:eastAsia="Arial" w:hAnsi="Arial"/>
                <w:b/>
                <w:bCs/>
                <w:color w:val="FFFFFF"/>
                <w:sz w:val="42"/>
                <w:szCs w:val="42"/>
              </w:rPr>
              <w:t xml:space="preserve">SECTION 8</w:t>
            </w:r>
          </w:p>
          <w:p>
            <w:pPr>
              <w:spacing w:after="0" w:before="0"/>
            </w:pPr>
            <w:r>
              <w:rPr>
                <w:rFonts w:ascii="Arial" w:cs="Arial" w:eastAsia="Arial" w:hAnsi="Arial"/>
                <w:i/>
                <w:iCs/>
                <w:color w:val="E8D5A0"/>
                <w:sz w:val="22"/>
                <w:szCs w:val="22"/>
              </w:rPr>
              <w:t xml:space="preserve">Funder Database &amp; Accountability Reporting</w:t>
            </w:r>
          </w:p>
        </w:tc>
      </w:tr>
    </w:tbl>
    <w:p>
      <w:pPr>
        <w:spacing w:after="0" w:before="0"/>
      </w:pPr>
      <w:r>
        <w:t xml:space="preserve"/>
      </w:r>
    </w:p>
    <w:p>
      <w:pPr>
        <w:pStyle w:val="Heading1"/>
        <w:pBdr>
          <w:bottom w:val="single" w:color="B8860B" w:sz="8" w:space="6"/>
        </w:pBdr>
        <w:spacing w:after="200" w:before="480"/>
      </w:pPr>
      <w:r>
        <w:rPr>
          <w:rFonts w:ascii="Arial" w:cs="Arial" w:eastAsia="Arial" w:hAnsi="Arial"/>
          <w:b/>
          <w:bCs/>
          <w:color w:val="1C2B45"/>
          <w:sz w:val="44"/>
          <w:szCs w:val="44"/>
        </w:rPr>
        <w:t xml:space="preserve">8. Funder Database &amp; Accountability Reporting Module</w:t>
      </w:r>
    </w:p>
    <w:p>
      <w:pPr>
        <w:spacing w:after="100" w:before="80"/>
      </w:pPr>
      <w:r>
        <w:rPr>
          <w:rFonts w:ascii="Arial" w:cs="Arial" w:eastAsia="Arial" w:hAnsi="Arial"/>
          <w:b w:val="false"/>
          <w:bCs w:val="false"/>
          <w:i w:val="false"/>
          <w:iCs w:val="false"/>
          <w:color w:val="4A5568"/>
          <w:sz w:val="22"/>
          <w:szCs w:val="22"/>
        </w:rPr>
        <w:t xml:space="preserve">The funder database is a platform-maintained registry of NZ funder organisations, their typical application windows, funding criteria, and reporting requirements. It connects to each NPO client profile to automate deadline tracking and power funder accountability report generation.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1"/>
              <w:bottom w:val="single" w:color="B8860B" w:sz="1"/>
              <w:right w:val="single" w:color="B8860B" w:sz="1"/>
            </w:tcBorders>
            <w:shd w:fill="F9F6F0" w:val="clear"/>
            <w:tcMar>
              <w:top w:type="dxa" w:w="200"/>
              <w:left w:type="dxa" w:w="280"/>
              <w:bottom w:type="dxa" w:w="200"/>
              <w:right w:type="dxa" w:w="280"/>
            </w:tcMar>
          </w:tcPr>
          <w:p>
            <w:pPr>
              <w:spacing w:after="40" w:before="40"/>
            </w:pPr>
            <w:r>
              <w:rPr>
                <w:rFonts w:ascii="Arial" w:cs="Arial" w:eastAsia="Arial" w:hAnsi="Arial"/>
                <w:b w:val="false"/>
                <w:bCs w:val="false"/>
                <w:i w:val="false"/>
                <w:iCs w:val="false"/>
                <w:color w:val="1C2B45"/>
                <w:sz w:val="21"/>
                <w:szCs w:val="21"/>
              </w:rPr>
              <w:t xml:space="preserve">MAINTENANCE GOVERNANCE: The funder database is maintained by the Super Admin via the Learning Architecture process (Layer 33). When a funder changes application windows, reporting requirements, or funding criteria, an update is staged, reviewed, and admin-approved before going live. The same 7-day notification, implementation, 30-day review, and rollback capability applies as for all other learning architecture updates.</w:t>
            </w:r>
          </w:p>
        </w:tc>
      </w:tr>
    </w:tbl>
    <w:p>
      <w:pPr>
        <w:spacing w:after="0" w:before="0"/>
      </w:pPr>
      <w:r>
        <w:t xml:space="preserve"/>
      </w:r>
    </w:p>
    <w:p>
      <w:pPr>
        <w:pStyle w:val="Heading2"/>
        <w:spacing w:after="160" w:before="360"/>
      </w:pPr>
      <w:r>
        <w:rPr>
          <w:rFonts w:ascii="Arial" w:cs="Arial" w:eastAsia="Arial" w:hAnsi="Arial"/>
          <w:b/>
          <w:bCs/>
          <w:color w:val="0D7A7A"/>
          <w:sz w:val="32"/>
          <w:szCs w:val="32"/>
        </w:rPr>
        <w:t xml:space="preserve">8.1 Funder Database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Funder Name &amp; Type</w:t>
            </w:r>
          </w:p>
        </w:tc>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val="false"/>
                <w:bCs w:val="false"/>
                <w:color w:val="4A5568"/>
                <w:sz w:val="21"/>
                <w:szCs w:val="21"/>
              </w:rPr>
              <w:t xml:space="preserve">Name, funder category (community trust, gaming trust, government, corporate, philanthropic, iwi), legal structure, region(s) funded.</w:t>
            </w:r>
          </w:p>
        </w:tc>
      </w:tr>
      <w:tr>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Application Windows</w:t>
            </w:r>
          </w:p>
        </w:tc>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val="false"/>
                <w:bCs w:val="false"/>
                <w:color w:val="4A5568"/>
                <w:sz w:val="21"/>
                <w:szCs w:val="21"/>
              </w:rPr>
              <w:t xml:space="preserve">Typical opening and closing months per funding round. Number of rounds per year. Rolling vs contestable.</w:t>
            </w:r>
          </w:p>
        </w:tc>
      </w:tr>
      <w:tr>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Funding Criteria</w:t>
            </w:r>
          </w:p>
        </w:tc>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val="false"/>
                <w:bCs w:val="false"/>
                <w:color w:val="4A5568"/>
                <w:sz w:val="21"/>
                <w:szCs w:val="21"/>
              </w:rPr>
              <w:t xml:space="preserve">Summary of eligibility criteria, funding priorities, geographic focus, typical grant amounts (range).</w:t>
            </w:r>
          </w:p>
        </w:tc>
      </w:tr>
      <w:tr>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Reporting Requirements</w:t>
            </w:r>
          </w:p>
        </w:tc>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val="false"/>
                <w:bCs w:val="false"/>
                <w:color w:val="4A5568"/>
                <w:sz w:val="21"/>
                <w:szCs w:val="21"/>
              </w:rPr>
              <w:t xml:space="preserve">Standard reporting fields required. Typical report due date. Report format (online form, PDF, narrative, financial acquittal).</w:t>
            </w:r>
          </w:p>
        </w:tc>
      </w:tr>
      <w:tr>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Renewal Intelligence</w:t>
            </w:r>
          </w:p>
        </w:tc>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val="false"/>
                <w:bCs w:val="false"/>
                <w:color w:val="4A5568"/>
                <w:sz w:val="21"/>
                <w:szCs w:val="21"/>
              </w:rPr>
              <w:t xml:space="preserve">Historical renewal rate where available. Typical funder relationship style. Average time from application to decision.</w:t>
            </w:r>
          </w:p>
        </w:tc>
      </w:tr>
      <w:tr>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Last Verified</w:t>
            </w:r>
          </w:p>
        </w:tc>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val="false"/>
                <w:bCs w:val="false"/>
                <w:color w:val="4A5568"/>
                <w:sz w:val="21"/>
                <w:szCs w:val="21"/>
              </w:rPr>
              <w:t xml:space="preserve">Date funder record was last verified. Records older than 12 months display a yellow "Verify" flag.</w:t>
            </w:r>
          </w:p>
        </w:tc>
      </w:tr>
    </w:tbl>
    <w:p>
      <w:pPr>
        <w:spacing w:after="0" w:before="0"/>
      </w:pPr>
      <w:r>
        <w:t xml:space="preserve"/>
      </w:r>
    </w:p>
    <w:p>
      <w:pPr>
        <w:pStyle w:val="Heading2"/>
        <w:spacing w:after="160" w:before="360"/>
      </w:pPr>
      <w:r>
        <w:rPr>
          <w:rFonts w:ascii="Arial" w:cs="Arial" w:eastAsia="Arial" w:hAnsi="Arial"/>
          <w:b/>
          <w:bCs/>
          <w:color w:val="0D7A7A"/>
          <w:sz w:val="32"/>
          <w:szCs w:val="32"/>
        </w:rPr>
        <w:t xml:space="preserve">8.2 Funder Types at Phase 5b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DIA Community Operations</w:t>
            </w:r>
          </w:p>
        </w:tc>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val="false"/>
                <w:bCs w:val="false"/>
                <w:color w:val="4A5568"/>
                <w:sz w:val="21"/>
                <w:szCs w:val="21"/>
              </w:rPr>
              <w:t xml:space="preserve">Lottery Grants Board, Community Organisation Grants Scheme (COGS), and other DIA-administered community funds.</w:t>
            </w:r>
          </w:p>
        </w:tc>
      </w:tr>
      <w:tr>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Regional Community Trusts</w:t>
            </w:r>
          </w:p>
        </w:tc>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val="false"/>
                <w:bCs w:val="false"/>
                <w:color w:val="4A5568"/>
                <w:sz w:val="21"/>
                <w:szCs w:val="21"/>
              </w:rPr>
              <w:t xml:space="preserve">Foundation North, TSB Community Trust, Eastern &amp; Central Community Trust, Pub Charity, Lion Foundation, NZCT, Grassroots Trust, Rātā Foundation, Nikau Foundation, and additional regional trusts as data is available.</w:t>
            </w:r>
          </w:p>
        </w:tc>
      </w:tr>
      <w:tr>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Gaming Trusts</w:t>
            </w:r>
          </w:p>
        </w:tc>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val="false"/>
                <w:bCs w:val="false"/>
                <w:color w:val="4A5568"/>
                <w:sz w:val="21"/>
                <w:szCs w:val="21"/>
              </w:rPr>
              <w:t xml:space="preserve">Pub Charity, Lion Foundation, Four Winds Foundation, Trust Aotearoa, and other gaming machine societies.</w:t>
            </w:r>
          </w:p>
        </w:tc>
      </w:tr>
      <w:tr>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Government Contract Funders</w:t>
            </w:r>
          </w:p>
        </w:tc>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val="false"/>
                <w:bCs w:val="false"/>
                <w:color w:val="4A5568"/>
                <w:sz w:val="21"/>
                <w:szCs w:val="21"/>
              </w:rPr>
              <w:t xml:space="preserve">Ministry of Social Development, Ministry of Health, Oranga Tamariki, MBIE, Ministry of Education — common reporting field structures per ministry.</w:t>
            </w:r>
          </w:p>
        </w:tc>
      </w:tr>
      <w:tr>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Local &amp; Regional Councils</w:t>
            </w:r>
          </w:p>
        </w:tc>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val="false"/>
                <w:bCs w:val="false"/>
                <w:color w:val="4A5568"/>
                <w:sz w:val="21"/>
                <w:szCs w:val="21"/>
              </w:rPr>
              <w:t xml:space="preserve">Generic council grant template. Specific council records added by advisor per client. Hamilton City Council included as a priority at launch.</w:t>
            </w:r>
          </w:p>
        </w:tc>
      </w:tr>
      <w:tr>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Māori &amp; Iwi Funders</w:t>
            </w:r>
          </w:p>
        </w:tc>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val="false"/>
                <w:bCs w:val="false"/>
                <w:color w:val="4A5568"/>
                <w:sz w:val="21"/>
                <w:szCs w:val="21"/>
              </w:rPr>
              <w:t xml:space="preserve">Te Puni Kōkiri, Māori trusts and incorporations (where public data available), iwi-specific funding programmes. This category grows as the NPO client base develops.</w:t>
            </w:r>
          </w:p>
        </w:tc>
      </w:tr>
      <w:tr>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Corporate Foundations</w:t>
            </w:r>
          </w:p>
        </w:tc>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val="false"/>
                <w:bCs w:val="false"/>
                <w:color w:val="4A5568"/>
                <w:sz w:val="21"/>
                <w:szCs w:val="21"/>
              </w:rPr>
              <w:t xml:space="preserve">Generic corporate foundation template. Specific corporate funders added to the database as client need identifies them.</w:t>
            </w:r>
          </w:p>
        </w:tc>
      </w:tr>
    </w:tbl>
    <w:p>
      <w:pPr>
        <w:spacing w:after="0" w:before="0"/>
      </w:pPr>
      <w:r>
        <w:t xml:space="preserve"/>
      </w:r>
    </w:p>
    <w:p>
      <w:pPr>
        <w:pStyle w:val="Heading2"/>
        <w:spacing w:after="160" w:before="360"/>
      </w:pPr>
      <w:r>
        <w:rPr>
          <w:rFonts w:ascii="Arial" w:cs="Arial" w:eastAsia="Arial" w:hAnsi="Arial"/>
          <w:b/>
          <w:bCs/>
          <w:color w:val="0D7A7A"/>
          <w:sz w:val="32"/>
          <w:szCs w:val="32"/>
        </w:rPr>
        <w:t xml:space="preserve">8.3 Per-Client Funder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Grant Amount &amp; Period</w:t>
            </w:r>
          </w:p>
        </w:tc>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val="false"/>
                <w:bCs w:val="false"/>
                <w:color w:val="4A5568"/>
                <w:sz w:val="21"/>
                <w:szCs w:val="21"/>
              </w:rPr>
              <w:t xml:space="preserve">Current grant amount, start date, end date for each active funder relationship.</w:t>
            </w:r>
          </w:p>
        </w:tc>
      </w:tr>
      <w:tr>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Grant Conditions</w:t>
            </w:r>
          </w:p>
        </w:tc>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val="false"/>
                <w:bCs w:val="false"/>
                <w:color w:val="4A5568"/>
                <w:sz w:val="21"/>
                <w:szCs w:val="21"/>
              </w:rPr>
              <w:t xml:space="preserve">Specific conditions attached to this grant. Free text plus document upload.</w:t>
            </w:r>
          </w:p>
        </w:tc>
      </w:tr>
      <w:tr>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Reporting Deadlines</w:t>
            </w:r>
          </w:p>
        </w:tc>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val="false"/>
                <w:bCs w:val="false"/>
                <w:color w:val="4A5568"/>
                <w:sz w:val="21"/>
                <w:szCs w:val="21"/>
              </w:rPr>
              <w:t xml:space="preserve">Specific due dates for this client’s report to this funder (may differ from funder defaults).</w:t>
            </w:r>
          </w:p>
        </w:tc>
      </w:tr>
      <w:tr>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Next Application Window</w:t>
            </w:r>
          </w:p>
        </w:tc>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val="false"/>
                <w:bCs w:val="false"/>
                <w:color w:val="4A5568"/>
                <w:sz w:val="21"/>
                <w:szCs w:val="21"/>
              </w:rPr>
              <w:t xml:space="preserve">Pulled from funder database, confirmed by advisor per client.</w:t>
            </w:r>
          </w:p>
        </w:tc>
      </w:tr>
      <w:tr>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Relationship Notes</w:t>
            </w:r>
          </w:p>
        </w:tc>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val="false"/>
                <w:bCs w:val="false"/>
                <w:color w:val="4A5568"/>
                <w:sz w:val="21"/>
                <w:szCs w:val="21"/>
              </w:rPr>
              <w:t xml:space="preserve">Private advisor notes on relationship health, funder preferences, previous feedback.</w:t>
            </w:r>
          </w:p>
        </w:tc>
      </w:tr>
      <w:tr>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Grant History</w:t>
            </w:r>
          </w:p>
        </w:tc>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val="false"/>
                <w:bCs w:val="false"/>
                <w:color w:val="4A5568"/>
                <w:sz w:val="21"/>
                <w:szCs w:val="21"/>
              </w:rPr>
              <w:t xml:space="preserve">Record of previous grants from this funder to this client. Year, amount, purpose, outcome.</w:t>
            </w:r>
          </w:p>
        </w:tc>
      </w:tr>
    </w:tbl>
    <w:p>
      <w:pPr>
        <w:spacing w:after="0" w:before="0"/>
      </w:pPr>
      <w:r>
        <w:t xml:space="preserve"/>
      </w:r>
    </w:p>
    <w:p>
      <w:pPr>
        <w:pStyle w:val="Heading2"/>
        <w:spacing w:after="160" w:before="360"/>
      </w:pPr>
      <w:r>
        <w:rPr>
          <w:rFonts w:ascii="Arial" w:cs="Arial" w:eastAsia="Arial" w:hAnsi="Arial"/>
          <w:b/>
          <w:bCs/>
          <w:color w:val="0D7A7A"/>
          <w:sz w:val="32"/>
          <w:szCs w:val="32"/>
        </w:rPr>
        <w:t xml:space="preserve">8.4 Automated Deadline 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Reporting Deadline — 30 Days</w:t>
            </w:r>
          </w:p>
        </w:tc>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val="false"/>
                <w:bCs w:val="false"/>
                <w:color w:val="4A5568"/>
                <w:sz w:val="21"/>
                <w:szCs w:val="21"/>
              </w:rPr>
              <w:t xml:space="preserve">Platform notification and email to advisor: "[Client] has a [Funder] accountability report due in 30 days."</w:t>
            </w:r>
          </w:p>
        </w:tc>
      </w:tr>
      <w:tr>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Reporting Deadline — 7 Days</w:t>
            </w:r>
          </w:p>
        </w:tc>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val="false"/>
                <w:bCs w:val="false"/>
                <w:color w:val="4A5568"/>
                <w:sz w:val="21"/>
                <w:szCs w:val="21"/>
              </w:rPr>
              <w:t xml:space="preserve">Escalated alert: "[Client] accountability report due in 7 days."</w:t>
            </w:r>
          </w:p>
        </w:tc>
      </w:tr>
      <w:tr>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Reporting Deadline — Overdue</w:t>
            </w:r>
          </w:p>
        </w:tc>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val="false"/>
                <w:bCs w:val="false"/>
                <w:color w:val="4A5568"/>
                <w:sz w:val="21"/>
                <w:szCs w:val="21"/>
              </w:rPr>
              <w:t xml:space="preserve">Critical alert. Daily reminder until resolved. Red indicator on advisor dashboard payment/reporting status panel.</w:t>
            </w:r>
          </w:p>
        </w:tc>
      </w:tr>
      <w:tr>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Application Window — 60 Days</w:t>
            </w:r>
          </w:p>
        </w:tc>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val="false"/>
                <w:bCs w:val="false"/>
                <w:color w:val="4A5568"/>
                <w:sz w:val="21"/>
                <w:szCs w:val="21"/>
              </w:rPr>
              <w:t xml:space="preserve">Notification: "[Client] is eligible to apply to [Funder]. Application window opens in 60 days."</w:t>
            </w:r>
          </w:p>
        </w:tc>
      </w:tr>
      <w:tr>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Application Window — Open Now</w:t>
            </w:r>
          </w:p>
        </w:tc>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val="false"/>
                <w:bCs w:val="false"/>
                <w:color w:val="4A5568"/>
                <w:sz w:val="21"/>
                <w:szCs w:val="21"/>
              </w:rPr>
              <w:t xml:space="preserve">Notification: "[Funder] application window is now open. [Client] applied last year and received $[amount]."</w:t>
            </w:r>
          </w:p>
        </w:tc>
      </w:tr>
      <w:tr>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Grant Expiry — No Renewal</w:t>
            </w:r>
          </w:p>
        </w:tc>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val="false"/>
                <w:bCs w:val="false"/>
                <w:color w:val="4A5568"/>
                <w:sz w:val="21"/>
                <w:szCs w:val="21"/>
              </w:rPr>
              <w:t xml:space="preserve">60 days before grant end: "The [Funder] grant for [Client] expires in 60 days. Is a renewal application in progress?"</w:t>
            </w:r>
          </w:p>
        </w:tc>
      </w:tr>
    </w:tbl>
    <w:p>
      <w:pPr>
        <w:spacing w:after="0" w:before="0"/>
      </w:pPr>
      <w:r>
        <w:t xml:space="preserve"/>
      </w:r>
    </w:p>
    <w:p>
      <w:pPr>
        <w:pStyle w:val="Heading2"/>
        <w:spacing w:after="160" w:before="360"/>
      </w:pPr>
      <w:r>
        <w:rPr>
          <w:rFonts w:ascii="Arial" w:cs="Arial" w:eastAsia="Arial" w:hAnsi="Arial"/>
          <w:b/>
          <w:bCs/>
          <w:color w:val="0D7A7A"/>
          <w:sz w:val="32"/>
          <w:szCs w:val="32"/>
        </w:rPr>
        <w:t xml:space="preserve">8.5 Funder Accountability Report — Auto-Generation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Source 1 — Financial Acquittal</w:t>
            </w:r>
          </w:p>
        </w:tc>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val="false"/>
                <w:bCs w:val="false"/>
                <w:color w:val="4A5568"/>
                <w:sz w:val="21"/>
                <w:szCs w:val="21"/>
              </w:rPr>
              <w:t xml:space="preserve">Financial data from Xero/MYOB/QuickBooks integration or uploaded financial statements. Platform generates the acquittal section showing how grant funds were spent against the approved budget.</w:t>
            </w:r>
          </w:p>
        </w:tc>
      </w:tr>
      <w:tr>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Source 2 — Milestone Completion</w:t>
            </w:r>
          </w:p>
        </w:tc>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val="false"/>
                <w:bCs w:val="false"/>
                <w:color w:val="4A5568"/>
                <w:sz w:val="21"/>
                <w:szCs w:val="21"/>
              </w:rPr>
              <w:t xml:space="preserve">Implementation tracking module data. Grant deliverables are tagged to implementation milestones at the start of the grant period. Accountability report shows completion status for each deliverable.</w:t>
            </w:r>
          </w:p>
        </w:tc>
      </w:tr>
      <w:tr>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Source 3 — Impact Metrics</w:t>
            </w:r>
          </w:p>
        </w:tc>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val="false"/>
                <w:bCs w:val="false"/>
                <w:color w:val="4A5568"/>
                <w:sz w:val="21"/>
                <w:szCs w:val="21"/>
              </w:rPr>
              <w:t xml:space="preserve">Beneficiary numbers and outcome data entered by the NPO client through their portal (see Section 11 — Impact Summary template). Advisor reviews for reasonableness.</w:t>
            </w:r>
          </w:p>
        </w:tc>
      </w:tr>
      <w:tr>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Source 4 — AI-Drafted Narrative</w:t>
            </w:r>
          </w:p>
        </w:tc>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val="false"/>
                <w:bCs w:val="false"/>
                <w:color w:val="4A5568"/>
                <w:sz w:val="21"/>
                <w:szCs w:val="21"/>
              </w:rPr>
              <w:t xml:space="preserve">AI synthesises Sources 1–3 into a coherent report narrative. Mandatory advisor review before presenting to the client. AI Integrity Principle applies: no inflation of outcomes, all claims grounded in data.</w:t>
            </w:r>
          </w:p>
        </w:tc>
      </w:tr>
      <w:tr>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Funder-Specific Formatting</w:t>
            </w:r>
          </w:p>
        </w:tc>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val="false"/>
                <w:bCs w:val="false"/>
                <w:color w:val="4A5568"/>
                <w:sz w:val="21"/>
                <w:szCs w:val="21"/>
              </w:rPr>
              <w:t xml:space="preserve">Report structured to match the specific funder’s required format where a template exists in the database. Generic best-practice NZ accountability report structure used where no template exists.</w:t>
            </w:r>
          </w:p>
        </w:tc>
      </w:tr>
      <w:tr>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Release Flow</w:t>
            </w:r>
          </w:p>
        </w:tc>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val="false"/>
                <w:bCs w:val="false"/>
                <w:color w:val="4A5568"/>
                <w:sz w:val="21"/>
                <w:szCs w:val="21"/>
              </w:rPr>
              <w:t xml:space="preserve">Advisor approves generated report. Shared with NPO client for their review and any narrative corrections. Client approves. Downloaded for submission or submitted directly where online submission is supported.</w:t>
            </w:r>
          </w:p>
        </w:tc>
      </w:tr>
    </w:tbl>
    <w:p>
      <w:pPr>
        <w:spacing w:after="0" w:before="0"/>
      </w:pPr>
      <w:r>
        <w:t xml:space="preserve"/>
      </w:r>
    </w:p>
    <w:p>
      <w:pPr>
        <w:pStyle w:val="Heading2"/>
        <w:spacing w:after="160" w:before="360"/>
      </w:pPr>
      <w:r>
        <w:rPr>
          <w:rFonts w:ascii="Arial" w:cs="Arial" w:eastAsia="Arial" w:hAnsi="Arial"/>
          <w:b/>
          <w:bCs/>
          <w:color w:val="0D7A7A"/>
          <w:sz w:val="32"/>
          <w:szCs w:val="32"/>
        </w:rPr>
        <w:t xml:space="preserve">8.6 Funder Contact Access — NPO-Initiated Invitation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1"/>
              <w:bottom w:val="single" w:color="E0D8CC" w:sz="1"/>
              <w:right w:val="single" w:color="B8860B" w:sz="1"/>
            </w:tcBorders>
            <w:shd w:fill="F9F6F0" w:val="clear"/>
            <w:tcMar>
              <w:top w:type="dxa" w:w="120"/>
              <w:left w:type="dxa" w:w="240"/>
              <w:bottom w:type="dxa" w:w="120"/>
              <w:right w:type="dxa" w:w="240"/>
            </w:tcMar>
          </w:tcPr>
          <w:p>
            <w:pPr>
              <w:spacing w:after="60" w:before="0"/>
            </w:pPr>
            <w:r>
              <w:rPr>
                <w:rFonts w:ascii="Arial" w:cs="Arial" w:eastAsia="Arial" w:hAnsi="Arial"/>
                <w:b/>
                <w:bCs/>
                <w:color w:val="B8860B"/>
                <w:sz w:val="22"/>
                <w:szCs w:val="22"/>
              </w:rPr>
              <w:t xml:space="preserve">1  </w:t>
            </w:r>
            <w:r>
              <w:rPr>
                <w:rFonts w:ascii="Arial" w:cs="Arial" w:eastAsia="Arial" w:hAnsi="Arial"/>
                <w:b/>
                <w:bCs/>
                <w:color w:val="1C2B45"/>
                <w:sz w:val="22"/>
                <w:szCs w:val="22"/>
              </w:rPr>
              <w:t xml:space="preserve">NPO Initiates Request</w:t>
            </w:r>
          </w:p>
          <w:p>
            <w:pPr>
              <w:spacing w:after="0" w:before="0"/>
            </w:pPr>
            <w:r>
              <w:rPr>
                <w:rFonts w:ascii="Arial" w:cs="Arial" w:eastAsia="Arial" w:hAnsi="Arial"/>
                <w:b w:val="false"/>
                <w:bCs w:val="false"/>
                <w:i w:val="false"/>
                <w:iCs w:val="false"/>
                <w:color w:val="4A5568"/>
                <w:sz w:val="21"/>
                <w:szCs w:val="21"/>
              </w:rPr>
              <w:t xml:space="preserve">The NPO primary contact sends a request through the platform: "I would like to invite [Funder] to view the accountability report for [Grant Name]." Includes the funder contact’s email address and the specific report to share.</w:t>
            </w:r>
          </w:p>
        </w:tc>
      </w:tr>
      <w:tr>
        <w:tc>
          <w:tcPr>
            <w:tcW w:type="dxa" w:w="9360"/>
            <w:tcBorders>
              <w:top w:val="none" w:color="FFFFFF" w:sz="0"/>
              <w:left w:val="single" w:color="B8860B" w:sz="1"/>
              <w:bottom w:val="single" w:color="E0D8CC" w:sz="1"/>
              <w:right w:val="single" w:color="B8860B" w:sz="1"/>
            </w:tcBorders>
            <w:shd w:fill="FFFFFF" w:val="clear"/>
            <w:tcMar>
              <w:top w:type="dxa" w:w="120"/>
              <w:left w:type="dxa" w:w="240"/>
              <w:bottom w:type="dxa" w:w="120"/>
              <w:right w:type="dxa" w:w="240"/>
            </w:tcMar>
          </w:tcPr>
          <w:p>
            <w:pPr>
              <w:spacing w:after="60" w:before="0"/>
            </w:pPr>
            <w:r>
              <w:rPr>
                <w:rFonts w:ascii="Arial" w:cs="Arial" w:eastAsia="Arial" w:hAnsi="Arial"/>
                <w:b/>
                <w:bCs/>
                <w:color w:val="B8860B"/>
                <w:sz w:val="22"/>
                <w:szCs w:val="22"/>
              </w:rPr>
              <w:t xml:space="preserve">2  </w:t>
            </w:r>
            <w:r>
              <w:rPr>
                <w:rFonts w:ascii="Arial" w:cs="Arial" w:eastAsia="Arial" w:hAnsi="Arial"/>
                <w:b/>
                <w:bCs/>
                <w:color w:val="1C2B45"/>
                <w:sz w:val="22"/>
                <w:szCs w:val="22"/>
              </w:rPr>
              <w:t xml:space="preserve">Advisor Reviews Request</w:t>
            </w:r>
          </w:p>
          <w:p>
            <w:pPr>
              <w:spacing w:after="0" w:before="0"/>
            </w:pPr>
            <w:r>
              <w:rPr>
                <w:rFonts w:ascii="Arial" w:cs="Arial" w:eastAsia="Arial" w:hAnsi="Arial"/>
                <w:b w:val="false"/>
                <w:bCs w:val="false"/>
                <w:i w:val="false"/>
                <w:iCs w:val="false"/>
                <w:color w:val="4A5568"/>
                <w:sz w:val="21"/>
                <w:szCs w:val="21"/>
              </w:rPr>
              <w:t xml:space="preserve">Advisor receives a notification, reviews the request, confirms the report is appropriate for funder viewing, and approves or declines. Decline requires a recorded reason.</w:t>
            </w:r>
          </w:p>
        </w:tc>
      </w:tr>
      <w:tr>
        <w:tc>
          <w:tcPr>
            <w:tcW w:type="dxa" w:w="9360"/>
            <w:tcBorders>
              <w:top w:val="none" w:color="FFFFFF" w:sz="0"/>
              <w:left w:val="single" w:color="B8860B" w:sz="1"/>
              <w:bottom w:val="single" w:color="E0D8CC" w:sz="1"/>
              <w:right w:val="single" w:color="B8860B" w:sz="1"/>
            </w:tcBorders>
            <w:shd w:fill="F9F6F0" w:val="clear"/>
            <w:tcMar>
              <w:top w:type="dxa" w:w="120"/>
              <w:left w:type="dxa" w:w="240"/>
              <w:bottom w:type="dxa" w:w="120"/>
              <w:right w:type="dxa" w:w="240"/>
            </w:tcMar>
          </w:tcPr>
          <w:p>
            <w:pPr>
              <w:spacing w:after="60" w:before="0"/>
            </w:pPr>
            <w:r>
              <w:rPr>
                <w:rFonts w:ascii="Arial" w:cs="Arial" w:eastAsia="Arial" w:hAnsi="Arial"/>
                <w:b/>
                <w:bCs/>
                <w:color w:val="B8860B"/>
                <w:sz w:val="22"/>
                <w:szCs w:val="22"/>
              </w:rPr>
              <w:t xml:space="preserve">3  </w:t>
            </w:r>
            <w:r>
              <w:rPr>
                <w:rFonts w:ascii="Arial" w:cs="Arial" w:eastAsia="Arial" w:hAnsi="Arial"/>
                <w:b/>
                <w:bCs/>
                <w:color w:val="1C2B45"/>
                <w:sz w:val="22"/>
                <w:szCs w:val="22"/>
              </w:rPr>
              <w:t xml:space="preserve">Funder Invitation Sent</w:t>
            </w:r>
          </w:p>
          <w:p>
            <w:pPr>
              <w:spacing w:after="0" w:before="0"/>
            </w:pPr>
            <w:r>
              <w:rPr>
                <w:rFonts w:ascii="Arial" w:cs="Arial" w:eastAsia="Arial" w:hAnsi="Arial"/>
                <w:b w:val="false"/>
                <w:bCs w:val="false"/>
                <w:i w:val="false"/>
                <w:iCs w:val="false"/>
                <w:color w:val="4A5568"/>
                <w:sz w:val="21"/>
                <w:szCs w:val="21"/>
              </w:rPr>
              <w:t xml:space="preserve">On advisor approval, the platform sends a branded FSA invitation email to the funder contact. The email explains the NPO has shared their grant accountability report and provides a secure access link.</w:t>
            </w:r>
          </w:p>
        </w:tc>
      </w:tr>
      <w:tr>
        <w:tc>
          <w:tcPr>
            <w:tcW w:type="dxa" w:w="9360"/>
            <w:tcBorders>
              <w:top w:val="none" w:color="FFFFFF" w:sz="0"/>
              <w:left w:val="single" w:color="B8860B" w:sz="1"/>
              <w:bottom w:val="single" w:color="E0D8CC" w:sz="1"/>
              <w:right w:val="single" w:color="B8860B" w:sz="1"/>
            </w:tcBorders>
            <w:shd w:fill="FFFFFF" w:val="clear"/>
            <w:tcMar>
              <w:top w:type="dxa" w:w="120"/>
              <w:left w:type="dxa" w:w="240"/>
              <w:bottom w:type="dxa" w:w="120"/>
              <w:right w:type="dxa" w:w="240"/>
            </w:tcMar>
          </w:tcPr>
          <w:p>
            <w:pPr>
              <w:spacing w:after="60" w:before="0"/>
            </w:pPr>
            <w:r>
              <w:rPr>
                <w:rFonts w:ascii="Arial" w:cs="Arial" w:eastAsia="Arial" w:hAnsi="Arial"/>
                <w:b/>
                <w:bCs/>
                <w:color w:val="B8860B"/>
                <w:sz w:val="22"/>
                <w:szCs w:val="22"/>
              </w:rPr>
              <w:t xml:space="preserve">4  </w:t>
            </w:r>
            <w:r>
              <w:rPr>
                <w:rFonts w:ascii="Arial" w:cs="Arial" w:eastAsia="Arial" w:hAnsi="Arial"/>
                <w:b/>
                <w:bCs/>
                <w:color w:val="1C2B45"/>
                <w:sz w:val="22"/>
                <w:szCs w:val="22"/>
              </w:rPr>
              <w:t xml:space="preserve">Funder Accesses Report</w:t>
            </w:r>
          </w:p>
          <w:p>
            <w:pPr>
              <w:spacing w:after="0" w:before="0"/>
            </w:pPr>
            <w:r>
              <w:rPr>
                <w:rFonts w:ascii="Arial" w:cs="Arial" w:eastAsia="Arial" w:hAnsi="Arial"/>
                <w:b w:val="false"/>
                <w:bCs w:val="false"/>
                <w:i w:val="false"/>
                <w:iCs w:val="false"/>
                <w:color w:val="4A5568"/>
                <w:sz w:val="21"/>
                <w:szCs w:val="21"/>
              </w:rPr>
              <w:t xml:space="preserve">Funder contact accesses a read-only view of the specific accountability report for their grant only. Cannot see any other client data, other reports, or any FSA advisory content. Session is logged.</w:t>
            </w:r>
          </w:p>
        </w:tc>
      </w:tr>
      <w:tr>
        <w:tc>
          <w:tcPr>
            <w:tcW w:type="dxa" w:w="9360"/>
            <w:tcBorders>
              <w:top w:val="none" w:color="FFFFFF" w:sz="0"/>
              <w:left w:val="single" w:color="B8860B" w:sz="1"/>
              <w:bottom w:val="single" w:color="B8860B" w:sz="1"/>
              <w:right w:val="single" w:color="B8860B" w:sz="1"/>
            </w:tcBorders>
            <w:shd w:fill="F9F6F0" w:val="clear"/>
            <w:tcMar>
              <w:top w:type="dxa" w:w="120"/>
              <w:left w:type="dxa" w:w="240"/>
              <w:bottom w:type="dxa" w:w="120"/>
              <w:right w:type="dxa" w:w="240"/>
            </w:tcMar>
          </w:tcPr>
          <w:p>
            <w:pPr>
              <w:spacing w:after="60" w:before="0"/>
            </w:pPr>
            <w:r>
              <w:rPr>
                <w:rFonts w:ascii="Arial" w:cs="Arial" w:eastAsia="Arial" w:hAnsi="Arial"/>
                <w:b/>
                <w:bCs/>
                <w:color w:val="B8860B"/>
                <w:sz w:val="22"/>
                <w:szCs w:val="22"/>
              </w:rPr>
              <w:t xml:space="preserve">5  </w:t>
            </w:r>
            <w:r>
              <w:rPr>
                <w:rFonts w:ascii="Arial" w:cs="Arial" w:eastAsia="Arial" w:hAnsi="Arial"/>
                <w:b/>
                <w:bCs/>
                <w:color w:val="1C2B45"/>
                <w:sz w:val="22"/>
                <w:szCs w:val="22"/>
              </w:rPr>
              <w:t xml:space="preserve">Access Expiry</w:t>
            </w:r>
          </w:p>
          <w:p>
            <w:pPr>
              <w:spacing w:after="0" w:before="0"/>
            </w:pPr>
            <w:r>
              <w:rPr>
                <w:rFonts w:ascii="Arial" w:cs="Arial" w:eastAsia="Arial" w:hAnsi="Arial"/>
                <w:b w:val="false"/>
                <w:bCs w:val="false"/>
                <w:i w:val="false"/>
                <w:iCs w:val="false"/>
                <w:color w:val="4A5568"/>
                <w:sz w:val="21"/>
                <w:szCs w:val="21"/>
              </w:rPr>
              <w:t xml:space="preserve">Funder access expires automatically 90 days after the grant period end date, or sooner if the advisor revokes it. The NPO client can request the advisor revoke access at any time.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2B45" w:val="clear"/>
            <w:tcMar>
              <w:top w:type="dxa" w:w="280"/>
              <w:left w:type="dxa" w:w="360"/>
              <w:bottom w:type="dxa" w:w="280"/>
              <w:right w:type="dxa" w:w="360"/>
            </w:tcMar>
          </w:tcPr>
          <w:p>
            <w:pPr>
              <w:spacing w:after="80" w:before="0"/>
            </w:pPr>
            <w:r>
              <w:rPr>
                <w:rFonts w:ascii="Arial" w:cs="Arial" w:eastAsia="Arial" w:hAnsi="Arial"/>
                <w:b/>
                <w:bCs/>
                <w:color w:val="FFFFFF"/>
                <w:sz w:val="42"/>
                <w:szCs w:val="42"/>
              </w:rPr>
              <w:t xml:space="preserve">SECTION 9</w:t>
            </w:r>
          </w:p>
          <w:p>
            <w:pPr>
              <w:spacing w:after="0" w:before="0"/>
            </w:pPr>
            <w:r>
              <w:rPr>
                <w:rFonts w:ascii="Arial" w:cs="Arial" w:eastAsia="Arial" w:hAnsi="Arial"/>
                <w:i/>
                <w:iCs/>
                <w:color w:val="E8D5A0"/>
                <w:sz w:val="22"/>
                <w:szCs w:val="22"/>
              </w:rPr>
              <w:t xml:space="preserve">NPO Report Types</w:t>
            </w:r>
          </w:p>
        </w:tc>
      </w:tr>
    </w:tbl>
    <w:p>
      <w:pPr>
        <w:spacing w:after="0" w:before="0"/>
      </w:pPr>
      <w:r>
        <w:t xml:space="preserve"/>
      </w:r>
    </w:p>
    <w:p>
      <w:pPr>
        <w:pStyle w:val="Heading1"/>
        <w:pBdr>
          <w:bottom w:val="single" w:color="B8860B" w:sz="8" w:space="6"/>
        </w:pBdr>
        <w:spacing w:after="200" w:before="480"/>
      </w:pPr>
      <w:r>
        <w:rPr>
          <w:rFonts w:ascii="Arial" w:cs="Arial" w:eastAsia="Arial" w:hAnsi="Arial"/>
          <w:b/>
          <w:bCs/>
          <w:color w:val="1C2B45"/>
          <w:sz w:val="44"/>
          <w:szCs w:val="44"/>
        </w:rPr>
        <w:t xml:space="preserve">9. NPO Report Types — Six Reports</w:t>
      </w:r>
    </w:p>
    <w:p>
      <w:pPr>
        <w:spacing w:after="100" w:before="80"/>
      </w:pPr>
      <w:r>
        <w:rPr>
          <w:rFonts w:ascii="Arial" w:cs="Arial" w:eastAsia="Arial" w:hAnsi="Arial"/>
          <w:b w:val="false"/>
          <w:bCs w:val="false"/>
          <w:i w:val="false"/>
          <w:iCs w:val="false"/>
          <w:color w:val="4A5568"/>
          <w:sz w:val="22"/>
          <w:szCs w:val="22"/>
        </w:rPr>
        <w:t xml:space="preserve">The NPO module adds six report types to the five existing SME report types (11 total platform-wide). All NPO reports follow the Meridian Warm brand system and the AI Integrity Principle.</w:t>
      </w:r>
    </w:p>
    <w:p>
      <w:pPr>
        <w:spacing w:after="0" w:before="0"/>
      </w:pPr>
      <w:r>
        <w:t xml:space="preserve"/>
      </w:r>
    </w:p>
    <w:p>
      <w:pPr>
        <w:pStyle w:val="Heading2"/>
        <w:spacing w:after="160" w:before="360"/>
      </w:pPr>
      <w:r>
        <w:rPr>
          <w:rFonts w:ascii="Arial" w:cs="Arial" w:eastAsia="Arial" w:hAnsi="Arial"/>
          <w:b/>
          <w:bCs/>
          <w:color w:val="0D7A7A"/>
          <w:sz w:val="32"/>
          <w:szCs w:val="32"/>
        </w:rPr>
        <w:t xml:space="preserve">9.1 NPO Health Report (Client-Facing)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Audience</w:t>
            </w:r>
          </w:p>
        </w:tc>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val="false"/>
                <w:bCs w:val="false"/>
                <w:color w:val="4A5568"/>
                <w:sz w:val="21"/>
                <w:szCs w:val="21"/>
              </w:rPr>
              <w:t xml:space="preserve">Board and executive leadership of the NPO. Written for governance-level readers, not financial specialists.</w:t>
            </w:r>
          </w:p>
        </w:tc>
      </w:tr>
      <w:tr>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Content</w:t>
            </w:r>
          </w:p>
        </w:tc>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val="false"/>
                <w:bCs w:val="false"/>
                <w:color w:val="4A5568"/>
                <w:sz w:val="21"/>
                <w:szCs w:val="21"/>
              </w:rPr>
              <w:t xml:space="preserve">Health scores across all assessed dimensions with plain English explanation, top three findings per dimension, cost-per-beneficiary analysis summary, funding risk value summary, strategic recommendations prioritised by impact, 12-month action plan.</w:t>
            </w:r>
          </w:p>
        </w:tc>
      </w:tr>
      <w:tr>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Tone</w:t>
            </w:r>
          </w:p>
        </w:tc>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val="false"/>
                <w:bCs w:val="false"/>
                <w:color w:val="4A5568"/>
                <w:sz w:val="21"/>
                <w:szCs w:val="21"/>
              </w:rPr>
              <w:t xml:space="preserve">No advisory jargon. No acronyms without explanation. Written for a volunteer board chair who may not have a commercial background.</w:t>
            </w:r>
          </w:p>
        </w:tc>
      </w:tr>
      <w:tr>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Distribution</w:t>
            </w:r>
          </w:p>
        </w:tc>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val="false"/>
                <w:bCs w:val="false"/>
                <w:color w:val="4A5568"/>
                <w:sz w:val="21"/>
                <w:szCs w:val="21"/>
              </w:rPr>
              <w:t xml:space="preserve">Released through the platform to the NPO primary contact. Access extended to the board chair and NPO Board Members via the NPO Board Member user role.</w:t>
            </w:r>
          </w:p>
        </w:tc>
      </w:tr>
    </w:tbl>
    <w:p>
      <w:pPr>
        <w:spacing w:after="0" w:before="0"/>
      </w:pPr>
      <w:r>
        <w:t xml:space="preserve"/>
      </w:r>
    </w:p>
    <w:p>
      <w:pPr>
        <w:pStyle w:val="Heading2"/>
        <w:spacing w:after="160" w:before="360"/>
      </w:pPr>
      <w:r>
        <w:rPr>
          <w:rFonts w:ascii="Arial" w:cs="Arial" w:eastAsia="Arial" w:hAnsi="Arial"/>
          <w:b/>
          <w:bCs/>
          <w:color w:val="0D7A7A"/>
          <w:sz w:val="32"/>
          <w:szCs w:val="32"/>
        </w:rPr>
        <w:t xml:space="preserve">9.2 NPO Advisor Report (Confidential)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Audience</w:t>
            </w:r>
          </w:p>
        </w:tc>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val="false"/>
                <w:bCs w:val="false"/>
                <w:color w:val="4A5568"/>
                <w:sz w:val="21"/>
                <w:szCs w:val="21"/>
              </w:rPr>
              <w:t xml:space="preserve">Advisor only. Contains full analytical picture, professional judgment notes, and fee proposal.</w:t>
            </w:r>
          </w:p>
        </w:tc>
      </w:tr>
      <w:tr>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Content</w:t>
            </w:r>
          </w:p>
        </w:tc>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val="false"/>
                <w:bCs w:val="false"/>
                <w:color w:val="4A5568"/>
                <w:sz w:val="21"/>
                <w:szCs w:val="21"/>
              </w:rPr>
              <w:t xml:space="preserve">All NPO Health Report content plus: both value calculations with full workings, funding risk scenario modelling, comparative benchmarks with confidence levels, fee proposal with NPO-specific ROI framing.</w:t>
            </w:r>
          </w:p>
        </w:tc>
      </w:tr>
      <w:tr>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NPO ROI Framing</w:t>
            </w:r>
          </w:p>
        </w:tc>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val="false"/>
                <w:bCs w:val="false"/>
                <w:color w:val="4A5568"/>
                <w:sz w:val="21"/>
                <w:szCs w:val="21"/>
              </w:rPr>
              <w:t xml:space="preserve">Fee proposal ROI section uses mission-language: cost-per-beneficiary improvement value, funding risk reduction value, governance compliance risk mitigation value. Not a commercial ROI ratio.</w:t>
            </w:r>
          </w:p>
        </w:tc>
      </w:tr>
      <w:tr>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Header</w:t>
            </w:r>
          </w:p>
        </w:tc>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val="false"/>
                <w:bCs w:val="false"/>
                <w:color w:val="4A5568"/>
                <w:sz w:val="21"/>
                <w:szCs w:val="21"/>
              </w:rPr>
              <w:t xml:space="preserve">ADVISOR REPORT — CONFIDENTIAL — NPO MODULE in Cognac on every page.</w:t>
            </w:r>
          </w:p>
        </w:tc>
      </w:tr>
    </w:tbl>
    <w:p>
      <w:pPr>
        <w:spacing w:after="0" w:before="0"/>
      </w:pPr>
      <w:r>
        <w:t xml:space="preserve"/>
      </w:r>
    </w:p>
    <w:p>
      <w:pPr>
        <w:pStyle w:val="Heading2"/>
        <w:spacing w:after="160" w:before="360"/>
      </w:pPr>
      <w:r>
        <w:rPr>
          <w:rFonts w:ascii="Arial" w:cs="Arial" w:eastAsia="Arial" w:hAnsi="Arial"/>
          <w:b/>
          <w:bCs/>
          <w:color w:val="0D7A7A"/>
          <w:sz w:val="32"/>
          <w:szCs w:val="32"/>
        </w:rPr>
        <w:t xml:space="preserve">9.3 Governance Review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Audience</w:t>
            </w:r>
          </w:p>
        </w:tc>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val="false"/>
                <w:bCs w:val="false"/>
                <w:color w:val="4A5568"/>
                <w:sz w:val="21"/>
                <w:szCs w:val="21"/>
              </w:rPr>
              <w:t xml:space="preserve">Board of the NPO. Charities Services (as evidence of s.42G compliance). Funders who request evidence of governance review.</w:t>
            </w:r>
          </w:p>
        </w:tc>
      </w:tr>
      <w:tr>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Content</w:t>
            </w:r>
          </w:p>
        </w:tc>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val="false"/>
                <w:bCs w:val="false"/>
                <w:color w:val="4A5568"/>
                <w:sz w:val="21"/>
                <w:szCs w:val="21"/>
              </w:rPr>
              <w:t xml:space="preserve">Executive summary of governance review findings, s.42G compliance assessment, board composition analysis and skills gap assessment, constitution currency assessment, conflict of interest framework assessment, financial oversight assessment, compliance status per relevant legislation, governance improvement recommendations, 12-month governance action plan.</w:t>
            </w:r>
          </w:p>
        </w:tc>
      </w:tr>
      <w:tr>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s.42G Evidence Statement</w:t>
            </w:r>
          </w:p>
        </w:tc>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val="false"/>
                <w:bCs w:val="false"/>
                <w:color w:val="4A5568"/>
                <w:sz w:val="21"/>
                <w:szCs w:val="21"/>
              </w:rPr>
              <w:t xml:space="preserve">A clearly formatted standalone statement that this report constitutes evidence of the three-year governance review required under s.42G Charities Act 2005. Includes date of review, scope covered, and advisor professional details.</w:t>
            </w:r>
          </w:p>
        </w:tc>
      </w:tr>
      <w:tr>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Legal Disclaimer</w:t>
            </w:r>
          </w:p>
        </w:tc>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val="false"/>
                <w:bCs w:val="false"/>
                <w:color w:val="4A5568"/>
                <w:sz w:val="21"/>
                <w:szCs w:val="21"/>
              </w:rPr>
              <w:t xml:space="preserve">States that the report constitutes advisory analysis and governance assessment, not legal advice. Recommends legal review for constitution amendments and compliance remediation.</w:t>
            </w:r>
          </w:p>
        </w:tc>
      </w:tr>
    </w:tbl>
    <w:p>
      <w:pPr>
        <w:spacing w:after="0" w:before="0"/>
      </w:pPr>
      <w:r>
        <w:t xml:space="preserve"/>
      </w:r>
    </w:p>
    <w:p>
      <w:pPr>
        <w:pStyle w:val="Heading2"/>
        <w:spacing w:after="160" w:before="360"/>
      </w:pPr>
      <w:r>
        <w:rPr>
          <w:rFonts w:ascii="Arial" w:cs="Arial" w:eastAsia="Arial" w:hAnsi="Arial"/>
          <w:b/>
          <w:bCs/>
          <w:color w:val="0D7A7A"/>
          <w:sz w:val="32"/>
          <w:szCs w:val="32"/>
        </w:rPr>
        <w:t xml:space="preserve">9.4 Funder Accountability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Audience</w:t>
            </w:r>
          </w:p>
        </w:tc>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val="false"/>
                <w:bCs w:val="false"/>
                <w:color w:val="4A5568"/>
                <w:sz w:val="21"/>
                <w:szCs w:val="21"/>
              </w:rPr>
              <w:t xml:space="preserve">The specific funder who provided the grant.</w:t>
            </w:r>
          </w:p>
        </w:tc>
      </w:tr>
      <w:tr>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Content</w:t>
            </w:r>
          </w:p>
        </w:tc>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val="false"/>
                <w:bCs w:val="false"/>
                <w:color w:val="4A5568"/>
                <w:sz w:val="21"/>
                <w:szCs w:val="21"/>
              </w:rPr>
              <w:t xml:space="preserve">Financial acquittal, milestone and deliverable completion status, beneficiary and impact data for the grant period, narrative summary of programme outcomes, next period activity plan where required, acknowledgement of funder support.</w:t>
            </w:r>
          </w:p>
        </w:tc>
      </w:tr>
      <w:tr>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Branding</w:t>
            </w:r>
          </w:p>
        </w:tc>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val="false"/>
                <w:bCs w:val="false"/>
                <w:color w:val="4A5568"/>
                <w:sz w:val="21"/>
                <w:szCs w:val="21"/>
              </w:rPr>
              <w:t xml:space="preserve">FSA branding in footer only. The report presents as the NPO’s report to their funder, not as an FSA document.</w:t>
            </w:r>
          </w:p>
        </w:tc>
      </w:tr>
    </w:tbl>
    <w:p>
      <w:pPr>
        <w:spacing w:after="0" w:before="0"/>
      </w:pPr>
      <w:r>
        <w:t xml:space="preserve"/>
      </w:r>
    </w:p>
    <w:p>
      <w:pPr>
        <w:pStyle w:val="Heading2"/>
        <w:spacing w:after="160" w:before="360"/>
      </w:pPr>
      <w:r>
        <w:rPr>
          <w:rFonts w:ascii="Arial" w:cs="Arial" w:eastAsia="Arial" w:hAnsi="Arial"/>
          <w:b/>
          <w:bCs/>
          <w:color w:val="0D7A7A"/>
          <w:sz w:val="32"/>
          <w:szCs w:val="32"/>
        </w:rPr>
        <w:t xml:space="preserve">9.5 Social Enterprise Dual Impact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Audience</w:t>
            </w:r>
          </w:p>
        </w:tc>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val="false"/>
                <w:bCs w:val="false"/>
                <w:color w:val="4A5568"/>
                <w:sz w:val="21"/>
                <w:szCs w:val="21"/>
              </w:rPr>
              <w:t xml:space="preserve">Board of the social enterprise. May also be shared with investors or funders with both commercial and mission interests.</w:t>
            </w:r>
          </w:p>
        </w:tc>
      </w:tr>
      <w:tr>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Content</w:t>
            </w:r>
          </w:p>
        </w:tc>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val="false"/>
                <w:bCs w:val="false"/>
                <w:color w:val="4A5568"/>
                <w:sz w:val="21"/>
                <w:szCs w:val="21"/>
              </w:rPr>
              <w:t xml:space="preserve">Commercial Health Score with dimension detail, Mission Health Score with dimension detail, dual scorecard visualisation, current weighting and rationale, AI Tension Analysis (all identified tensions with options and recommendations), integrated strategic recommendations addressing both dimensions simultaneously.</w:t>
            </w:r>
          </w:p>
        </w:tc>
      </w:tr>
      <w:tr>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Key Requirement</w:t>
            </w:r>
          </w:p>
        </w:tc>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val="false"/>
                <w:bCs w:val="false"/>
                <w:color w:val="4A5568"/>
                <w:sz w:val="21"/>
                <w:szCs w:val="21"/>
              </w:rPr>
              <w:t xml:space="preserve">Each identified tension must be evidenced by specific data, not asserted generally. The tension analysis is the centrepiece of this report.</w:t>
            </w:r>
          </w:p>
        </w:tc>
      </w:tr>
    </w:tbl>
    <w:p>
      <w:pPr>
        <w:spacing w:after="0" w:before="0"/>
      </w:pPr>
      <w:r>
        <w:t xml:space="preserve"/>
      </w:r>
    </w:p>
    <w:p>
      <w:pPr>
        <w:pStyle w:val="Heading2"/>
        <w:spacing w:after="160" w:before="360"/>
      </w:pPr>
      <w:r>
        <w:rPr>
          <w:rFonts w:ascii="Arial" w:cs="Arial" w:eastAsia="Arial" w:hAnsi="Arial"/>
          <w:b/>
          <w:bCs/>
          <w:color w:val="0D7A7A"/>
          <w:sz w:val="32"/>
          <w:szCs w:val="32"/>
        </w:rPr>
        <w:t xml:space="preserve">9.6 Impact Summary Report (Public-Facing)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Audience</w:t>
            </w:r>
          </w:p>
        </w:tc>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val="false"/>
                <w:bCs w:val="false"/>
                <w:color w:val="4A5568"/>
                <w:sz w:val="21"/>
                <w:szCs w:val="21"/>
              </w:rPr>
              <w:t xml:space="preserve">Community, prospective funders, the public, media. Designed for use on the NPO’s own website and annual report.</w:t>
            </w:r>
          </w:p>
        </w:tc>
      </w:tr>
      <w:tr>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Content</w:t>
            </w:r>
          </w:p>
        </w:tc>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val="false"/>
                <w:bCs w:val="false"/>
                <w:color w:val="4A5568"/>
                <w:sz w:val="21"/>
                <w:szCs w:val="21"/>
              </w:rPr>
              <w:t xml:space="preserve">Who we are, the community need we address, how we help, our impact this year (key metrics and outcomes), our plans for next year, how to support us.</w:t>
            </w:r>
          </w:p>
        </w:tc>
      </w:tr>
      <w:tr>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Generation Method</w:t>
            </w:r>
          </w:p>
        </w:tc>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val="false"/>
                <w:bCs w:val="false"/>
                <w:color w:val="4A5568"/>
                <w:sz w:val="21"/>
                <w:szCs w:val="21"/>
              </w:rPr>
              <w:t xml:space="preserve">Template-driven: the NPO client fills in the template through their portal with AI writing assistance. The AI assists with language and structure only. All facts entered by the NPO client. Advisor review gate before release (48-hour window; auto-releases if no advisor action within 48 hours, configurable).</w:t>
            </w:r>
          </w:p>
        </w:tc>
      </w:tr>
      <w:tr>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FSA IP</w:t>
            </w:r>
          </w:p>
        </w:tc>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val="false"/>
                <w:bCs w:val="false"/>
                <w:color w:val="4A5568"/>
                <w:sz w:val="21"/>
                <w:szCs w:val="21"/>
              </w:rPr>
              <w:t xml:space="preserve">None. This is entirely the NPO’s document. No FSA branding, no FSA advisory content.</w:t>
            </w:r>
          </w:p>
        </w:tc>
      </w:tr>
      <w:tr>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Format</w:t>
            </w:r>
          </w:p>
        </w:tc>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val="false"/>
                <w:bCs w:val="false"/>
                <w:color w:val="4A5568"/>
                <w:sz w:val="21"/>
                <w:szCs w:val="21"/>
              </w:rPr>
              <w:t xml:space="preserve">Exported as clean PDF or Word document. NPO applies their own brand colours. Platform provides basic styling options.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2B45" w:val="clear"/>
            <w:tcMar>
              <w:top w:type="dxa" w:w="280"/>
              <w:left w:type="dxa" w:w="360"/>
              <w:bottom w:type="dxa" w:w="280"/>
              <w:right w:type="dxa" w:w="360"/>
            </w:tcMar>
          </w:tcPr>
          <w:p>
            <w:pPr>
              <w:spacing w:after="80" w:before="0"/>
            </w:pPr>
            <w:r>
              <w:rPr>
                <w:rFonts w:ascii="Arial" w:cs="Arial" w:eastAsia="Arial" w:hAnsi="Arial"/>
                <w:b/>
                <w:bCs/>
                <w:color w:val="FFFFFF"/>
                <w:sz w:val="42"/>
                <w:szCs w:val="42"/>
              </w:rPr>
              <w:t xml:space="preserve">SECTION 10</w:t>
            </w:r>
          </w:p>
          <w:p>
            <w:pPr>
              <w:spacing w:after="0" w:before="0"/>
            </w:pPr>
            <w:r>
              <w:rPr>
                <w:rFonts w:ascii="Arial" w:cs="Arial" w:eastAsia="Arial" w:hAnsi="Arial"/>
                <w:i/>
                <w:iCs/>
                <w:color w:val="E8D5A0"/>
                <w:sz w:val="22"/>
                <w:szCs w:val="22"/>
              </w:rPr>
              <w:t xml:space="preserve">New User Roles</w:t>
            </w:r>
          </w:p>
        </w:tc>
      </w:tr>
    </w:tbl>
    <w:p>
      <w:pPr>
        <w:spacing w:after="0" w:before="0"/>
      </w:pPr>
      <w:r>
        <w:t xml:space="preserve"/>
      </w:r>
    </w:p>
    <w:p>
      <w:pPr>
        <w:pStyle w:val="Heading1"/>
        <w:pBdr>
          <w:bottom w:val="single" w:color="B8860B" w:sz="8" w:space="6"/>
        </w:pBdr>
        <w:spacing w:after="200" w:before="480"/>
      </w:pPr>
      <w:r>
        <w:rPr>
          <w:rFonts w:ascii="Arial" w:cs="Arial" w:eastAsia="Arial" w:hAnsi="Arial"/>
          <w:b/>
          <w:bCs/>
          <w:color w:val="1C2B45"/>
          <w:sz w:val="44"/>
          <w:szCs w:val="44"/>
        </w:rPr>
        <w:t xml:space="preserve">10. New User Roles</w:t>
      </w:r>
    </w:p>
    <w:p>
      <w:pPr>
        <w:spacing w:after="100" w:before="80"/>
      </w:pPr>
      <w:r>
        <w:rPr>
          <w:rFonts w:ascii="Arial" w:cs="Arial" w:eastAsia="Arial" w:hAnsi="Arial"/>
          <w:b w:val="false"/>
          <w:bCs w:val="false"/>
          <w:i w:val="false"/>
          <w:iCs w:val="false"/>
          <w:color w:val="4A5568"/>
          <w:sz w:val="22"/>
          <w:szCs w:val="22"/>
        </w:rPr>
        <w:t xml:space="preserve">The NPO module adds two new user roles, bringing the total platform user roles to 12. Both roles are activated and managed by the advisor.</w:t>
      </w:r>
    </w:p>
    <w:p>
      <w:pPr>
        <w:spacing w:after="0" w:before="0"/>
      </w:pPr>
      <w:r>
        <w:t xml:space="preserve"/>
      </w:r>
    </w:p>
    <w:p>
      <w:pPr>
        <w:pStyle w:val="Heading2"/>
        <w:spacing w:after="160" w:before="360"/>
      </w:pPr>
      <w:r>
        <w:rPr>
          <w:rFonts w:ascii="Arial" w:cs="Arial" w:eastAsia="Arial" w:hAnsi="Arial"/>
          <w:b/>
          <w:bCs/>
          <w:color w:val="0D7A7A"/>
          <w:sz w:val="32"/>
          <w:szCs w:val="32"/>
        </w:rPr>
        <w:t xml:space="preserve">10.1 NPO Board Member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Role Purpose</w:t>
            </w:r>
          </w:p>
        </w:tc>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val="false"/>
                <w:bCs w:val="false"/>
                <w:color w:val="4A5568"/>
                <w:sz w:val="21"/>
                <w:szCs w:val="21"/>
              </w:rPr>
              <w:t xml:space="preserve">Provides board members of an NPO client with appropriate read-only access to governance-relevant content. Distinct from the NPO primary contact (typically the CEO or Executive Director) who holds the standard Client Primary Contact role.</w:t>
            </w:r>
          </w:p>
        </w:tc>
      </w:tr>
      <w:tr>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Access Granted</w:t>
            </w:r>
          </w:p>
        </w:tc>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val="false"/>
                <w:bCs w:val="false"/>
                <w:color w:val="4A5568"/>
                <w:sz w:val="21"/>
                <w:szCs w:val="21"/>
              </w:rPr>
              <w:t xml:space="preserve">Governance Review Report, NPO Health Report (client-facing), Governance &amp; Leadership dimension detail, board composition records, uploaded meeting minutes, 12-month governance action plan, milestone completion status.</w:t>
            </w:r>
          </w:p>
        </w:tc>
      </w:tr>
      <w:tr>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Access Restricted</w:t>
            </w:r>
          </w:p>
        </w:tc>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val="false"/>
                <w:bCs w:val="false"/>
                <w:color w:val="4A5568"/>
                <w:sz w:val="21"/>
                <w:szCs w:val="21"/>
              </w:rPr>
              <w:t xml:space="preserve">Financial details beyond high-level summary, Funding Strategy dimension (unless also the treasurer), Advisor Report, any other client data.</w:t>
            </w:r>
          </w:p>
        </w:tc>
      </w:tr>
      <w:tr>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Activation</w:t>
            </w:r>
          </w:p>
        </w:tc>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val="false"/>
                <w:bCs w:val="false"/>
                <w:color w:val="4A5568"/>
                <w:sz w:val="21"/>
                <w:szCs w:val="21"/>
              </w:rPr>
              <w:t xml:space="preserve">Advisor activates the NPO Board Member role for specific individuals. The NPO primary contact cannot add board member users directly.</w:t>
            </w:r>
          </w:p>
        </w:tc>
      </w:tr>
      <w:tr>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Number of Users</w:t>
            </w:r>
          </w:p>
        </w:tc>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val="false"/>
                <w:bCs w:val="false"/>
                <w:color w:val="4A5568"/>
                <w:sz w:val="21"/>
                <w:szCs w:val="21"/>
              </w:rPr>
              <w:t xml:space="preserve">Up to 10 per NPO engagement to accommodate a full board. Advisor-configurable.</w:t>
            </w:r>
          </w:p>
        </w:tc>
      </w:tr>
    </w:tbl>
    <w:p>
      <w:pPr>
        <w:spacing w:after="0" w:before="0"/>
      </w:pPr>
      <w:r>
        <w:t xml:space="preserve"/>
      </w:r>
    </w:p>
    <w:p>
      <w:pPr>
        <w:pStyle w:val="Heading2"/>
        <w:spacing w:after="160" w:before="360"/>
      </w:pPr>
      <w:r>
        <w:rPr>
          <w:rFonts w:ascii="Arial" w:cs="Arial" w:eastAsia="Arial" w:hAnsi="Arial"/>
          <w:b/>
          <w:bCs/>
          <w:color w:val="0D7A7A"/>
          <w:sz w:val="32"/>
          <w:szCs w:val="32"/>
        </w:rPr>
        <w:t xml:space="preserve">10.2 Funder Contact (Read-Only)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Role Purpose</w:t>
            </w:r>
          </w:p>
        </w:tc>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val="false"/>
                <w:bCs w:val="false"/>
                <w:color w:val="4A5568"/>
                <w:sz w:val="21"/>
                <w:szCs w:val="21"/>
              </w:rPr>
              <w:t xml:space="preserve">Gives a specific funder read-only access to the accountability report for their specific grant only.</w:t>
            </w:r>
          </w:p>
        </w:tc>
      </w:tr>
      <w:tr>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Access Granted</w:t>
            </w:r>
          </w:p>
        </w:tc>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val="false"/>
                <w:bCs w:val="false"/>
                <w:color w:val="4A5568"/>
                <w:sz w:val="21"/>
                <w:szCs w:val="21"/>
              </w:rPr>
              <w:t xml:space="preserve">One funder accountability report for their specific grant. Nothing else. Enforced at the database query level, not just the UI layer.</w:t>
            </w:r>
          </w:p>
        </w:tc>
      </w:tr>
      <w:tr>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Invitation Flow</w:t>
            </w:r>
          </w:p>
        </w:tc>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val="false"/>
                <w:bCs w:val="false"/>
                <w:color w:val="4A5568"/>
                <w:sz w:val="21"/>
                <w:szCs w:val="21"/>
              </w:rPr>
              <w:t xml:space="preserve">NPO-initiated request to advisor (Section 8.6). Advisor approves. Platform sends branded invitation. Funder accesses via secure time-limited link.</w:t>
            </w:r>
          </w:p>
        </w:tc>
      </w:tr>
      <w:tr>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Access Duration</w:t>
            </w:r>
          </w:p>
        </w:tc>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val="false"/>
                <w:bCs w:val="false"/>
                <w:color w:val="4A5568"/>
                <w:sz w:val="21"/>
                <w:szCs w:val="21"/>
              </w:rPr>
              <w:t xml:space="preserve">90 days after grant period end date. Advisor can revoke sooner. NPO client can request revocation at any time.</w:t>
            </w:r>
          </w:p>
        </w:tc>
      </w:tr>
      <w:tr>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Session Logging</w:t>
            </w:r>
          </w:p>
        </w:tc>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val="false"/>
                <w:bCs w:val="false"/>
                <w:color w:val="4A5568"/>
                <w:sz w:val="21"/>
                <w:szCs w:val="21"/>
              </w:rPr>
              <w:t xml:space="preserve">All sessions logged: login time, pages viewed, time spent, logout. Visible to advisor and NPO primary contact.</w:t>
            </w:r>
          </w:p>
        </w:tc>
      </w:tr>
      <w:tr>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No Full Account</w:t>
            </w:r>
          </w:p>
        </w:tc>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val="false"/>
                <w:bCs w:val="false"/>
                <w:color w:val="4A5568"/>
                <w:sz w:val="21"/>
                <w:szCs w:val="21"/>
              </w:rPr>
              <w:t xml:space="preserve">Funder contact does not create a full FSA account. Accesses via a secure link requiring email verification on each session.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2B45" w:val="clear"/>
            <w:tcMar>
              <w:top w:type="dxa" w:w="280"/>
              <w:left w:type="dxa" w:w="360"/>
              <w:bottom w:type="dxa" w:w="280"/>
              <w:right w:type="dxa" w:w="360"/>
            </w:tcMar>
          </w:tcPr>
          <w:p>
            <w:pPr>
              <w:spacing w:after="80" w:before="0"/>
            </w:pPr>
            <w:r>
              <w:rPr>
                <w:rFonts w:ascii="Arial" w:cs="Arial" w:eastAsia="Arial" w:hAnsi="Arial"/>
                <w:b/>
                <w:bCs/>
                <w:color w:val="FFFFFF"/>
                <w:sz w:val="42"/>
                <w:szCs w:val="42"/>
              </w:rPr>
              <w:t xml:space="preserve">SECTION 11</w:t>
            </w:r>
          </w:p>
          <w:p>
            <w:pPr>
              <w:spacing w:after="0" w:before="0"/>
            </w:pPr>
            <w:r>
              <w:rPr>
                <w:rFonts w:ascii="Arial" w:cs="Arial" w:eastAsia="Arial" w:hAnsi="Arial"/>
                <w:i/>
                <w:iCs/>
                <w:color w:val="E8D5A0"/>
                <w:sz w:val="22"/>
                <w:szCs w:val="22"/>
              </w:rPr>
              <w:t xml:space="preserve">NPO Client Portal</w:t>
            </w:r>
          </w:p>
        </w:tc>
      </w:tr>
    </w:tbl>
    <w:p>
      <w:pPr>
        <w:spacing w:after="0" w:before="0"/>
      </w:pPr>
      <w:r>
        <w:t xml:space="preserve"/>
      </w:r>
    </w:p>
    <w:p>
      <w:pPr>
        <w:pStyle w:val="Heading1"/>
        <w:pBdr>
          <w:bottom w:val="single" w:color="B8860B" w:sz="8" w:space="6"/>
        </w:pBdr>
        <w:spacing w:after="200" w:before="480"/>
      </w:pPr>
      <w:r>
        <w:rPr>
          <w:rFonts w:ascii="Arial" w:cs="Arial" w:eastAsia="Arial" w:hAnsi="Arial"/>
          <w:b/>
          <w:bCs/>
          <w:color w:val="1C2B45"/>
          <w:sz w:val="44"/>
          <w:szCs w:val="44"/>
        </w:rPr>
        <w:t xml:space="preserve">11. NPO Client Portal</w:t>
      </w:r>
    </w:p>
    <w:p>
      <w:pPr>
        <w:spacing w:after="100" w:before="80"/>
      </w:pPr>
      <w:r>
        <w:rPr>
          <w:rFonts w:ascii="Arial" w:cs="Arial" w:eastAsia="Arial" w:hAnsi="Arial"/>
          <w:b w:val="false"/>
          <w:bCs w:val="false"/>
          <w:i w:val="false"/>
          <w:iCs w:val="false"/>
          <w:color w:val="4A5568"/>
          <w:sz w:val="22"/>
          <w:szCs w:val="22"/>
        </w:rPr>
        <w:t xml:space="preserve">The NPO client portal is the client-facing interface for NPO primary contacts and NPO Board Members. It uses the same portal architecture as the SME client portal with NPO-specific content throughout.</w:t>
      </w:r>
    </w:p>
    <w:p>
      <w:pPr>
        <w:spacing w:after="0" w:before="0"/>
      </w:pPr>
      <w:r>
        <w:t xml:space="preserve"/>
      </w:r>
    </w:p>
    <w:p>
      <w:pPr>
        <w:pStyle w:val="Heading2"/>
        <w:spacing w:after="160" w:before="360"/>
      </w:pPr>
      <w:r>
        <w:rPr>
          <w:rFonts w:ascii="Arial" w:cs="Arial" w:eastAsia="Arial" w:hAnsi="Arial"/>
          <w:b/>
          <w:bCs/>
          <w:color w:val="0D7A7A"/>
          <w:sz w:val="32"/>
          <w:szCs w:val="32"/>
        </w:rPr>
        <w:t xml:space="preserve">11.1 Dashboard — NPO Primary 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NPO Health Score</w:t>
            </w:r>
          </w:p>
        </w:tc>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val="false"/>
                <w:bCs w:val="false"/>
                <w:color w:val="4A5568"/>
                <w:sz w:val="21"/>
                <w:szCs w:val="21"/>
              </w:rPr>
              <w:t xml:space="preserve">Overall score with dimension breakdown radar chart. Hover: per-dimension tooltip with score, top finding, trend. Click: navigates to that dimension’s findings.</w:t>
            </w:r>
          </w:p>
        </w:tc>
      </w:tr>
      <w:tr>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Funding Dashboard</w:t>
            </w:r>
          </w:p>
        </w:tc>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val="false"/>
                <w:bCs w:val="false"/>
                <w:color w:val="4A5568"/>
                <w:sz w:val="21"/>
                <w:szCs w:val="21"/>
              </w:rPr>
              <w:t xml:space="preserve">Total active funding, concentration risk indicator, upcoming deadlines (next 60 days), grant expiry alerts. Interactive: hover shows funder detail, click navigates to funder record.</w:t>
            </w:r>
          </w:p>
        </w:tc>
      </w:tr>
      <w:tr>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Milestone Progress</w:t>
            </w:r>
          </w:p>
        </w:tc>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val="false"/>
                <w:bCs w:val="false"/>
                <w:color w:val="4A5568"/>
                <w:sz w:val="21"/>
                <w:szCs w:val="21"/>
              </w:rPr>
              <w:t xml:space="preserve">Active milestones with completion status. Hover shows cost-per-beneficiary contribution. Click opens milestone detail.</w:t>
            </w:r>
          </w:p>
        </w:tc>
      </w:tr>
      <w:tr>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Accountability Reports Due</w:t>
            </w:r>
          </w:p>
        </w:tc>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val="false"/>
                <w:bCs w:val="false"/>
                <w:color w:val="4A5568"/>
                <w:sz w:val="21"/>
                <w:szCs w:val="21"/>
              </w:rPr>
              <w:t xml:space="preserve">List of upcoming and overdue reports with status indicators. Click opens the report generation interface.</w:t>
            </w:r>
          </w:p>
        </w:tc>
      </w:tr>
      <w:tr>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Impact Metrics</w:t>
            </w:r>
          </w:p>
        </w:tc>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val="false"/>
                <w:bCs w:val="false"/>
                <w:color w:val="4A5568"/>
                <w:sz w:val="21"/>
                <w:szCs w:val="21"/>
              </w:rPr>
              <w:t xml:space="preserve">Current period beneficiary count and key impact metrics. Entry point for updating impact data for accountability reports.</w:t>
            </w:r>
          </w:p>
        </w:tc>
      </w:tr>
      <w:tr>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Questionnaire Completion</w:t>
            </w:r>
          </w:p>
        </w:tc>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val="false"/>
                <w:bCs w:val="false"/>
                <w:color w:val="4A5568"/>
                <w:sz w:val="21"/>
                <w:szCs w:val="21"/>
              </w:rPr>
              <w:t xml:space="preserve">Progress bar with section breakdown on hover. Direct link to lowest-completion section on click.</w:t>
            </w:r>
          </w:p>
        </w:tc>
      </w:tr>
    </w:tbl>
    <w:p>
      <w:pPr>
        <w:spacing w:after="0" w:before="0"/>
      </w:pPr>
      <w:r>
        <w:t xml:space="preserve"/>
      </w:r>
    </w:p>
    <w:p>
      <w:pPr>
        <w:pStyle w:val="Heading2"/>
        <w:spacing w:after="160" w:before="360"/>
      </w:pPr>
      <w:r>
        <w:rPr>
          <w:rFonts w:ascii="Arial" w:cs="Arial" w:eastAsia="Arial" w:hAnsi="Arial"/>
          <w:b/>
          <w:bCs/>
          <w:color w:val="0D7A7A"/>
          <w:sz w:val="32"/>
          <w:szCs w:val="32"/>
        </w:rPr>
        <w:t xml:space="preserve">11.2 Impact Summary Template — Portal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Access</w:t>
            </w:r>
          </w:p>
        </w:tc>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val="false"/>
                <w:bCs w:val="false"/>
                <w:color w:val="4A5568"/>
                <w:sz w:val="21"/>
                <w:szCs w:val="21"/>
              </w:rPr>
              <w:t xml:space="preserve">NPO primary contact: Reports → Impact Summary.</w:t>
            </w:r>
          </w:p>
        </w:tc>
      </w:tr>
      <w:tr>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Template Structure</w:t>
            </w:r>
          </w:p>
        </w:tc>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val="false"/>
                <w:bCs w:val="false"/>
                <w:color w:val="4A5568"/>
                <w:sz w:val="21"/>
                <w:szCs w:val="21"/>
              </w:rPr>
              <w:t xml:space="preserve">Six sections matching Impact Summary Report content. Each section has a text entry field with a prompt and character guide.</w:t>
            </w:r>
          </w:p>
        </w:tc>
      </w:tr>
      <w:tr>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AI Writing Assistance</w:t>
            </w:r>
          </w:p>
        </w:tc>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val="false"/>
                <w:bCs w:val="false"/>
                <w:color w:val="4A5568"/>
                <w:sz w:val="21"/>
                <w:szCs w:val="21"/>
              </w:rPr>
              <w:t xml:space="preserve">Each section has an "AI Assist" button. When clicked, the AI drafts a version of that section using: questionnaire data, impact metrics, mission statement, and other report sections. The draft appears in the field for the client to edit. The AI does not invent facts — all facts come from data already in the platform.</w:t>
            </w:r>
          </w:p>
        </w:tc>
      </w:tr>
      <w:tr>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Fact Check Warning</w:t>
            </w:r>
          </w:p>
        </w:tc>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val="false"/>
                <w:bCs w:val="false"/>
                <w:color w:val="4A5568"/>
                <w:sz w:val="21"/>
                <w:szCs w:val="21"/>
              </w:rPr>
              <w:t xml:space="preserve">If the client enters a figure that cannot be verified against platform data, the platform flags it: "This figure does not match your recorded impact data. Please verify before publishing."</w:t>
            </w:r>
          </w:p>
        </w:tc>
      </w:tr>
      <w:tr>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Advisor Review Gate</w:t>
            </w:r>
          </w:p>
        </w:tc>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val="false"/>
                <w:bCs w:val="false"/>
                <w:color w:val="4A5568"/>
                <w:sz w:val="21"/>
                <w:szCs w:val="21"/>
              </w:rPr>
              <w:t xml:space="preserve">Before the NPO client can download or publish, the document is sent to the advisor for review. Advisor has 48 hours to approve or request changes. Auto-releases after 48 hours if no advisor action (configurable).</w:t>
            </w:r>
          </w:p>
        </w:tc>
      </w:tr>
      <w:tr>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Export</w:t>
            </w:r>
          </w:p>
        </w:tc>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val="false"/>
                <w:bCs w:val="false"/>
                <w:color w:val="4A5568"/>
                <w:sz w:val="21"/>
                <w:szCs w:val="21"/>
              </w:rPr>
              <w:t xml:space="preserve">Available as clean PDF (no FSA branding) or as a Word document the NPO can brand themselves.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2B45" w:val="clear"/>
            <w:tcMar>
              <w:top w:type="dxa" w:w="280"/>
              <w:left w:type="dxa" w:w="360"/>
              <w:bottom w:type="dxa" w:w="280"/>
              <w:right w:type="dxa" w:w="360"/>
            </w:tcMar>
          </w:tcPr>
          <w:p>
            <w:pPr>
              <w:spacing w:after="80" w:before="0"/>
            </w:pPr>
            <w:r>
              <w:rPr>
                <w:rFonts w:ascii="Arial" w:cs="Arial" w:eastAsia="Arial" w:hAnsi="Arial"/>
                <w:b/>
                <w:bCs/>
                <w:color w:val="FFFFFF"/>
                <w:sz w:val="42"/>
                <w:szCs w:val="42"/>
              </w:rPr>
              <w:t xml:space="preserve">SECTION 12</w:t>
            </w:r>
          </w:p>
          <w:p>
            <w:pPr>
              <w:spacing w:after="0" w:before="0"/>
            </w:pPr>
            <w:r>
              <w:rPr>
                <w:rFonts w:ascii="Arial" w:cs="Arial" w:eastAsia="Arial" w:hAnsi="Arial"/>
                <w:i/>
                <w:iCs/>
                <w:color w:val="E8D5A0"/>
                <w:sz w:val="22"/>
                <w:szCs w:val="22"/>
              </w:rPr>
              <w:t xml:space="preserve">Platform Integrations — NPO-Specific</w:t>
            </w:r>
          </w:p>
        </w:tc>
      </w:tr>
    </w:tbl>
    <w:p>
      <w:pPr>
        <w:spacing w:after="0" w:before="0"/>
      </w:pPr>
      <w:r>
        <w:t xml:space="preserve"/>
      </w:r>
    </w:p>
    <w:p>
      <w:pPr>
        <w:pStyle w:val="Heading1"/>
        <w:pBdr>
          <w:bottom w:val="single" w:color="B8860B" w:sz="8" w:space="6"/>
        </w:pBdr>
        <w:spacing w:after="200" w:before="480"/>
      </w:pPr>
      <w:r>
        <w:rPr>
          <w:rFonts w:ascii="Arial" w:cs="Arial" w:eastAsia="Arial" w:hAnsi="Arial"/>
          <w:b/>
          <w:bCs/>
          <w:color w:val="1C2B45"/>
          <w:sz w:val="44"/>
          <w:szCs w:val="44"/>
        </w:rPr>
        <w:t xml:space="preserve">12. Platform Integrations — NPO-Specific</w:t>
      </w:r>
    </w:p>
    <w:p>
      <w:pPr>
        <w:spacing w:after="100" w:before="80"/>
      </w:pPr>
      <w:r>
        <w:rPr>
          <w:rFonts w:ascii="Arial" w:cs="Arial" w:eastAsia="Arial" w:hAnsi="Arial"/>
          <w:b w:val="false"/>
          <w:bCs w:val="false"/>
          <w:i w:val="false"/>
          <w:iCs w:val="false"/>
          <w:color w:val="4A5568"/>
          <w:sz w:val="22"/>
          <w:szCs w:val="22"/>
        </w:rPr>
        <w:t xml:space="preserve">The following integrations are added for the NPO module. All existing integrations continue to apply without modification.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Charities Services / DIA</w:t>
            </w:r>
          </w:p>
        </w:tc>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val="false"/>
                <w:bCs w:val="false"/>
                <w:color w:val="4A5568"/>
                <w:sz w:val="21"/>
                <w:szCs w:val="21"/>
              </w:rPr>
              <w:t xml:space="preserve">Annual return filing status, registration status, governance review obligation tracking, charity name and registration number lookup. API integration where available; web-scrape fallback.</w:t>
            </w:r>
          </w:p>
        </w:tc>
      </w:tr>
      <w:tr>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Incorporated Societies Register</w:t>
            </w:r>
          </w:p>
        </w:tc>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val="false"/>
                <w:bCs w:val="false"/>
                <w:color w:val="4A5568"/>
                <w:sz w:val="21"/>
                <w:szCs w:val="21"/>
              </w:rPr>
              <w:t xml:space="preserve">Re-registration status, constitution filing status, officer register. Extension of the existing Companies Office integration.</w:t>
            </w:r>
          </w:p>
        </w:tc>
      </w:tr>
      <w:tr>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Xero / MYOB / QuickBooks</w:t>
            </w:r>
          </w:p>
        </w:tc>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val="false"/>
                <w:bCs w:val="false"/>
                <w:color w:val="4A5568"/>
                <w:sz w:val="21"/>
                <w:szCs w:val="21"/>
              </w:rPr>
              <w:t xml:space="preserve">Reused without modification for NPO financial data. Used for financial acquittal in accountability reports and cost-per-beneficiary calculations.</w:t>
            </w:r>
          </w:p>
        </w:tc>
      </w:tr>
      <w:tr>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Community Matters (DIA)</w:t>
            </w:r>
          </w:p>
        </w:tc>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val="false"/>
                <w:bCs w:val="false"/>
                <w:color w:val="4A5568"/>
                <w:sz w:val="21"/>
                <w:szCs w:val="21"/>
              </w:rPr>
              <w:t xml:space="preserve">COGS application status and Lottery grant information. Integrated into the funder database for DIA-administered funds.</w:t>
            </w:r>
          </w:p>
        </w:tc>
      </w:tr>
      <w:tr>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Generosity NZ / Fundsorter</w:t>
            </w:r>
          </w:p>
        </w:tc>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val="false"/>
                <w:bCs w:val="false"/>
                <w:color w:val="4A5568"/>
                <w:sz w:val="21"/>
                <w:szCs w:val="21"/>
              </w:rPr>
              <w:t xml:space="preserve">Funder discovery tools. Integration approach (API vs manual link) to be confirmed in Tech Spec based on API availability at Phase 5 development.</w:t>
            </w:r>
          </w:p>
        </w:tc>
      </w:tr>
      <w:tr>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Te Puni Kōkiri</w:t>
            </w:r>
          </w:p>
        </w:tc>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val="false"/>
                <w:bCs w:val="false"/>
                <w:color w:val="4A5568"/>
                <w:sz w:val="21"/>
                <w:szCs w:val="21"/>
              </w:rPr>
              <w:t xml:space="preserve">Māori development funding information where publicly available. Manual data entry into funder database initially; API integration if available.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2B45" w:val="clear"/>
            <w:tcMar>
              <w:top w:type="dxa" w:w="280"/>
              <w:left w:type="dxa" w:w="360"/>
              <w:bottom w:type="dxa" w:w="280"/>
              <w:right w:type="dxa" w:w="360"/>
            </w:tcMar>
          </w:tcPr>
          <w:p>
            <w:pPr>
              <w:spacing w:after="80" w:before="0"/>
            </w:pPr>
            <w:r>
              <w:rPr>
                <w:rFonts w:ascii="Arial" w:cs="Arial" w:eastAsia="Arial" w:hAnsi="Arial"/>
                <w:b/>
                <w:bCs/>
                <w:color w:val="FFFFFF"/>
                <w:sz w:val="42"/>
                <w:szCs w:val="42"/>
              </w:rPr>
              <w:t xml:space="preserve">SECTION 13</w:t>
            </w:r>
          </w:p>
          <w:p>
            <w:pPr>
              <w:spacing w:after="0" w:before="0"/>
            </w:pPr>
            <w:r>
              <w:rPr>
                <w:rFonts w:ascii="Arial" w:cs="Arial" w:eastAsia="Arial" w:hAnsi="Arial"/>
                <w:i/>
                <w:iCs/>
                <w:color w:val="E8D5A0"/>
                <w:sz w:val="22"/>
                <w:szCs w:val="22"/>
              </w:rPr>
              <w:t xml:space="preserve">Learning Architecture — NPO Additions</w:t>
            </w:r>
          </w:p>
        </w:tc>
      </w:tr>
    </w:tbl>
    <w:p>
      <w:pPr>
        <w:spacing w:after="0" w:before="0"/>
      </w:pPr>
      <w:r>
        <w:t xml:space="preserve"/>
      </w:r>
    </w:p>
    <w:p>
      <w:pPr>
        <w:pStyle w:val="Heading1"/>
        <w:pBdr>
          <w:bottom w:val="single" w:color="B8860B" w:sz="8" w:space="6"/>
        </w:pBdr>
        <w:spacing w:after="200" w:before="480"/>
      </w:pPr>
      <w:r>
        <w:rPr>
          <w:rFonts w:ascii="Arial" w:cs="Arial" w:eastAsia="Arial" w:hAnsi="Arial"/>
          <w:b/>
          <w:bCs/>
          <w:color w:val="1C2B45"/>
          <w:sz w:val="44"/>
          <w:szCs w:val="44"/>
        </w:rPr>
        <w:t xml:space="preserve">13. Learning Architecture — NPO Additions</w:t>
      </w:r>
    </w:p>
    <w:p>
      <w:pPr>
        <w:spacing w:after="100" w:before="80"/>
      </w:pPr>
      <w:r>
        <w:rPr>
          <w:rFonts w:ascii="Arial" w:cs="Arial" w:eastAsia="Arial" w:hAnsi="Arial"/>
          <w:b w:val="false"/>
          <w:bCs w:val="false"/>
          <w:i w:val="false"/>
          <w:iCs w:val="false"/>
          <w:color w:val="4A5568"/>
          <w:sz w:val="22"/>
          <w:szCs w:val="22"/>
        </w:rPr>
        <w:t xml:space="preserve">Four new learning layers are added for the NPO module, bringing the total platform learning layers to 36. All four follow the existing governance process: Detection &amp; Staging → Update Summary Card → Admin Decision → 7-Day Notification → Implementation → 30-Day Review → Rollback capability.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Layer 33 — Funder Database Updates</w:t>
            </w:r>
          </w:p>
        </w:tc>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val="false"/>
                <w:bCs w:val="false"/>
                <w:color w:val="4A5568"/>
                <w:sz w:val="21"/>
                <w:szCs w:val="21"/>
              </w:rPr>
              <w:t xml:space="preserve">Triggered when funder application windows, funding criteria, or reporting requirements change. Sources: direct funder communications, platform-observed changes, advisor-reported updates. Update Summary Card includes: which clients are affected, what the specific change is, whether any pending applications or reports are impacted.</w:t>
            </w:r>
          </w:p>
        </w:tc>
      </w:tr>
      <w:tr>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Layer 34 — Governance Compliance Thresholds</w:t>
            </w:r>
          </w:p>
        </w:tc>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val="false"/>
                <w:bCs w:val="false"/>
                <w:color w:val="4A5568"/>
                <w:sz w:val="21"/>
                <w:szCs w:val="21"/>
              </w:rPr>
              <w:t xml:space="preserve">Triggered when NZ legislation governing NPOs is amended (Charities Act, ISA 2022, Trusts Act, Privacy Act). Sources: NZ Parliament integration, Charities Services announcements, legal sector publications. Critical for keeping Dimension 7 compliance checklists current.</w:t>
            </w:r>
          </w:p>
        </w:tc>
      </w:tr>
      <w:tr>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Layer 35 — Cost Per Beneficiary Benchmarks</w:t>
            </w:r>
          </w:p>
        </w:tc>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val="false"/>
                <w:bCs w:val="false"/>
                <w:color w:val="4A5568"/>
                <w:sz w:val="21"/>
                <w:szCs w:val="21"/>
              </w:rPr>
              <w:t xml:space="preserve">Triggered when sufficient new NPO engagement data is available to refine benchmarks by programme type and organisation size. Requires minimum five comparable organisations before a benchmark update is proposed. Anonymised data only.</w:t>
            </w:r>
          </w:p>
        </w:tc>
      </w:tr>
      <w:tr>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Layer 36 — Funding Concentration Risk Thresholds</w:t>
            </w:r>
          </w:p>
        </w:tc>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val="false"/>
                <w:bCs w:val="false"/>
                <w:color w:val="4A5568"/>
                <w:sz w:val="21"/>
                <w:szCs w:val="21"/>
              </w:rPr>
              <w:t xml:space="preserve">Triggered when pattern analysis across NPO clients suggests the risk thresholds (above 40% = HIGH) should be recalibrated, or when sector research on NZ NPO funding sustainability warrants review. Full data justification required before admin approval.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2B45" w:val="clear"/>
            <w:tcMar>
              <w:top w:type="dxa" w:w="280"/>
              <w:left w:type="dxa" w:w="360"/>
              <w:bottom w:type="dxa" w:w="280"/>
              <w:right w:type="dxa" w:w="360"/>
            </w:tcMar>
          </w:tcPr>
          <w:p>
            <w:pPr>
              <w:spacing w:after="80" w:before="0"/>
            </w:pPr>
            <w:r>
              <w:rPr>
                <w:rFonts w:ascii="Arial" w:cs="Arial" w:eastAsia="Arial" w:hAnsi="Arial"/>
                <w:b/>
                <w:bCs/>
                <w:color w:val="FFFFFF"/>
                <w:sz w:val="42"/>
                <w:szCs w:val="42"/>
              </w:rPr>
              <w:t xml:space="preserve">SECTION 14</w:t>
            </w:r>
          </w:p>
          <w:p>
            <w:pPr>
              <w:spacing w:after="0" w:before="0"/>
            </w:pPr>
            <w:r>
              <w:rPr>
                <w:rFonts w:ascii="Arial" w:cs="Arial" w:eastAsia="Arial" w:hAnsi="Arial"/>
                <w:i/>
                <w:iCs/>
                <w:color w:val="E8D5A0"/>
                <w:sz w:val="22"/>
                <w:szCs w:val="22"/>
              </w:rPr>
              <w:t xml:space="preserve">NPO Fee Structure</w:t>
            </w:r>
          </w:p>
        </w:tc>
      </w:tr>
    </w:tbl>
    <w:p>
      <w:pPr>
        <w:spacing w:after="0" w:before="0"/>
      </w:pPr>
      <w:r>
        <w:t xml:space="preserve"/>
      </w:r>
    </w:p>
    <w:p>
      <w:pPr>
        <w:pStyle w:val="Heading1"/>
        <w:pBdr>
          <w:bottom w:val="single" w:color="B8860B" w:sz="8" w:space="6"/>
        </w:pBdr>
        <w:spacing w:after="200" w:before="480"/>
      </w:pPr>
      <w:r>
        <w:rPr>
          <w:rFonts w:ascii="Arial" w:cs="Arial" w:eastAsia="Arial" w:hAnsi="Arial"/>
          <w:b/>
          <w:bCs/>
          <w:color w:val="1C2B45"/>
          <w:sz w:val="44"/>
          <w:szCs w:val="44"/>
        </w:rPr>
        <w:t xml:space="preserve">14. NPO Fee Structure</w:t>
      </w:r>
    </w:p>
    <w:p>
      <w:pPr>
        <w:spacing w:after="100" w:before="80"/>
      </w:pPr>
      <w:r>
        <w:rPr>
          <w:rFonts w:ascii="Arial" w:cs="Arial" w:eastAsia="Arial" w:hAnsi="Arial"/>
          <w:b w:val="false"/>
          <w:bCs w:val="false"/>
          <w:i w:val="false"/>
          <w:iCs w:val="false"/>
          <w:color w:val="4A5568"/>
          <w:sz w:val="22"/>
          <w:szCs w:val="22"/>
        </w:rPr>
        <w:t xml:space="preserve">The NPO fee structure applies a consistent 35% reduction from the equivalent SME advisory rate. The reduction reflects the genuine cost constraints of the NZ NPO sector while maintaining the commercial sustainability of NPO advisory engagements for the practice.</w:t>
      </w:r>
    </w:p>
    <w:p>
      <w:pPr>
        <w:spacing w:after="0" w:before="0"/>
      </w:pPr>
      <w:r>
        <w:t xml:space="preserve"/>
      </w:r>
    </w:p>
    <w:p>
      <w:pPr>
        <w:pBdr>
          <w:left w:val="single" w:color="B8860B" w:sz="14" w:space="8"/>
        </w:pBdr>
        <w:spacing w:after="100" w:before="100"/>
        <w:ind w:left="360"/>
      </w:pPr>
      <w:r>
        <w:rPr>
          <w:rFonts w:ascii="Arial" w:cs="Arial" w:eastAsia="Arial" w:hAnsi="Arial"/>
          <w:b w:val="false"/>
          <w:bCs w:val="false"/>
          <w:i/>
          <w:iCs/>
          <w:color w:val="8B6C42"/>
          <w:sz w:val="20"/>
          <w:szCs w:val="20"/>
        </w:rPr>
        <w:t xml:space="preserve">Actual rates depend on the SME advisory rates Pieter configures in the fee calculator. The 35% NPO discount is applied to whatever SME rates are set. Rates below are illustrative ranges based on the expected SME rate structure.</w:t>
      </w:r>
    </w:p>
    <w:p>
      <w:pPr>
        <w:spacing w:after="0" w:before="0"/>
      </w:pPr>
      <w:r>
        <w:t xml:space="preserve"/>
      </w:r>
    </w:p>
    <w:p>
      <w:pPr>
        <w:pStyle w:val="Heading2"/>
        <w:spacing w:after="160" w:before="360"/>
      </w:pPr>
      <w:r>
        <w:rPr>
          <w:rFonts w:ascii="Arial" w:cs="Arial" w:eastAsia="Arial" w:hAnsi="Arial"/>
          <w:b/>
          <w:bCs/>
          <w:color w:val="0D7A7A"/>
          <w:sz w:val="32"/>
          <w:szCs w:val="32"/>
        </w:rPr>
        <w:t xml:space="preserve">14.1 NPO Advisory Retainer — Tiered by Organisation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D0D5DD" w:sz="1"/>
              <w:left w:val="single" w:color="D0D5DD" w:sz="1"/>
              <w:bottom w:val="single" w:color="D0D5DD" w:sz="1"/>
              <w:right w:val="single" w:color="D0D5DD" w:sz="1"/>
            </w:tcBorders>
            <w:shd w:fill="1C2B45" w:val="clear"/>
            <w:tcMar>
              <w:top w:type="dxa" w:w="100"/>
              <w:left w:type="dxa" w:w="140"/>
              <w:bottom w:type="dxa" w:w="100"/>
              <w:right w:type="dxa" w:w="140"/>
            </w:tcMar>
          </w:tcPr>
          <w:p>
            <w:r>
              <w:rPr>
                <w:rFonts w:ascii="Arial" w:cs="Arial" w:eastAsia="Arial" w:hAnsi="Arial"/>
                <w:b/>
                <w:bCs/>
                <w:color w:val="FFFFFF"/>
                <w:sz w:val="20"/>
                <w:szCs w:val="20"/>
              </w:rPr>
              <w:t xml:space="preserve">NPO Size Band</w:t>
            </w:r>
          </w:p>
        </w:tc>
        <w:tc>
          <w:tcPr>
            <w:tcW w:type="dxa" w:w="3080"/>
            <w:tcBorders>
              <w:top w:val="single" w:color="D0D5DD" w:sz="1"/>
              <w:left w:val="single" w:color="D0D5DD" w:sz="1"/>
              <w:bottom w:val="single" w:color="D0D5DD" w:sz="1"/>
              <w:right w:val="single" w:color="D0D5DD" w:sz="1"/>
            </w:tcBorders>
            <w:shd w:fill="1C2B45" w:val="clear"/>
            <w:tcMar>
              <w:top w:type="dxa" w:w="100"/>
              <w:left w:type="dxa" w:w="140"/>
              <w:bottom w:type="dxa" w:w="100"/>
              <w:right w:type="dxa" w:w="140"/>
            </w:tcMar>
          </w:tcPr>
          <w:p>
            <w:r>
              <w:rPr>
                <w:rFonts w:ascii="Arial" w:cs="Arial" w:eastAsia="Arial" w:hAnsi="Arial"/>
                <w:b/>
                <w:bCs/>
                <w:color w:val="FFFFFF"/>
                <w:sz w:val="20"/>
                <w:szCs w:val="20"/>
              </w:rPr>
              <w:t xml:space="preserve">Annual Operating Budget</w:t>
            </w:r>
          </w:p>
        </w:tc>
        <w:tc>
          <w:tcPr>
            <w:tcW w:type="dxa" w:w="3080"/>
            <w:tcBorders>
              <w:top w:val="single" w:color="D0D5DD" w:sz="1"/>
              <w:left w:val="single" w:color="D0D5DD" w:sz="1"/>
              <w:bottom w:val="single" w:color="D0D5DD" w:sz="1"/>
              <w:right w:val="single" w:color="D0D5DD" w:sz="1"/>
            </w:tcBorders>
            <w:shd w:fill="1C2B45" w:val="clear"/>
            <w:tcMar>
              <w:top w:type="dxa" w:w="100"/>
              <w:left w:type="dxa" w:w="140"/>
              <w:bottom w:type="dxa" w:w="100"/>
              <w:right w:type="dxa" w:w="140"/>
            </w:tcMar>
          </w:tcPr>
          <w:p>
            <w:r>
              <w:rPr>
                <w:rFonts w:ascii="Arial" w:cs="Arial" w:eastAsia="Arial" w:hAnsi="Arial"/>
                <w:b/>
                <w:bCs/>
                <w:color w:val="FFFFFF"/>
                <w:sz w:val="20"/>
                <w:szCs w:val="20"/>
              </w:rPr>
              <w:t xml:space="preserve">Suggested Monthly Retainer</w:t>
            </w:r>
          </w:p>
        </w:tc>
      </w:tr>
      <w:tr>
        <w:tc>
          <w:tcPr>
            <w:tcW w:type="dxa" w:w="3200"/>
            <w:tcBorders>
              <w:top w:val="single" w:color="D0D5DD" w:sz="1"/>
              <w:left w:val="single" w:color="D0D5DD" w:sz="1"/>
              <w:bottom w:val="single" w:color="D0D5DD" w:sz="1"/>
              <w:right w:val="single" w:color="D0D5DD" w:sz="1"/>
            </w:tcBorders>
            <w:shd w:fill="F9F6F0" w:val="clear"/>
            <w:tcMar>
              <w:top w:type="dxa" w:w="100"/>
              <w:left w:type="dxa" w:w="140"/>
              <w:bottom w:type="dxa" w:w="100"/>
              <w:right w:type="dxa" w:w="140"/>
            </w:tcMar>
          </w:tcPr>
          <w:p>
            <w:r>
              <w:rPr>
                <w:rFonts w:ascii="Arial" w:cs="Arial" w:eastAsia="Arial" w:hAnsi="Arial"/>
                <w:b w:val="false"/>
                <w:bCs w:val="false"/>
                <w:color w:val="4A5568"/>
                <w:sz w:val="20"/>
                <w:szCs w:val="20"/>
              </w:rPr>
              <w:t xml:space="preserve">Micro</w:t>
            </w:r>
          </w:p>
        </w:tc>
        <w:tc>
          <w:tcPr>
            <w:tcW w:type="dxa" w:w="3080"/>
            <w:tcBorders>
              <w:top w:val="single" w:color="D0D5DD" w:sz="1"/>
              <w:left w:val="single" w:color="D0D5DD" w:sz="1"/>
              <w:bottom w:val="single" w:color="D0D5DD" w:sz="1"/>
              <w:right w:val="single" w:color="D0D5DD" w:sz="1"/>
            </w:tcBorders>
            <w:shd w:fill="F9F6F0" w:val="clear"/>
            <w:tcMar>
              <w:top w:type="dxa" w:w="100"/>
              <w:left w:type="dxa" w:w="140"/>
              <w:bottom w:type="dxa" w:w="100"/>
              <w:right w:type="dxa" w:w="140"/>
            </w:tcMar>
          </w:tcPr>
          <w:p>
            <w:r>
              <w:rPr>
                <w:rFonts w:ascii="Arial" w:cs="Arial" w:eastAsia="Arial" w:hAnsi="Arial"/>
                <w:b w:val="false"/>
                <w:bCs w:val="false"/>
                <w:color w:val="4A5568"/>
                <w:sz w:val="20"/>
                <w:szCs w:val="20"/>
              </w:rPr>
              <w:t xml:space="preserve">Under $100,000</w:t>
            </w:r>
          </w:p>
        </w:tc>
        <w:tc>
          <w:tcPr>
            <w:tcW w:type="dxa" w:w="3080"/>
            <w:tcBorders>
              <w:top w:val="single" w:color="D0D5DD" w:sz="1"/>
              <w:left w:val="single" w:color="D0D5DD" w:sz="1"/>
              <w:bottom w:val="single" w:color="D0D5DD" w:sz="1"/>
              <w:right w:val="single" w:color="D0D5DD" w:sz="1"/>
            </w:tcBorders>
            <w:shd w:fill="F9F6F0" w:val="clear"/>
            <w:tcMar>
              <w:top w:type="dxa" w:w="100"/>
              <w:left w:type="dxa" w:w="140"/>
              <w:bottom w:type="dxa" w:w="100"/>
              <w:right w:type="dxa" w:w="140"/>
            </w:tcMar>
          </w:tcPr>
          <w:p>
            <w:r>
              <w:rPr>
                <w:rFonts w:ascii="Arial" w:cs="Arial" w:eastAsia="Arial" w:hAnsi="Arial"/>
                <w:b w:val="false"/>
                <w:bCs w:val="false"/>
                <w:color w:val="4A5568"/>
                <w:sz w:val="20"/>
                <w:szCs w:val="20"/>
              </w:rPr>
              <w:t xml:space="preserve">$400 – $600 / month</w:t>
            </w:r>
          </w:p>
        </w:tc>
      </w:tr>
      <w:tr>
        <w:tc>
          <w:tcPr>
            <w:tcW w:type="dxa" w:w="32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tcPr>
          <w:p>
            <w:r>
              <w:rPr>
                <w:rFonts w:ascii="Arial" w:cs="Arial" w:eastAsia="Arial" w:hAnsi="Arial"/>
                <w:b w:val="false"/>
                <w:bCs w:val="false"/>
                <w:color w:val="4A5568"/>
                <w:sz w:val="20"/>
                <w:szCs w:val="20"/>
              </w:rPr>
              <w:t xml:space="preserve">Small</w:t>
            </w:r>
          </w:p>
        </w:tc>
        <w:tc>
          <w:tcPr>
            <w:tcW w:type="dxa" w:w="308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tcPr>
          <w:p>
            <w:r>
              <w:rPr>
                <w:rFonts w:ascii="Arial" w:cs="Arial" w:eastAsia="Arial" w:hAnsi="Arial"/>
                <w:b w:val="false"/>
                <w:bCs w:val="false"/>
                <w:color w:val="4A5568"/>
                <w:sz w:val="20"/>
                <w:szCs w:val="20"/>
              </w:rPr>
              <w:t xml:space="preserve">$100,000 – $500,000</w:t>
            </w:r>
          </w:p>
        </w:tc>
        <w:tc>
          <w:tcPr>
            <w:tcW w:type="dxa" w:w="308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tcPr>
          <w:p>
            <w:r>
              <w:rPr>
                <w:rFonts w:ascii="Arial" w:cs="Arial" w:eastAsia="Arial" w:hAnsi="Arial"/>
                <w:b w:val="false"/>
                <w:bCs w:val="false"/>
                <w:color w:val="4A5568"/>
                <w:sz w:val="20"/>
                <w:szCs w:val="20"/>
              </w:rPr>
              <w:t xml:space="preserve">$700 – $1,100 / month</w:t>
            </w:r>
          </w:p>
        </w:tc>
      </w:tr>
      <w:tr>
        <w:tc>
          <w:tcPr>
            <w:tcW w:type="dxa" w:w="3200"/>
            <w:tcBorders>
              <w:top w:val="single" w:color="D0D5DD" w:sz="1"/>
              <w:left w:val="single" w:color="D0D5DD" w:sz="1"/>
              <w:bottom w:val="single" w:color="D0D5DD" w:sz="1"/>
              <w:right w:val="single" w:color="D0D5DD" w:sz="1"/>
            </w:tcBorders>
            <w:shd w:fill="F9F6F0" w:val="clear"/>
            <w:tcMar>
              <w:top w:type="dxa" w:w="100"/>
              <w:left w:type="dxa" w:w="140"/>
              <w:bottom w:type="dxa" w:w="100"/>
              <w:right w:type="dxa" w:w="140"/>
            </w:tcMar>
          </w:tcPr>
          <w:p>
            <w:r>
              <w:rPr>
                <w:rFonts w:ascii="Arial" w:cs="Arial" w:eastAsia="Arial" w:hAnsi="Arial"/>
                <w:b w:val="false"/>
                <w:bCs w:val="false"/>
                <w:color w:val="4A5568"/>
                <w:sz w:val="20"/>
                <w:szCs w:val="20"/>
              </w:rPr>
              <w:t xml:space="preserve">Medium</w:t>
            </w:r>
          </w:p>
        </w:tc>
        <w:tc>
          <w:tcPr>
            <w:tcW w:type="dxa" w:w="3080"/>
            <w:tcBorders>
              <w:top w:val="single" w:color="D0D5DD" w:sz="1"/>
              <w:left w:val="single" w:color="D0D5DD" w:sz="1"/>
              <w:bottom w:val="single" w:color="D0D5DD" w:sz="1"/>
              <w:right w:val="single" w:color="D0D5DD" w:sz="1"/>
            </w:tcBorders>
            <w:shd w:fill="F9F6F0" w:val="clear"/>
            <w:tcMar>
              <w:top w:type="dxa" w:w="100"/>
              <w:left w:type="dxa" w:w="140"/>
              <w:bottom w:type="dxa" w:w="100"/>
              <w:right w:type="dxa" w:w="140"/>
            </w:tcMar>
          </w:tcPr>
          <w:p>
            <w:r>
              <w:rPr>
                <w:rFonts w:ascii="Arial" w:cs="Arial" w:eastAsia="Arial" w:hAnsi="Arial"/>
                <w:b w:val="false"/>
                <w:bCs w:val="false"/>
                <w:color w:val="4A5568"/>
                <w:sz w:val="20"/>
                <w:szCs w:val="20"/>
              </w:rPr>
              <w:t xml:space="preserve">$500,000 – $2,000,000</w:t>
            </w:r>
          </w:p>
        </w:tc>
        <w:tc>
          <w:tcPr>
            <w:tcW w:type="dxa" w:w="3080"/>
            <w:tcBorders>
              <w:top w:val="single" w:color="D0D5DD" w:sz="1"/>
              <w:left w:val="single" w:color="D0D5DD" w:sz="1"/>
              <w:bottom w:val="single" w:color="D0D5DD" w:sz="1"/>
              <w:right w:val="single" w:color="D0D5DD" w:sz="1"/>
            </w:tcBorders>
            <w:shd w:fill="F9F6F0" w:val="clear"/>
            <w:tcMar>
              <w:top w:type="dxa" w:w="100"/>
              <w:left w:type="dxa" w:w="140"/>
              <w:bottom w:type="dxa" w:w="100"/>
              <w:right w:type="dxa" w:w="140"/>
            </w:tcMar>
          </w:tcPr>
          <w:p>
            <w:r>
              <w:rPr>
                <w:rFonts w:ascii="Arial" w:cs="Arial" w:eastAsia="Arial" w:hAnsi="Arial"/>
                <w:b w:val="false"/>
                <w:bCs w:val="false"/>
                <w:color w:val="4A5568"/>
                <w:sz w:val="20"/>
                <w:szCs w:val="20"/>
              </w:rPr>
              <w:t xml:space="preserve">$1,200 – $1,800 / month</w:t>
            </w:r>
          </w:p>
        </w:tc>
      </w:tr>
      <w:tr>
        <w:tc>
          <w:tcPr>
            <w:tcW w:type="dxa" w:w="32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tcPr>
          <w:p>
            <w:r>
              <w:rPr>
                <w:rFonts w:ascii="Arial" w:cs="Arial" w:eastAsia="Arial" w:hAnsi="Arial"/>
                <w:b w:val="false"/>
                <w:bCs w:val="false"/>
                <w:color w:val="4A5568"/>
                <w:sz w:val="20"/>
                <w:szCs w:val="20"/>
              </w:rPr>
              <w:t xml:space="preserve">Large</w:t>
            </w:r>
          </w:p>
        </w:tc>
        <w:tc>
          <w:tcPr>
            <w:tcW w:type="dxa" w:w="308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tcPr>
          <w:p>
            <w:r>
              <w:rPr>
                <w:rFonts w:ascii="Arial" w:cs="Arial" w:eastAsia="Arial" w:hAnsi="Arial"/>
                <w:b w:val="false"/>
                <w:bCs w:val="false"/>
                <w:color w:val="4A5568"/>
                <w:sz w:val="20"/>
                <w:szCs w:val="20"/>
              </w:rPr>
              <w:t xml:space="preserve">Over $2,000,000</w:t>
            </w:r>
          </w:p>
        </w:tc>
        <w:tc>
          <w:tcPr>
            <w:tcW w:type="dxa" w:w="308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tcPr>
          <w:p>
            <w:r>
              <w:rPr>
                <w:rFonts w:ascii="Arial" w:cs="Arial" w:eastAsia="Arial" w:hAnsi="Arial"/>
                <w:b w:val="false"/>
                <w:bCs w:val="false"/>
                <w:color w:val="4A5568"/>
                <w:sz w:val="20"/>
                <w:szCs w:val="20"/>
              </w:rPr>
              <w:t xml:space="preserve">$1,900 – $3,000 / month</w:t>
            </w:r>
          </w:p>
        </w:tc>
      </w:tr>
    </w:tbl>
    <w:p>
      <w:pPr>
        <w:spacing w:after="0" w:before="0"/>
      </w:pPr>
      <w:r>
        <w:t xml:space="preserve"/>
      </w:r>
    </w:p>
    <w:p>
      <w:pPr>
        <w:pStyle w:val="Heading2"/>
        <w:spacing w:after="160" w:before="360"/>
      </w:pPr>
      <w:r>
        <w:rPr>
          <w:rFonts w:ascii="Arial" w:cs="Arial" w:eastAsia="Arial" w:hAnsi="Arial"/>
          <w:b/>
          <w:bCs/>
          <w:color w:val="0D7A7A"/>
          <w:sz w:val="32"/>
          <w:szCs w:val="32"/>
        </w:rPr>
        <w:t xml:space="preserve">14.2 Additional Fee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Governance Review</w:t>
            </w:r>
          </w:p>
        </w:tc>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val="false"/>
                <w:bCs w:val="false"/>
                <w:color w:val="4A5568"/>
                <w:sz w:val="21"/>
                <w:szCs w:val="21"/>
              </w:rPr>
              <w:t xml:space="preserve">Fixed fee $1,500–$2,500 by organisation size. Conversion credit: 50% of governance review fee credited to first advisory retainer month at advisor discretion.</w:t>
            </w:r>
          </w:p>
        </w:tc>
      </w:tr>
      <w:tr>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Funder Accountability Reports</w:t>
            </w:r>
          </w:p>
        </w:tc>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val="false"/>
                <w:bCs w:val="false"/>
                <w:color w:val="4A5568"/>
                <w:sz w:val="21"/>
                <w:szCs w:val="21"/>
              </w:rPr>
              <w:t xml:space="preserve">Standard template reports: included in retainer. Bespoke reports requiring significant custom formatting beyond available templates: $300–$500 per report.</w:t>
            </w:r>
          </w:p>
        </w:tc>
      </w:tr>
      <w:tr>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Impact Summary Report</w:t>
            </w:r>
          </w:p>
        </w:tc>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val="false"/>
                <w:bCs w:val="false"/>
                <w:color w:val="4A5568"/>
                <w:sz w:val="21"/>
                <w:szCs w:val="21"/>
              </w:rPr>
              <w:t xml:space="preserve">Included in the retainer. Advisor review time is part of the standard advisory service.</w:t>
            </w:r>
          </w:p>
        </w:tc>
      </w:tr>
      <w:tr>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Social Enterprise Rate</w:t>
            </w:r>
          </w:p>
        </w:tc>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val="false"/>
                <w:bCs w:val="false"/>
                <w:color w:val="4A5568"/>
                <w:sz w:val="21"/>
                <w:szCs w:val="21"/>
              </w:rPr>
              <w:t xml:space="preserve">Charged at the NPO rate where charitable/mission dimension is primary. SME rate applies where commercial dimension is primary. Advisor determines at engagement setup with recorded rationale.</w:t>
            </w:r>
          </w:p>
        </w:tc>
      </w:tr>
      <w:tr>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Pro-Bono Provision</w:t>
            </w:r>
          </w:p>
        </w:tc>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val="false"/>
                <w:bCs w:val="false"/>
                <w:color w:val="4A5568"/>
                <w:sz w:val="21"/>
                <w:szCs w:val="21"/>
              </w:rPr>
              <w:t xml:space="preserve">Up to two NPO engagements per year may be designated pro-bono or significantly subsidised. Flagged in the platform and tracked separately. Full platform functionality available for pro-bono engagements.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2B45" w:val="clear"/>
            <w:tcMar>
              <w:top w:type="dxa" w:w="280"/>
              <w:left w:type="dxa" w:w="360"/>
              <w:bottom w:type="dxa" w:w="280"/>
              <w:right w:type="dxa" w:w="360"/>
            </w:tcMar>
          </w:tcPr>
          <w:p>
            <w:pPr>
              <w:spacing w:after="80" w:before="0"/>
            </w:pPr>
            <w:r>
              <w:rPr>
                <w:rFonts w:ascii="Arial" w:cs="Arial" w:eastAsia="Arial" w:hAnsi="Arial"/>
                <w:b/>
                <w:bCs/>
                <w:color w:val="FFFFFF"/>
                <w:sz w:val="42"/>
                <w:szCs w:val="42"/>
              </w:rPr>
              <w:t xml:space="preserve">SECTION 15</w:t>
            </w:r>
          </w:p>
          <w:p>
            <w:pPr>
              <w:spacing w:after="0" w:before="0"/>
            </w:pPr>
            <w:r>
              <w:rPr>
                <w:rFonts w:ascii="Arial" w:cs="Arial" w:eastAsia="Arial" w:hAnsi="Arial"/>
                <w:i/>
                <w:iCs/>
                <w:color w:val="E8D5A0"/>
                <w:sz w:val="22"/>
                <w:szCs w:val="22"/>
              </w:rPr>
              <w:t xml:space="preserve">Development — Phase 5</w:t>
            </w:r>
          </w:p>
        </w:tc>
      </w:tr>
    </w:tbl>
    <w:p>
      <w:pPr>
        <w:spacing w:after="0" w:before="0"/>
      </w:pPr>
      <w:r>
        <w:t xml:space="preserve"/>
      </w:r>
    </w:p>
    <w:p>
      <w:pPr>
        <w:pStyle w:val="Heading1"/>
        <w:pBdr>
          <w:bottom w:val="single" w:color="B8860B" w:sz="8" w:space="6"/>
        </w:pBdr>
        <w:spacing w:after="200" w:before="480"/>
      </w:pPr>
      <w:r>
        <w:rPr>
          <w:rFonts w:ascii="Arial" w:cs="Arial" w:eastAsia="Arial" w:hAnsi="Arial"/>
          <w:b/>
          <w:bCs/>
          <w:color w:val="1C2B45"/>
          <w:sz w:val="44"/>
          <w:szCs w:val="44"/>
        </w:rPr>
        <w:t xml:space="preserve">15. Development — Phase 5</w:t>
      </w:r>
    </w:p>
    <w:p>
      <w:pPr>
        <w:spacing w:after="100" w:before="80"/>
      </w:pPr>
      <w:r>
        <w:rPr>
          <w:rFonts w:ascii="Arial" w:cs="Arial" w:eastAsia="Arial" w:hAnsi="Arial"/>
          <w:b w:val="false"/>
          <w:bCs w:val="false"/>
          <w:i w:val="false"/>
          <w:iCs w:val="false"/>
          <w:color w:val="4A5568"/>
          <w:sz w:val="22"/>
          <w:szCs w:val="22"/>
        </w:rPr>
        <w:t xml:space="preserve">Phases 1 through 4 of the FSA platform are complete. The NPO Module is a Phase 5 addition. Phase 5 is divided into two releases.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1"/>
              <w:bottom w:val="single" w:color="B8860B" w:sz="1"/>
              <w:right w:val="single" w:color="B8860B" w:sz="1"/>
            </w:tcBorders>
            <w:shd w:fill="F9F6F0" w:val="clear"/>
            <w:tcMar>
              <w:top w:type="dxa" w:w="200"/>
              <w:left w:type="dxa" w:w="280"/>
              <w:bottom w:type="dxa" w:w="200"/>
              <w:right w:type="dxa" w:w="280"/>
            </w:tcMar>
          </w:tcPr>
          <w:p>
            <w:pPr>
              <w:spacing w:after="40" w:before="40"/>
            </w:pPr>
            <w:r>
              <w:rPr>
                <w:rFonts w:ascii="Arial" w:cs="Arial" w:eastAsia="Arial" w:hAnsi="Arial"/>
                <w:b w:val="false"/>
                <w:bCs w:val="false"/>
                <w:i w:val="false"/>
                <w:iCs w:val="false"/>
                <w:color w:val="1C2B45"/>
                <w:sz w:val="21"/>
                <w:szCs w:val="21"/>
              </w:rPr>
              <w:t xml:space="preserve">Phase 4 is complete. The NPO Module does not require any changes to existing Phase 1–4 features. It is a new engagement lane extending the existing architecture. No existing functionality is modified by this module.</w:t>
            </w:r>
          </w:p>
        </w:tc>
      </w:tr>
    </w:tbl>
    <w:p>
      <w:pPr>
        <w:spacing w:after="0" w:before="0"/>
      </w:pPr>
      <w:r>
        <w:t xml:space="preserve"/>
      </w:r>
    </w:p>
    <w:p>
      <w:pPr>
        <w:pStyle w:val="Heading2"/>
        <w:spacing w:after="160" w:before="360"/>
      </w:pPr>
      <w:r>
        <w:rPr>
          <w:rFonts w:ascii="Arial" w:cs="Arial" w:eastAsia="Arial" w:hAnsi="Arial"/>
          <w:b/>
          <w:bCs/>
          <w:color w:val="0D7A7A"/>
          <w:sz w:val="32"/>
          <w:szCs w:val="32"/>
        </w:rPr>
        <w:t xml:space="preserve">15.1 Phase 5a — Governance Review Standalone (Early Release)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Scope</w:t>
            </w:r>
          </w:p>
        </w:tc>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val="false"/>
                <w:bCs w:val="false"/>
                <w:color w:val="4A5568"/>
                <w:sz w:val="21"/>
                <w:szCs w:val="21"/>
              </w:rPr>
              <w:t xml:space="preserve">Governance Review standalone engagement only. Governance-specific questionnaire, AI governance analysis, Governance Review Report, fixed-fee proposal and sign-off flow, conversion pipeline tracking.</w:t>
            </w:r>
          </w:p>
        </w:tc>
      </w:tr>
      <w:tr>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Rationale for Early Release</w:t>
            </w:r>
          </w:p>
        </w:tc>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val="false"/>
                <w:bCs w:val="false"/>
                <w:color w:val="4A5568"/>
                <w:sz w:val="21"/>
                <w:szCs w:val="21"/>
              </w:rPr>
              <w:t xml:space="preserve">The governance review is the simplest sub-type. It uses a focused questionnaire, generates a single report, and produces immediate compliance value for NZ registered charities. Can be released and generating revenue while the full NPO module is developed.</w:t>
            </w:r>
          </w:p>
        </w:tc>
      </w:tr>
      <w:tr>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Key Dependencies</w:t>
            </w:r>
          </w:p>
        </w:tc>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val="false"/>
                <w:bCs w:val="false"/>
                <w:color w:val="4A5568"/>
                <w:sz w:val="21"/>
                <w:szCs w:val="21"/>
              </w:rPr>
              <w:t xml:space="preserve">NPO governance question set in questionnaire engine, Charities Services integration, governance analysis layer in AI engine, Governance Review Report template, fixed-fee proposal variant, conversion pipeline dashboard panel.</w:t>
            </w:r>
          </w:p>
        </w:tc>
      </w:tr>
      <w:tr>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Not Required for 5a</w:t>
            </w:r>
          </w:p>
        </w:tc>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val="false"/>
                <w:bCs w:val="false"/>
                <w:color w:val="4A5568"/>
                <w:sz w:val="21"/>
                <w:szCs w:val="21"/>
              </w:rPr>
              <w:t xml:space="preserve">Full NPO questionnaire, eight-dimension health assessment, social enterprise dual scorecard, funder database, accountability report generation, new user roles, Te Tiriti configuration.</w:t>
            </w:r>
          </w:p>
        </w:tc>
      </w:tr>
    </w:tbl>
    <w:p>
      <w:pPr>
        <w:spacing w:after="0" w:before="0"/>
      </w:pPr>
      <w:r>
        <w:t xml:space="preserve"/>
      </w:r>
    </w:p>
    <w:p>
      <w:pPr>
        <w:pStyle w:val="Heading2"/>
        <w:spacing w:after="160" w:before="360"/>
      </w:pPr>
      <w:r>
        <w:rPr>
          <w:rFonts w:ascii="Arial" w:cs="Arial" w:eastAsia="Arial" w:hAnsi="Arial"/>
          <w:b/>
          <w:bCs/>
          <w:color w:val="0D7A7A"/>
          <w:sz w:val="32"/>
          <w:szCs w:val="32"/>
        </w:rPr>
        <w:t xml:space="preserve">15.2 Phase 5b — Full NPO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Scope</w:t>
            </w:r>
          </w:p>
        </w:tc>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val="false"/>
                <w:bCs w:val="false"/>
                <w:color w:val="4A5568"/>
                <w:sz w:val="21"/>
                <w:szCs w:val="21"/>
              </w:rPr>
              <w:t xml:space="preserve">Complete NPO module as specified in this addendum. All eight dimensions, social enterprise sub-type, dual scorecard and tension analysis, both value calculations, funder database (initial funder set seeded at launch), all six report types, both new user roles, funder contact invitation flow, NPO client portal, Impact Summary template with AI assistance, Learning Architecture Layers 33–36, all NPO integrations.</w:t>
            </w:r>
          </w:p>
        </w:tc>
      </w:tr>
      <w:tr>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Pre-population Dependency</w:t>
            </w:r>
          </w:p>
        </w:tc>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val="false"/>
                <w:bCs w:val="false"/>
                <w:color w:val="4A5568"/>
                <w:sz w:val="21"/>
                <w:szCs w:val="21"/>
              </w:rPr>
              <w:t xml:space="preserve">The governance review → Dimension 3 auto-population requires Phase 5a to be complete and the data model confirmed before Phase 5b development begins.</w:t>
            </w:r>
          </w:p>
        </w:tc>
      </w:tr>
      <w:tr>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Funder Database Seeding</w:t>
            </w:r>
          </w:p>
        </w:tc>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val="false"/>
                <w:bCs w:val="false"/>
                <w:color w:val="4A5568"/>
                <w:sz w:val="21"/>
                <w:szCs w:val="21"/>
              </w:rPr>
              <w:t xml:space="preserve">Initial funder database records are a content task, not a development task. Research, structure, and load at Phase 5b launch. Super Admin loads initial records. Layer 33 governs all subsequent updates.</w:t>
            </w:r>
          </w:p>
        </w:tc>
      </w:tr>
      <w:tr>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Social Enterprise Development</w:t>
            </w:r>
          </w:p>
        </w:tc>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val="false"/>
                <w:bCs w:val="false"/>
                <w:color w:val="4A5568"/>
                <w:sz w:val="21"/>
                <w:szCs w:val="21"/>
              </w:rPr>
              <w:t xml:space="preserve">The dual scorecard reuses the existing SME analysis engine for the commercial dimension. Primary development effort is the dual dashboard, weighting configuration, and AI Tension Analysis engine.</w:t>
            </w:r>
          </w:p>
        </w:tc>
      </w:tr>
    </w:tbl>
    <w:p>
      <w:pPr>
        <w:spacing w:after="0" w:before="0"/>
      </w:pPr>
      <w:r>
        <w:t xml:space="preserve"/>
      </w:r>
    </w:p>
    <w:p>
      <w:pPr>
        <w:pStyle w:val="Heading2"/>
        <w:spacing w:after="160" w:before="360"/>
      </w:pPr>
      <w:r>
        <w:rPr>
          <w:rFonts w:ascii="Arial" w:cs="Arial" w:eastAsia="Arial" w:hAnsi="Arial"/>
          <w:b/>
          <w:bCs/>
          <w:color w:val="0D7A7A"/>
          <w:sz w:val="32"/>
          <w:szCs w:val="32"/>
        </w:rPr>
        <w:t xml:space="preserve">15.3 CLAUDE.md — NPO Module Rules Block</w:t>
      </w:r>
    </w:p>
    <w:p>
      <w:pPr>
        <w:pBdr>
          <w:left w:val="single" w:color="B8860B" w:sz="14" w:space="8"/>
        </w:pBdr>
        <w:spacing w:after="100" w:before="100"/>
        <w:ind w:left="360"/>
      </w:pPr>
      <w:r>
        <w:rPr>
          <w:rFonts w:ascii="Arial" w:cs="Arial" w:eastAsia="Arial" w:hAnsi="Arial"/>
          <w:b w:val="false"/>
          <w:bCs w:val="false"/>
          <w:i/>
          <w:iCs/>
          <w:color w:val="8B6C42"/>
          <w:sz w:val="20"/>
          <w:szCs w:val="20"/>
        </w:rPr>
        <w:t xml:space="preserve">Add the following block to CLAUDE.md under the heading: "## NPO Module Rules".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2B45" w:sz="1"/>
              <w:left w:val="single" w:color="1C2B45" w:sz="1"/>
              <w:bottom w:val="single" w:color="1C2B45" w:sz="1"/>
              <w:right w:val="single" w:color="1C2B45" w:sz="1"/>
            </w:tcBorders>
            <w:shd w:fill="F0F4F8" w:val="clear"/>
            <w:tcMar>
              <w:top w:type="dxa" w:w="200"/>
              <w:left w:type="dxa" w:w="240"/>
              <w:bottom w:type="dxa" w:w="200"/>
              <w:right w:type="dxa" w:w="240"/>
            </w:tcMar>
          </w:tcPr>
          <w:p>
            <w:pPr>
              <w:spacing w:after="18" w:before="0"/>
            </w:pPr>
            <w:r>
              <w:rPr>
                <w:rFonts w:ascii="Courier New" w:cs="Courier New" w:eastAsia="Courier New" w:hAnsi="Courier New"/>
                <w:b/>
                <w:bCs/>
                <w:color w:val="0D7A7A"/>
                <w:sz w:val="18"/>
                <w:szCs w:val="18"/>
              </w:rPr>
              <w:t xml:space="preserve">## NPO Module Rules</w:t>
            </w:r>
          </w:p>
          <w:p>
            <w:pPr>
              <w:spacing w:after="18" w:before="0"/>
            </w:pPr>
            <w:r>
              <w:rPr>
                <w:rFonts w:ascii="Courier New" w:cs="Courier New" w:eastAsia="Courier New" w:hAnsi="Courier New"/>
                <w:b w:val="false"/>
                <w:bCs w:val="false"/>
                <w:color w:val="4A5568"/>
                <w:sz w:val="18"/>
                <w:szCs w:val="18"/>
              </w:rPr>
              <w:t xml:space="preserve"/>
            </w:r>
          </w:p>
          <w:p>
            <w:pPr>
              <w:spacing w:after="18" w:before="0"/>
            </w:pPr>
            <w:r>
              <w:rPr>
                <w:rFonts w:ascii="Courier New" w:cs="Courier New" w:eastAsia="Courier New" w:hAnsi="Courier New"/>
                <w:b/>
                <w:bCs/>
                <w:color w:val="0D7A7A"/>
                <w:sz w:val="18"/>
                <w:szCs w:val="18"/>
              </w:rPr>
              <w:t xml:space="preserve"># ENGAGEMENT CONFIGURATION</w:t>
            </w:r>
          </w:p>
          <w:p>
            <w:pPr>
              <w:spacing w:after="18" w:before="0"/>
            </w:pPr>
            <w:r>
              <w:rPr>
                <w:rFonts w:ascii="Courier New" w:cs="Courier New" w:eastAsia="Courier New" w:hAnsi="Courier New"/>
                <w:b w:val="false"/>
                <w:bCs w:val="false"/>
                <w:color w:val="4A5568"/>
                <w:sz w:val="18"/>
                <w:szCs w:val="18"/>
              </w:rPr>
              <w:t xml:space="preserve">- NPO engagement: engagement_type = "npo"</w:t>
            </w:r>
          </w:p>
          <w:p>
            <w:pPr>
              <w:spacing w:after="18" w:before="0"/>
            </w:pPr>
            <w:r>
              <w:rPr>
                <w:rFonts w:ascii="Courier New" w:cs="Courier New" w:eastAsia="Courier New" w:hAnsi="Courier New"/>
                <w:b w:val="false"/>
                <w:bCs w:val="false"/>
                <w:color w:val="4A5568"/>
                <w:sz w:val="18"/>
                <w:szCs w:val="18"/>
              </w:rPr>
              <w:t xml:space="preserve">- Sub-types: standard_npo | social_enterprise | governance_review</w:t>
            </w:r>
          </w:p>
          <w:p>
            <w:pPr>
              <w:spacing w:after="18" w:before="0"/>
            </w:pPr>
            <w:r>
              <w:rPr>
                <w:rFonts w:ascii="Courier New" w:cs="Courier New" w:eastAsia="Courier New" w:hAnsi="Courier New"/>
                <w:b w:val="false"/>
                <w:bCs w:val="false"/>
                <w:color w:val="4A5568"/>
                <w:sz w:val="18"/>
                <w:szCs w:val="18"/>
              </w:rPr>
              <w:t xml:space="preserve">- Legal structure stored at intake. Determines compliance_obligations[] for Dimension 7.</w:t>
            </w:r>
          </w:p>
          <w:p>
            <w:pPr>
              <w:spacing w:after="18" w:before="0"/>
            </w:pPr>
            <w:r>
              <w:rPr>
                <w:rFonts w:ascii="Courier New" w:cs="Courier New" w:eastAsia="Courier New" w:hAnsi="Courier New"/>
                <w:b w:val="false"/>
                <w:bCs w:val="false"/>
                <w:color w:val="4A5568"/>
                <w:sz w:val="18"/>
                <w:szCs w:val="18"/>
              </w:rPr>
              <w:t xml:space="preserve">- Te Tiriti mode: tiriti_mode = "standalone" (8 dims) | "woven" (7 dims + embedded criteria)</w:t>
            </w:r>
          </w:p>
          <w:p>
            <w:pPr>
              <w:spacing w:after="18" w:before="0"/>
            </w:pPr>
            <w:r>
              <w:rPr>
                <w:rFonts w:ascii="Courier New" w:cs="Courier New" w:eastAsia="Courier New" w:hAnsi="Courier New"/>
                <w:b w:val="false"/>
                <w:bCs w:val="false"/>
                <w:color w:val="4A5568"/>
                <w:sz w:val="18"/>
                <w:szCs w:val="18"/>
              </w:rPr>
              <w:t xml:space="preserve">- Social enterprise: dual_scorecard = true. commercial_weight + mission_weight must = 100.</w:t>
            </w:r>
          </w:p>
          <w:p>
            <w:pPr>
              <w:spacing w:after="18" w:before="0"/>
            </w:pPr>
            <w:r>
              <w:rPr>
                <w:rFonts w:ascii="Courier New" w:cs="Courier New" w:eastAsia="Courier New" w:hAnsi="Courier New"/>
                <w:b w:val="false"/>
                <w:bCs w:val="false"/>
                <w:color w:val="4A5568"/>
                <w:sz w:val="18"/>
                <w:szCs w:val="18"/>
              </w:rPr>
              <w:t xml:space="preserve"/>
            </w:r>
          </w:p>
          <w:p>
            <w:pPr>
              <w:spacing w:after="18" w:before="0"/>
            </w:pPr>
            <w:r>
              <w:rPr>
                <w:rFonts w:ascii="Courier New" w:cs="Courier New" w:eastAsia="Courier New" w:hAnsi="Courier New"/>
                <w:b/>
                <w:bCs/>
                <w:color w:val="0D7A7A"/>
                <w:sz w:val="18"/>
                <w:szCs w:val="18"/>
              </w:rPr>
              <w:t xml:space="preserve"># EIGHT DIMENSIONS</w:t>
            </w:r>
          </w:p>
          <w:p>
            <w:pPr>
              <w:spacing w:after="18" w:before="0"/>
            </w:pPr>
            <w:r>
              <w:rPr>
                <w:rFonts w:ascii="Courier New" w:cs="Courier New" w:eastAsia="Courier New" w:hAnsi="Courier New"/>
                <w:b w:val="false"/>
                <w:bCs w:val="false"/>
                <w:color w:val="4A5568"/>
                <w:sz w:val="18"/>
                <w:szCs w:val="18"/>
              </w:rPr>
              <w:t xml:space="preserve">- Dimensions 1-7 always active for NPO engagements.</w:t>
            </w:r>
          </w:p>
          <w:p>
            <w:pPr>
              <w:spacing w:after="18" w:before="0"/>
            </w:pPr>
            <w:r>
              <w:rPr>
                <w:rFonts w:ascii="Courier New" w:cs="Courier New" w:eastAsia="Courier New" w:hAnsi="Courier New"/>
                <w:b w:val="false"/>
                <w:bCs w:val="false"/>
                <w:color w:val="4A5568"/>
                <w:sz w:val="18"/>
                <w:szCs w:val="18"/>
              </w:rPr>
              <w:t xml:space="preserve">- Dimension 8 active only when tiriti_mode = "standalone".</w:t>
            </w:r>
          </w:p>
          <w:p>
            <w:pPr>
              <w:spacing w:after="18" w:before="0"/>
            </w:pPr>
            <w:r>
              <w:rPr>
                <w:rFonts w:ascii="Courier New" w:cs="Courier New" w:eastAsia="Courier New" w:hAnsi="Courier New"/>
                <w:b w:val="false"/>
                <w:bCs w:val="false"/>
                <w:color w:val="4A5568"/>
                <w:sz w:val="18"/>
                <w:szCs w:val="18"/>
              </w:rPr>
              <w:t xml:space="preserve">- Mode B criteria tagged [TIRITI] contribute to parent dimension score. No separate score.</w:t>
            </w:r>
          </w:p>
          <w:p>
            <w:pPr>
              <w:spacing w:after="18" w:before="0"/>
            </w:pPr>
            <w:r>
              <w:rPr>
                <w:rFonts w:ascii="Courier New" w:cs="Courier New" w:eastAsia="Courier New" w:hAnsi="Courier New"/>
                <w:b w:val="false"/>
                <w:bCs w:val="false"/>
                <w:color w:val="4A5568"/>
                <w:sz w:val="18"/>
                <w:szCs w:val="18"/>
              </w:rPr>
              <w:t xml:space="preserve">- Governance Review pre-population: on_conversion -&gt; copy governance_review.findings to dimension_3.data</w:t>
            </w:r>
          </w:p>
          <w:p>
            <w:pPr>
              <w:spacing w:after="18" w:before="0"/>
            </w:pPr>
            <w:r>
              <w:rPr>
                <w:rFonts w:ascii="Courier New" w:cs="Courier New" w:eastAsia="Courier New" w:hAnsi="Courier New"/>
                <w:b w:val="false"/>
                <w:bCs w:val="false"/>
                <w:color w:val="4A5568"/>
                <w:sz w:val="18"/>
                <w:szCs w:val="18"/>
              </w:rPr>
              <w:t xml:space="preserve"/>
            </w:r>
          </w:p>
          <w:p>
            <w:pPr>
              <w:spacing w:after="18" w:before="0"/>
            </w:pPr>
            <w:r>
              <w:rPr>
                <w:rFonts w:ascii="Courier New" w:cs="Courier New" w:eastAsia="Courier New" w:hAnsi="Courier New"/>
                <w:b/>
                <w:bCs/>
                <w:color w:val="0D7A7A"/>
                <w:sz w:val="18"/>
                <w:szCs w:val="18"/>
              </w:rPr>
              <w:t xml:space="preserve"># VALUE CALCULATIONS</w:t>
            </w:r>
          </w:p>
          <w:p>
            <w:pPr>
              <w:spacing w:after="18" w:before="0"/>
            </w:pPr>
            <w:r>
              <w:rPr>
                <w:rFonts w:ascii="Courier New" w:cs="Courier New" w:eastAsia="Courier New" w:hAnsi="Courier New"/>
                <w:b w:val="false"/>
                <w:bCs w:val="false"/>
                <w:color w:val="4A5568"/>
                <w:sz w:val="18"/>
                <w:szCs w:val="18"/>
              </w:rPr>
              <w:t xml:space="preserve">- Cost Per Beneficiary: total_programme_expenditure / beneficiary_count. Benchmark by programme_type.</w:t>
            </w:r>
          </w:p>
          <w:p>
            <w:pPr>
              <w:spacing w:after="18" w:before="0"/>
            </w:pPr>
            <w:r>
              <w:rPr>
                <w:rFonts w:ascii="Courier New" w:cs="Courier New" w:eastAsia="Courier New" w:hAnsi="Courier New"/>
                <w:b w:val="false"/>
                <w:bCs w:val="false"/>
                <w:color w:val="4A5568"/>
                <w:sz w:val="18"/>
                <w:szCs w:val="18"/>
              </w:rPr>
              <w:t xml:space="preserve">- Funding Risk Value: concentration_risk = largest_funder / total_revenue. Runway = reserves / monthly_opex.</w:t>
            </w:r>
          </w:p>
          <w:p>
            <w:pPr>
              <w:spacing w:after="18" w:before="0"/>
            </w:pPr>
            <w:r>
              <w:rPr>
                <w:rFonts w:ascii="Courier New" w:cs="Courier New" w:eastAsia="Courier New" w:hAnsi="Courier New"/>
                <w:b w:val="false"/>
                <w:bCs w:val="false"/>
                <w:color w:val="4A5568"/>
                <w:sz w:val="18"/>
                <w:szCs w:val="18"/>
              </w:rPr>
              <w:t xml:space="preserve">- Concentration thresholds: &gt;40% HIGH | 25-40% MEDIUM | &lt;25% LOW. Admin-configurable Layer 36.</w:t>
            </w:r>
          </w:p>
          <w:p>
            <w:pPr>
              <w:spacing w:after="18" w:before="0"/>
            </w:pPr>
            <w:r>
              <w:rPr>
                <w:rFonts w:ascii="Courier New" w:cs="Courier New" w:eastAsia="Courier New" w:hAnsi="Courier New"/>
                <w:b w:val="false"/>
                <w:bCs w:val="false"/>
                <w:color w:val="4A5568"/>
                <w:sz w:val="18"/>
                <w:szCs w:val="18"/>
              </w:rPr>
              <w:t xml:space="preserve">- Runway thresholds: &lt;3 months CRITICAL | 3-6 HIGH | 6-12 MEDIUM | &gt;12 LOW.</w:t>
            </w:r>
          </w:p>
          <w:p>
            <w:pPr>
              <w:spacing w:after="18" w:before="0"/>
            </w:pPr>
            <w:r>
              <w:rPr>
                <w:rFonts w:ascii="Courier New" w:cs="Courier New" w:eastAsia="Courier New" w:hAnsi="Courier New"/>
                <w:b w:val="false"/>
                <w:bCs w:val="false"/>
                <w:color w:val="4A5568"/>
                <w:sz w:val="18"/>
                <w:szCs w:val="18"/>
              </w:rPr>
              <w:t xml:space="preserve">- All projections must include +/-15% uncertainty range. No exceptions.</w:t>
            </w:r>
          </w:p>
          <w:p>
            <w:pPr>
              <w:spacing w:after="18" w:before="0"/>
            </w:pPr>
            <w:r>
              <w:rPr>
                <w:rFonts w:ascii="Courier New" w:cs="Courier New" w:eastAsia="Courier New" w:hAnsi="Courier New"/>
                <w:b w:val="false"/>
                <w:bCs w:val="false"/>
                <w:color w:val="4A5568"/>
                <w:sz w:val="18"/>
                <w:szCs w:val="18"/>
              </w:rPr>
              <w:t xml:space="preserve"/>
            </w:r>
          </w:p>
          <w:p>
            <w:pPr>
              <w:spacing w:after="18" w:before="0"/>
            </w:pPr>
            <w:r>
              <w:rPr>
                <w:rFonts w:ascii="Courier New" w:cs="Courier New" w:eastAsia="Courier New" w:hAnsi="Courier New"/>
                <w:b/>
                <w:bCs/>
                <w:color w:val="0D7A7A"/>
                <w:sz w:val="18"/>
                <w:szCs w:val="18"/>
              </w:rPr>
              <w:t xml:space="preserve"># SOCIAL ENTERPRISE DUAL SCORECARD</w:t>
            </w:r>
          </w:p>
          <w:p>
            <w:pPr>
              <w:spacing w:after="18" w:before="0"/>
            </w:pPr>
            <w:r>
              <w:rPr>
                <w:rFonts w:ascii="Courier New" w:cs="Courier New" w:eastAsia="Courier New" w:hAnsi="Courier New"/>
                <w:b w:val="false"/>
                <w:bCs w:val="false"/>
                <w:color w:val="4A5568"/>
                <w:sz w:val="18"/>
                <w:szCs w:val="18"/>
              </w:rPr>
              <w:t xml:space="preserve">- Commercial Health Score: run existing SME engine for commercial_dimensions[].</w:t>
            </w:r>
          </w:p>
          <w:p>
            <w:pPr>
              <w:spacing w:after="18" w:before="0"/>
            </w:pPr>
            <w:r>
              <w:rPr>
                <w:rFonts w:ascii="Courier New" w:cs="Courier New" w:eastAsia="Courier New" w:hAnsi="Courier New"/>
                <w:b w:val="false"/>
                <w:bCs w:val="false"/>
                <w:color w:val="4A5568"/>
                <w:sz w:val="18"/>
                <w:szCs w:val="18"/>
              </w:rPr>
              <w:t xml:space="preserve">- Mission Health Score: run NPO engine for mission_dimensions[].</w:t>
            </w:r>
          </w:p>
          <w:p>
            <w:pPr>
              <w:spacing w:after="18" w:before="0"/>
            </w:pPr>
            <w:r>
              <w:rPr>
                <w:rFonts w:ascii="Courier New" w:cs="Courier New" w:eastAsia="Courier New" w:hAnsi="Courier New"/>
                <w:b w:val="false"/>
                <w:bCs w:val="false"/>
                <w:color w:val="4A5568"/>
                <w:sz w:val="18"/>
                <w:szCs w:val="18"/>
              </w:rPr>
              <w:t xml:space="preserve">- Blended: (commercial_score * commercial_weight) + (mission_score * mission_weight).</w:t>
            </w:r>
          </w:p>
          <w:p>
            <w:pPr>
              <w:spacing w:after="18" w:before="0"/>
            </w:pPr>
            <w:r>
              <w:rPr>
                <w:rFonts w:ascii="Courier New" w:cs="Courier New" w:eastAsia="Courier New" w:hAnsi="Courier New"/>
                <w:b w:val="false"/>
                <w:bCs w:val="false"/>
                <w:color w:val="4A5568"/>
                <w:sz w:val="18"/>
                <w:szCs w:val="18"/>
              </w:rPr>
              <w:t xml:space="preserve">- AI Tension Analysis: run after both scores. Min 1 tension identified, max 5.</w:t>
            </w:r>
          </w:p>
          <w:p>
            <w:pPr>
              <w:spacing w:after="18" w:before="0"/>
            </w:pPr>
            <w:r>
              <w:rPr>
                <w:rFonts w:ascii="Courier New" w:cs="Courier New" w:eastAsia="Courier New" w:hAnsi="Courier New"/>
                <w:b w:val="false"/>
                <w:bCs w:val="false"/>
                <w:color w:val="4A5568"/>
                <w:sz w:val="18"/>
                <w:szCs w:val="18"/>
              </w:rPr>
              <w:t xml:space="preserve">- Each tension MUST reference specific data points. Never assert tensions without evidence.</w:t>
            </w:r>
          </w:p>
          <w:p>
            <w:pPr>
              <w:spacing w:after="18" w:before="0"/>
            </w:pPr>
            <w:r>
              <w:rPr>
                <w:rFonts w:ascii="Courier New" w:cs="Courier New" w:eastAsia="Courier New" w:hAnsi="Courier New"/>
                <w:b w:val="false"/>
                <w:bCs w:val="false"/>
                <w:color w:val="4A5568"/>
                <w:sz w:val="18"/>
                <w:szCs w:val="18"/>
              </w:rPr>
              <w:t xml:space="preserve">- Tension types: revenue_vs_access | margin_vs_pay_equity | funder_restriction | governance_conflict | kpi_misalignment | growth_tension</w:t>
            </w:r>
          </w:p>
          <w:p>
            <w:pPr>
              <w:spacing w:after="18" w:before="0"/>
            </w:pPr>
            <w:r>
              <w:rPr>
                <w:rFonts w:ascii="Courier New" w:cs="Courier New" w:eastAsia="Courier New" w:hAnsi="Courier New"/>
                <w:b w:val="false"/>
                <w:bCs w:val="false"/>
                <w:color w:val="4A5568"/>
                <w:sz w:val="18"/>
                <w:szCs w:val="18"/>
              </w:rPr>
              <w:t xml:space="preserve"/>
            </w:r>
          </w:p>
          <w:p>
            <w:pPr>
              <w:spacing w:after="18" w:before="0"/>
            </w:pPr>
            <w:r>
              <w:rPr>
                <w:rFonts w:ascii="Courier New" w:cs="Courier New" w:eastAsia="Courier New" w:hAnsi="Courier New"/>
                <w:b/>
                <w:bCs/>
                <w:color w:val="0D7A7A"/>
                <w:sz w:val="18"/>
                <w:szCs w:val="18"/>
              </w:rPr>
              <w:t xml:space="preserve"># GOVERNANCE REVIEW</w:t>
            </w:r>
          </w:p>
          <w:p>
            <w:pPr>
              <w:spacing w:after="18" w:before="0"/>
            </w:pPr>
            <w:r>
              <w:rPr>
                <w:rFonts w:ascii="Courier New" w:cs="Courier New" w:eastAsia="Courier New" w:hAnsi="Courier New"/>
                <w:b w:val="false"/>
                <w:bCs w:val="false"/>
                <w:color w:val="4A5568"/>
                <w:sz w:val="18"/>
                <w:szCs w:val="18"/>
              </w:rPr>
              <w:t xml:space="preserve">- Fixed fee proposal only (no retainer structure for governance_review sub-type).</w:t>
            </w:r>
          </w:p>
          <w:p>
            <w:pPr>
              <w:spacing w:after="18" w:before="0"/>
            </w:pPr>
            <w:r>
              <w:rPr>
                <w:rFonts w:ascii="Courier New" w:cs="Courier New" w:eastAsia="Courier New" w:hAnsi="Courier New"/>
                <w:b w:val="false"/>
                <w:bCs w:val="false"/>
                <w:color w:val="4A5568"/>
                <w:sz w:val="18"/>
                <w:szCs w:val="18"/>
              </w:rPr>
              <w:t xml:space="preserve">- Report MUST include explicit s.42G Charities Act 2005 compliance statement.</w:t>
            </w:r>
          </w:p>
          <w:p>
            <w:pPr>
              <w:spacing w:after="18" w:before="0"/>
            </w:pPr>
            <w:r>
              <w:rPr>
                <w:rFonts w:ascii="Courier New" w:cs="Courier New" w:eastAsia="Courier New" w:hAnsi="Courier New"/>
                <w:b w:val="false"/>
                <w:bCs w:val="false"/>
                <w:color w:val="4A5568"/>
                <w:sz w:val="18"/>
                <w:szCs w:val="18"/>
              </w:rPr>
              <w:t xml:space="preserve">- Conversion tracking: nudge advisor at 30d and 90d after report delivery if not converted.</w:t>
            </w:r>
          </w:p>
          <w:p>
            <w:pPr>
              <w:spacing w:after="18" w:before="0"/>
            </w:pPr>
            <w:r>
              <w:rPr>
                <w:rFonts w:ascii="Courier New" w:cs="Courier New" w:eastAsia="Courier New" w:hAnsi="Courier New"/>
                <w:b w:val="false"/>
                <w:bCs w:val="false"/>
                <w:color w:val="4A5568"/>
                <w:sz w:val="18"/>
                <w:szCs w:val="18"/>
              </w:rPr>
              <w:t xml:space="preserve">- On conversion to full NPO: auto-populate dimension_3 from governance_review.findings.</w:t>
            </w:r>
          </w:p>
          <w:p>
            <w:pPr>
              <w:spacing w:after="18" w:before="0"/>
            </w:pPr>
            <w:r>
              <w:rPr>
                <w:rFonts w:ascii="Courier New" w:cs="Courier New" w:eastAsia="Courier New" w:hAnsi="Courier New"/>
                <w:b w:val="false"/>
                <w:bCs w:val="false"/>
                <w:color w:val="4A5568"/>
                <w:sz w:val="18"/>
                <w:szCs w:val="18"/>
              </w:rPr>
              <w:t xml:space="preserve"/>
            </w:r>
          </w:p>
          <w:p>
            <w:pPr>
              <w:spacing w:after="18" w:before="0"/>
            </w:pPr>
            <w:r>
              <w:rPr>
                <w:rFonts w:ascii="Courier New" w:cs="Courier New" w:eastAsia="Courier New" w:hAnsi="Courier New"/>
                <w:b/>
                <w:bCs/>
                <w:color w:val="0D7A7A"/>
                <w:sz w:val="18"/>
                <w:szCs w:val="18"/>
              </w:rPr>
              <w:t xml:space="preserve"># FUNDER DATABASE</w:t>
            </w:r>
          </w:p>
          <w:p>
            <w:pPr>
              <w:spacing w:after="18" w:before="0"/>
            </w:pPr>
            <w:r>
              <w:rPr>
                <w:rFonts w:ascii="Courier New" w:cs="Courier New" w:eastAsia="Courier New" w:hAnsi="Courier New"/>
                <w:b w:val="false"/>
                <w:bCs w:val="false"/>
                <w:color w:val="4A5568"/>
                <w:sz w:val="18"/>
                <w:szCs w:val="18"/>
              </w:rPr>
              <w:t xml:space="preserve">- All funder database updates via Learning Architecture Layer 33. Never update directly without admin approval.</w:t>
            </w:r>
          </w:p>
          <w:p>
            <w:pPr>
              <w:spacing w:after="18" w:before="0"/>
            </w:pPr>
            <w:r>
              <w:rPr>
                <w:rFonts w:ascii="Courier New" w:cs="Courier New" w:eastAsia="Courier New" w:hAnsi="Courier New"/>
                <w:b w:val="false"/>
                <w:bCs w:val="false"/>
                <w:color w:val="4A5568"/>
                <w:sz w:val="18"/>
                <w:szCs w:val="18"/>
              </w:rPr>
              <w:t xml:space="preserve">- Alerts: report_due 30d | report_due 7d | report_overdue (daily) | application_open 60d | grant_expiry 60d.</w:t>
            </w:r>
          </w:p>
          <w:p>
            <w:pPr>
              <w:spacing w:after="18" w:before="0"/>
            </w:pPr>
            <w:r>
              <w:rPr>
                <w:rFonts w:ascii="Courier New" w:cs="Courier New" w:eastAsia="Courier New" w:hAnsi="Courier New"/>
                <w:b w:val="false"/>
                <w:bCs w:val="false"/>
                <w:color w:val="4A5568"/>
                <w:sz w:val="18"/>
                <w:szCs w:val="18"/>
              </w:rPr>
              <w:t xml:space="preserve">- Accountability report sources: [financial_acquittal, milestone_completion, impact_metrics, ai_narrative].</w:t>
            </w:r>
          </w:p>
          <w:p>
            <w:pPr>
              <w:spacing w:after="18" w:before="0"/>
            </w:pPr>
            <w:r>
              <w:rPr>
                <w:rFonts w:ascii="Courier New" w:cs="Courier New" w:eastAsia="Courier New" w:hAnsi="Courier New"/>
                <w:b w:val="false"/>
                <w:bCs w:val="false"/>
                <w:color w:val="4A5568"/>
                <w:sz w:val="18"/>
                <w:szCs w:val="18"/>
              </w:rPr>
              <w:t xml:space="preserve">- AI narrative: MANDATORY advisor review before client release. AI Integrity Principle applies.</w:t>
            </w:r>
          </w:p>
          <w:p>
            <w:pPr>
              <w:spacing w:after="18" w:before="0"/>
            </w:pPr>
            <w:r>
              <w:rPr>
                <w:rFonts w:ascii="Courier New" w:cs="Courier New" w:eastAsia="Courier New" w:hAnsi="Courier New"/>
                <w:b w:val="false"/>
                <w:bCs w:val="false"/>
                <w:color w:val="4A5568"/>
                <w:sz w:val="18"/>
                <w:szCs w:val="18"/>
              </w:rPr>
              <w:t xml:space="preserve">- Fact-check: flag any impact metric entered by client that exceeds any recorded platform data.</w:t>
            </w:r>
          </w:p>
          <w:p>
            <w:pPr>
              <w:spacing w:after="18" w:before="0"/>
            </w:pPr>
            <w:r>
              <w:rPr>
                <w:rFonts w:ascii="Courier New" w:cs="Courier New" w:eastAsia="Courier New" w:hAnsi="Courier New"/>
                <w:b w:val="false"/>
                <w:bCs w:val="false"/>
                <w:color w:val="4A5568"/>
                <w:sz w:val="18"/>
                <w:szCs w:val="18"/>
              </w:rPr>
              <w:t xml:space="preserve"/>
            </w:r>
          </w:p>
          <w:p>
            <w:pPr>
              <w:spacing w:after="18" w:before="0"/>
            </w:pPr>
            <w:r>
              <w:rPr>
                <w:rFonts w:ascii="Courier New" w:cs="Courier New" w:eastAsia="Courier New" w:hAnsi="Courier New"/>
                <w:b/>
                <w:bCs/>
                <w:color w:val="0D7A7A"/>
                <w:sz w:val="18"/>
                <w:szCs w:val="18"/>
              </w:rPr>
              <w:t xml:space="preserve"># FUNDER CONTACT ROLE</w:t>
            </w:r>
          </w:p>
          <w:p>
            <w:pPr>
              <w:spacing w:after="18" w:before="0"/>
            </w:pPr>
            <w:r>
              <w:rPr>
                <w:rFonts w:ascii="Courier New" w:cs="Courier New" w:eastAsia="Courier New" w:hAnsi="Courier New"/>
                <w:b w:val="false"/>
                <w:bCs w:val="false"/>
                <w:color w:val="4A5568"/>
                <w:sz w:val="18"/>
                <w:szCs w:val="18"/>
              </w:rPr>
              <w:t xml:space="preserve">- Invitation flow: NPO client initiates -&gt; advisor approves -&gt; platform sends invite.</w:t>
            </w:r>
          </w:p>
          <w:p>
            <w:pPr>
              <w:spacing w:after="18" w:before="0"/>
            </w:pPr>
            <w:r>
              <w:rPr>
                <w:rFonts w:ascii="Courier New" w:cs="Courier New" w:eastAsia="Courier New" w:hAnsi="Courier New"/>
                <w:b w:val="false"/>
                <w:bCs w:val="false"/>
                <w:color w:val="4A5568"/>
                <w:sz w:val="18"/>
                <w:szCs w:val="18"/>
              </w:rPr>
              <w:t xml:space="preserve">- Funder sees: ONE report only. Enforce at query level, not just UI level.</w:t>
            </w:r>
          </w:p>
          <w:p>
            <w:pPr>
              <w:spacing w:after="18" w:before="0"/>
            </w:pPr>
            <w:r>
              <w:rPr>
                <w:rFonts w:ascii="Courier New" w:cs="Courier New" w:eastAsia="Courier New" w:hAnsi="Courier New"/>
                <w:b w:val="false"/>
                <w:bCs w:val="false"/>
                <w:color w:val="4A5568"/>
                <w:sz w:val="18"/>
                <w:szCs w:val="18"/>
              </w:rPr>
              <w:t xml:space="preserve">- Access expiry: 90 days after grant_period_end_date. Advisor or NPO can request earlier revocation.</w:t>
            </w:r>
          </w:p>
          <w:p>
            <w:pPr>
              <w:spacing w:after="18" w:before="0"/>
            </w:pPr>
            <w:r>
              <w:rPr>
                <w:rFonts w:ascii="Courier New" w:cs="Courier New" w:eastAsia="Courier New" w:hAnsi="Courier New"/>
                <w:b w:val="false"/>
                <w:bCs w:val="false"/>
                <w:color w:val="4A5568"/>
                <w:sz w:val="18"/>
                <w:szCs w:val="18"/>
              </w:rPr>
              <w:t xml:space="preserve">- Session logging: mandatory. timestamp | pages_viewed | duration | logout.</w:t>
            </w:r>
          </w:p>
          <w:p>
            <w:pPr>
              <w:spacing w:after="18" w:before="0"/>
            </w:pPr>
            <w:r>
              <w:rPr>
                <w:rFonts w:ascii="Courier New" w:cs="Courier New" w:eastAsia="Courier New" w:hAnsi="Courier New"/>
                <w:b w:val="false"/>
                <w:bCs w:val="false"/>
                <w:color w:val="4A5568"/>
                <w:sz w:val="18"/>
                <w:szCs w:val="18"/>
              </w:rPr>
              <w:t xml:space="preserve"/>
            </w:r>
          </w:p>
          <w:p>
            <w:pPr>
              <w:spacing w:after="18" w:before="0"/>
            </w:pPr>
            <w:r>
              <w:rPr>
                <w:rFonts w:ascii="Courier New" w:cs="Courier New" w:eastAsia="Courier New" w:hAnsi="Courier New"/>
                <w:b/>
                <w:bCs/>
                <w:color w:val="0D7A7A"/>
                <w:sz w:val="18"/>
                <w:szCs w:val="18"/>
              </w:rPr>
              <w:t xml:space="preserve"># ISA 2022 CRITICAL ALERT</w:t>
            </w:r>
          </w:p>
          <w:p>
            <w:pPr>
              <w:spacing w:after="18" w:before="0"/>
            </w:pPr>
            <w:r>
              <w:rPr>
                <w:rFonts w:ascii="Courier New" w:cs="Courier New" w:eastAsia="Courier New" w:hAnsi="Courier New"/>
                <w:b w:val="false"/>
                <w:bCs w:val="false"/>
                <w:color w:val="4A5568"/>
                <w:sz w:val="18"/>
                <w:szCs w:val="18"/>
              </w:rPr>
              <w:t xml:space="preserve">- If legal_structure = "incorporated_society" AND isa_2022_reregistered = false:</w:t>
            </w:r>
          </w:p>
          <w:p>
            <w:pPr>
              <w:spacing w:after="18" w:before="0"/>
            </w:pPr>
            <w:r>
              <w:rPr>
                <w:rFonts w:ascii="Courier New" w:cs="Courier New" w:eastAsia="Courier New" w:hAnsi="Courier New"/>
                <w:b w:val="false"/>
                <w:bCs w:val="false"/>
                <w:color w:val="4A5568"/>
                <w:sz w:val="18"/>
                <w:szCs w:val="18"/>
              </w:rPr>
              <w:t xml:space="preserve">  Generate CRITICAL alert immediately. Block all other analysis until advisor acknowledges.</w:t>
            </w:r>
          </w:p>
          <w:p>
            <w:pPr>
              <w:spacing w:after="18" w:before="0"/>
            </w:pPr>
            <w:r>
              <w:rPr>
                <w:rFonts w:ascii="Courier New" w:cs="Courier New" w:eastAsia="Courier New" w:hAnsi="Courier New"/>
                <w:b w:val="false"/>
                <w:bCs w:val="false"/>
                <w:color w:val="4A5568"/>
                <w:sz w:val="18"/>
                <w:szCs w:val="18"/>
              </w:rPr>
              <w:t xml:space="preserve">  Message: "This society was not re-registered by 5 April 2026 and has been removed from the register."</w:t>
            </w:r>
          </w:p>
          <w:p>
            <w:pPr>
              <w:spacing w:after="18" w:before="0"/>
            </w:pPr>
            <w:r>
              <w:rPr>
                <w:rFonts w:ascii="Courier New" w:cs="Courier New" w:eastAsia="Courier New" w:hAnsi="Courier New"/>
                <w:b w:val="false"/>
                <w:bCs w:val="false"/>
                <w:color w:val="4A5568"/>
                <w:sz w:val="18"/>
                <w:szCs w:val="18"/>
              </w:rPr>
              <w:t xml:space="preserve"/>
            </w:r>
          </w:p>
          <w:p>
            <w:pPr>
              <w:spacing w:after="18" w:before="0"/>
            </w:pPr>
            <w:r>
              <w:rPr>
                <w:rFonts w:ascii="Courier New" w:cs="Courier New" w:eastAsia="Courier New" w:hAnsi="Courier New"/>
                <w:b/>
                <w:bCs/>
                <w:color w:val="0D7A7A"/>
                <w:sz w:val="18"/>
                <w:szCs w:val="18"/>
              </w:rPr>
              <w:t xml:space="preserve"># NPO REPORT TYPES</w:t>
            </w:r>
          </w:p>
          <w:p>
            <w:pPr>
              <w:spacing w:after="18" w:before="0"/>
            </w:pPr>
            <w:r>
              <w:rPr>
                <w:rFonts w:ascii="Courier New" w:cs="Courier New" w:eastAsia="Courier New" w:hAnsi="Courier New"/>
                <w:b w:val="false"/>
                <w:bCs w:val="false"/>
                <w:color w:val="4A5568"/>
                <w:sz w:val="18"/>
                <w:szCs w:val="18"/>
              </w:rPr>
              <w:t xml:space="preserve">- npo_health_report: plain English, no jargon, board-level audience.</w:t>
            </w:r>
          </w:p>
          <w:p>
            <w:pPr>
              <w:spacing w:after="18" w:before="0"/>
            </w:pPr>
            <w:r>
              <w:rPr>
                <w:rFonts w:ascii="Courier New" w:cs="Courier New" w:eastAsia="Courier New" w:hAnsi="Courier New"/>
                <w:b w:val="false"/>
                <w:bCs w:val="false"/>
                <w:color w:val="4A5568"/>
                <w:sz w:val="18"/>
                <w:szCs w:val="18"/>
              </w:rPr>
              <w:t xml:space="preserve">- npo_advisor_report: CONFIDENTIAL header, full workings, NPO ROI framing (not commercial).</w:t>
            </w:r>
          </w:p>
          <w:p>
            <w:pPr>
              <w:spacing w:after="18" w:before="0"/>
            </w:pPr>
            <w:r>
              <w:rPr>
                <w:rFonts w:ascii="Courier New" w:cs="Courier New" w:eastAsia="Courier New" w:hAnsi="Courier New"/>
                <w:b w:val="false"/>
                <w:bCs w:val="false"/>
                <w:color w:val="4A5568"/>
                <w:sz w:val="18"/>
                <w:szCs w:val="18"/>
              </w:rPr>
              <w:t xml:space="preserve">- governance_review_report: s.42G evidence statement + legal disclaimer MANDATORY.</w:t>
            </w:r>
          </w:p>
          <w:p>
            <w:pPr>
              <w:spacing w:after="18" w:before="0"/>
            </w:pPr>
            <w:r>
              <w:rPr>
                <w:rFonts w:ascii="Courier New" w:cs="Courier New" w:eastAsia="Courier New" w:hAnsi="Courier New"/>
                <w:b w:val="false"/>
                <w:bCs w:val="false"/>
                <w:color w:val="4A5568"/>
                <w:sz w:val="18"/>
                <w:szCs w:val="18"/>
              </w:rPr>
              <w:t xml:space="preserve">- funder_accountability_report: format to funder template if exists, generic if not. NPO branding.</w:t>
            </w:r>
          </w:p>
          <w:p>
            <w:pPr>
              <w:spacing w:after="18" w:before="0"/>
            </w:pPr>
            <w:r>
              <w:rPr>
                <w:rFonts w:ascii="Courier New" w:cs="Courier New" w:eastAsia="Courier New" w:hAnsi="Courier New"/>
                <w:b w:val="false"/>
                <w:bCs w:val="false"/>
                <w:color w:val="4A5568"/>
                <w:sz w:val="18"/>
                <w:szCs w:val="18"/>
              </w:rPr>
              <w:t xml:space="preserve">- social_enterprise_dual_report: dual scorecard + tension analysis. Evidence mandatory for each tension.</w:t>
            </w:r>
          </w:p>
          <w:p>
            <w:pPr>
              <w:spacing w:after="18" w:before="0"/>
            </w:pPr>
            <w:r>
              <w:rPr>
                <w:rFonts w:ascii="Courier New" w:cs="Courier New" w:eastAsia="Courier New" w:hAnsi="Courier New"/>
                <w:b w:val="false"/>
                <w:bCs w:val="false"/>
                <w:color w:val="4A5568"/>
                <w:sz w:val="18"/>
                <w:szCs w:val="18"/>
              </w:rPr>
              <w:t xml:space="preserve">- impact_summary_report: NPO-branded, NO FSA IP. AI-assisted template. Advisor review gate 48h.</w:t>
            </w:r>
          </w:p>
        </w:tc>
      </w:tr>
    </w:tbl>
    <w:p>
      <w:pPr>
        <w:spacing w:after="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2B45" w:val="clear"/>
            <w:tcMar>
              <w:top w:type="dxa" w:w="280"/>
              <w:left w:type="dxa" w:w="360"/>
              <w:bottom w:type="dxa" w:w="280"/>
              <w:right w:type="dxa" w:w="360"/>
            </w:tcMar>
          </w:tcPr>
          <w:p>
            <w:pPr>
              <w:spacing w:after="80" w:before="0"/>
            </w:pPr>
            <w:r>
              <w:rPr>
                <w:rFonts w:ascii="Arial" w:cs="Arial" w:eastAsia="Arial" w:hAnsi="Arial"/>
                <w:b/>
                <w:bCs/>
                <w:color w:val="FFFFFF"/>
                <w:sz w:val="42"/>
                <w:szCs w:val="42"/>
              </w:rPr>
              <w:t xml:space="preserve">SECTION 16</w:t>
            </w:r>
          </w:p>
          <w:p>
            <w:pPr>
              <w:spacing w:after="0" w:before="0"/>
            </w:pPr>
            <w:r>
              <w:rPr>
                <w:rFonts w:ascii="Arial" w:cs="Arial" w:eastAsia="Arial" w:hAnsi="Arial"/>
                <w:i/>
                <w:iCs/>
                <w:color w:val="E8D5A0"/>
                <w:sz w:val="22"/>
                <w:szCs w:val="22"/>
              </w:rPr>
              <w:t xml:space="preserve">Appendices</w:t>
            </w:r>
          </w:p>
        </w:tc>
      </w:tr>
    </w:tbl>
    <w:p>
      <w:pPr>
        <w:spacing w:after="0" w:before="0"/>
      </w:pPr>
      <w:r>
        <w:t xml:space="preserve"/>
      </w:r>
    </w:p>
    <w:p>
      <w:pPr>
        <w:pStyle w:val="Heading1"/>
        <w:pBdr>
          <w:bottom w:val="single" w:color="B8860B" w:sz="8" w:space="6"/>
        </w:pBdr>
        <w:spacing w:after="200" w:before="480"/>
      </w:pPr>
      <w:r>
        <w:rPr>
          <w:rFonts w:ascii="Arial" w:cs="Arial" w:eastAsia="Arial" w:hAnsi="Arial"/>
          <w:b/>
          <w:bCs/>
          <w:color w:val="1C2B45"/>
          <w:sz w:val="44"/>
          <w:szCs w:val="44"/>
        </w:rPr>
        <w:t xml:space="preserve">16. Appendices</w:t>
      </w:r>
    </w:p>
    <w:p>
      <w:pPr>
        <w:pStyle w:val="Heading2"/>
        <w:spacing w:after="160" w:before="360"/>
      </w:pPr>
      <w:r>
        <w:rPr>
          <w:rFonts w:ascii="Arial" w:cs="Arial" w:eastAsia="Arial" w:hAnsi="Arial"/>
          <w:b/>
          <w:bCs/>
          <w:color w:val="0D7A7A"/>
          <w:sz w:val="32"/>
          <w:szCs w:val="32"/>
        </w:rPr>
        <w:t xml:space="preserve">Appendix A — NPO Module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280"/>
        <w:gridCol w:w="1880"/>
      </w:tblGrid>
      <w:tr>
        <w:tc>
          <w:tcPr>
            <w:tcW w:type="dxa" w:w="3200"/>
            <w:tcBorders>
              <w:top w:val="single" w:color="D0D5DD" w:sz="1"/>
              <w:left w:val="single" w:color="D0D5DD" w:sz="1"/>
              <w:bottom w:val="single" w:color="D0D5DD" w:sz="1"/>
              <w:right w:val="single" w:color="D0D5DD" w:sz="1"/>
            </w:tcBorders>
            <w:shd w:fill="1C2B45"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4280"/>
            <w:tcBorders>
              <w:top w:val="single" w:color="D0D5DD" w:sz="1"/>
              <w:left w:val="single" w:color="D0D5DD" w:sz="1"/>
              <w:bottom w:val="single" w:color="D0D5DD" w:sz="1"/>
              <w:right w:val="single" w:color="D0D5DD" w:sz="1"/>
            </w:tcBorders>
            <w:shd w:fill="1C2B45" w:val="clear"/>
            <w:tcMar>
              <w:top w:type="dxa" w:w="100"/>
              <w:left w:type="dxa" w:w="140"/>
              <w:bottom w:type="dxa" w:w="100"/>
              <w:right w:type="dxa" w:w="140"/>
            </w:tcMar>
          </w:tcPr>
          <w:p>
            <w:r>
              <w:rPr>
                <w:rFonts w:ascii="Arial" w:cs="Arial" w:eastAsia="Arial" w:hAnsi="Arial"/>
                <w:b/>
                <w:bCs/>
                <w:color w:val="FFFFFF"/>
                <w:sz w:val="20"/>
                <w:szCs w:val="20"/>
              </w:rPr>
              <w:t xml:space="preserve">Detail</w:t>
            </w:r>
          </w:p>
        </w:tc>
        <w:tc>
          <w:tcPr>
            <w:tcW w:type="dxa" w:w="1880"/>
            <w:tcBorders>
              <w:top w:val="single" w:color="D0D5DD" w:sz="1"/>
              <w:left w:val="single" w:color="D0D5DD" w:sz="1"/>
              <w:bottom w:val="single" w:color="D0D5DD" w:sz="1"/>
              <w:right w:val="single" w:color="D0D5DD" w:sz="1"/>
            </w:tcBorders>
            <w:shd w:fill="1C2B45" w:val="clear"/>
            <w:tcMar>
              <w:top w:type="dxa" w:w="100"/>
              <w:left w:type="dxa" w:w="140"/>
              <w:bottom w:type="dxa" w:w="100"/>
              <w:right w:type="dxa" w:w="140"/>
            </w:tcMar>
          </w:tcPr>
          <w:p>
            <w:r>
              <w:rPr>
                <w:rFonts w:ascii="Arial" w:cs="Arial" w:eastAsia="Arial" w:hAnsi="Arial"/>
                <w:b/>
                <w:bCs/>
                <w:color w:val="FFFFFF"/>
                <w:sz w:val="20"/>
                <w:szCs w:val="20"/>
              </w:rPr>
              <w:t xml:space="preserve">Section Ref</w:t>
            </w:r>
          </w:p>
        </w:tc>
      </w:tr>
      <w:tr>
        <w:tc>
          <w:tcPr>
            <w:tcW w:type="dxa" w:w="3200"/>
            <w:tcBorders>
              <w:top w:val="single" w:color="D0D5DD" w:sz="1"/>
              <w:left w:val="single" w:color="D0D5DD" w:sz="1"/>
              <w:bottom w:val="single" w:color="D0D5DD" w:sz="1"/>
              <w:right w:val="single" w:color="D0D5DD" w:sz="1"/>
            </w:tcBorders>
            <w:shd w:fill="F9F6F0" w:val="clear"/>
            <w:tcMar>
              <w:top w:type="dxa" w:w="100"/>
              <w:left w:type="dxa" w:w="140"/>
              <w:bottom w:type="dxa" w:w="100"/>
              <w:right w:type="dxa" w:w="140"/>
            </w:tcMar>
          </w:tcPr>
          <w:p>
            <w:r>
              <w:rPr>
                <w:rFonts w:ascii="Arial" w:cs="Arial" w:eastAsia="Arial" w:hAnsi="Arial"/>
                <w:b w:val="false"/>
                <w:bCs w:val="false"/>
                <w:color w:val="4A5568"/>
                <w:sz w:val="20"/>
                <w:szCs w:val="20"/>
              </w:rPr>
              <w:t xml:space="preserve">Engagement Sub-Types</w:t>
            </w:r>
          </w:p>
        </w:tc>
        <w:tc>
          <w:tcPr>
            <w:tcW w:type="dxa" w:w="4280"/>
            <w:tcBorders>
              <w:top w:val="single" w:color="D0D5DD" w:sz="1"/>
              <w:left w:val="single" w:color="D0D5DD" w:sz="1"/>
              <w:bottom w:val="single" w:color="D0D5DD" w:sz="1"/>
              <w:right w:val="single" w:color="D0D5DD" w:sz="1"/>
            </w:tcBorders>
            <w:shd w:fill="F9F6F0" w:val="clear"/>
            <w:tcMar>
              <w:top w:type="dxa" w:w="100"/>
              <w:left w:type="dxa" w:w="140"/>
              <w:bottom w:type="dxa" w:w="100"/>
              <w:right w:type="dxa" w:w="140"/>
            </w:tcMar>
          </w:tcPr>
          <w:p>
            <w:r>
              <w:rPr>
                <w:rFonts w:ascii="Arial" w:cs="Arial" w:eastAsia="Arial" w:hAnsi="Arial"/>
                <w:b w:val="false"/>
                <w:bCs w:val="false"/>
                <w:color w:val="4A5568"/>
                <w:sz w:val="20"/>
                <w:szCs w:val="20"/>
              </w:rPr>
              <w:t xml:space="preserve">Standard NPO Advisory | Social Enterprise Advisory | Governance Review</w:t>
            </w:r>
          </w:p>
        </w:tc>
        <w:tc>
          <w:tcPr>
            <w:tcW w:type="dxa" w:w="1880"/>
            <w:tcBorders>
              <w:top w:val="single" w:color="D0D5DD" w:sz="1"/>
              <w:left w:val="single" w:color="D0D5DD" w:sz="1"/>
              <w:bottom w:val="single" w:color="D0D5DD" w:sz="1"/>
              <w:right w:val="single" w:color="D0D5DD" w:sz="1"/>
            </w:tcBorders>
            <w:shd w:fill="F9F6F0" w:val="clear"/>
            <w:tcMar>
              <w:top w:type="dxa" w:w="100"/>
              <w:left w:type="dxa" w:w="140"/>
              <w:bottom w:type="dxa" w:w="100"/>
              <w:right w:type="dxa" w:w="140"/>
            </w:tcMar>
          </w:tcPr>
          <w:p>
            <w:r>
              <w:rPr>
                <w:rFonts w:ascii="Arial" w:cs="Arial" w:eastAsia="Arial" w:hAnsi="Arial"/>
                <w:b w:val="false"/>
                <w:bCs w:val="false"/>
                <w:color w:val="4A5568"/>
                <w:sz w:val="20"/>
                <w:szCs w:val="20"/>
              </w:rPr>
              <w:t xml:space="preserve">1.1</w:t>
            </w:r>
          </w:p>
        </w:tc>
      </w:tr>
      <w:tr>
        <w:tc>
          <w:tcPr>
            <w:tcW w:type="dxa" w:w="32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tcPr>
          <w:p>
            <w:r>
              <w:rPr>
                <w:rFonts w:ascii="Arial" w:cs="Arial" w:eastAsia="Arial" w:hAnsi="Arial"/>
                <w:b w:val="false"/>
                <w:bCs w:val="false"/>
                <w:color w:val="4A5568"/>
                <w:sz w:val="20"/>
                <w:szCs w:val="20"/>
              </w:rPr>
              <w:t xml:space="preserve">Entity Types</w:t>
            </w:r>
          </w:p>
        </w:tc>
        <w:tc>
          <w:tcPr>
            <w:tcW w:type="dxa" w:w="428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tcPr>
          <w:p>
            <w:r>
              <w:rPr>
                <w:rFonts w:ascii="Arial" w:cs="Arial" w:eastAsia="Arial" w:hAnsi="Arial"/>
                <w:b w:val="false"/>
                <w:bCs w:val="false"/>
                <w:color w:val="4A5568"/>
                <w:sz w:val="20"/>
                <w:szCs w:val="20"/>
              </w:rPr>
              <w:t xml:space="preserve">6: Registered Charity, Incorporated Society, Community Trust, Charitable Trust Board, Social Enterprise, Unincorporated</w:t>
            </w:r>
          </w:p>
        </w:tc>
        <w:tc>
          <w:tcPr>
            <w:tcW w:type="dxa" w:w="188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tcPr>
          <w:p>
            <w:r>
              <w:rPr>
                <w:rFonts w:ascii="Arial" w:cs="Arial" w:eastAsia="Arial" w:hAnsi="Arial"/>
                <w:b w:val="false"/>
                <w:bCs w:val="false"/>
                <w:color w:val="4A5568"/>
                <w:sz w:val="20"/>
                <w:szCs w:val="20"/>
              </w:rPr>
              <w:t xml:space="preserve">1.2</w:t>
            </w:r>
          </w:p>
        </w:tc>
      </w:tr>
      <w:tr>
        <w:tc>
          <w:tcPr>
            <w:tcW w:type="dxa" w:w="3200"/>
            <w:tcBorders>
              <w:top w:val="single" w:color="D0D5DD" w:sz="1"/>
              <w:left w:val="single" w:color="D0D5DD" w:sz="1"/>
              <w:bottom w:val="single" w:color="D0D5DD" w:sz="1"/>
              <w:right w:val="single" w:color="D0D5DD" w:sz="1"/>
            </w:tcBorders>
            <w:shd w:fill="F9F6F0" w:val="clear"/>
            <w:tcMar>
              <w:top w:type="dxa" w:w="100"/>
              <w:left w:type="dxa" w:w="140"/>
              <w:bottom w:type="dxa" w:w="100"/>
              <w:right w:type="dxa" w:w="140"/>
            </w:tcMar>
          </w:tcPr>
          <w:p>
            <w:r>
              <w:rPr>
                <w:rFonts w:ascii="Arial" w:cs="Arial" w:eastAsia="Arial" w:hAnsi="Arial"/>
                <w:b w:val="false"/>
                <w:bCs w:val="false"/>
                <w:color w:val="4A5568"/>
                <w:sz w:val="20"/>
                <w:szCs w:val="20"/>
              </w:rPr>
              <w:t xml:space="preserve">Evaluation Dimensions</w:t>
            </w:r>
          </w:p>
        </w:tc>
        <w:tc>
          <w:tcPr>
            <w:tcW w:type="dxa" w:w="4280"/>
            <w:tcBorders>
              <w:top w:val="single" w:color="D0D5DD" w:sz="1"/>
              <w:left w:val="single" w:color="D0D5DD" w:sz="1"/>
              <w:bottom w:val="single" w:color="D0D5DD" w:sz="1"/>
              <w:right w:val="single" w:color="D0D5DD" w:sz="1"/>
            </w:tcBorders>
            <w:shd w:fill="F9F6F0" w:val="clear"/>
            <w:tcMar>
              <w:top w:type="dxa" w:w="100"/>
              <w:left w:type="dxa" w:w="140"/>
              <w:bottom w:type="dxa" w:w="100"/>
              <w:right w:type="dxa" w:w="140"/>
            </w:tcMar>
          </w:tcPr>
          <w:p>
            <w:r>
              <w:rPr>
                <w:rFonts w:ascii="Arial" w:cs="Arial" w:eastAsia="Arial" w:hAnsi="Arial"/>
                <w:b w:val="false"/>
                <w:bCs w:val="false"/>
                <w:color w:val="4A5568"/>
                <w:sz w:val="20"/>
                <w:szCs w:val="20"/>
              </w:rPr>
              <w:t xml:space="preserve">8 (7 core + configurable Te Tiriti). Mode A = standalone. Mode B = woven through.</w:t>
            </w:r>
          </w:p>
        </w:tc>
        <w:tc>
          <w:tcPr>
            <w:tcW w:type="dxa" w:w="1880"/>
            <w:tcBorders>
              <w:top w:val="single" w:color="D0D5DD" w:sz="1"/>
              <w:left w:val="single" w:color="D0D5DD" w:sz="1"/>
              <w:bottom w:val="single" w:color="D0D5DD" w:sz="1"/>
              <w:right w:val="single" w:color="D0D5DD" w:sz="1"/>
            </w:tcBorders>
            <w:shd w:fill="F9F6F0" w:val="clear"/>
            <w:tcMar>
              <w:top w:type="dxa" w:w="100"/>
              <w:left w:type="dxa" w:w="140"/>
              <w:bottom w:type="dxa" w:w="100"/>
              <w:right w:type="dxa" w:w="140"/>
            </w:tcMar>
          </w:tcPr>
          <w:p>
            <w:r>
              <w:rPr>
                <w:rFonts w:ascii="Arial" w:cs="Arial" w:eastAsia="Arial" w:hAnsi="Arial"/>
                <w:b w:val="false"/>
                <w:bCs w:val="false"/>
                <w:color w:val="4A5568"/>
                <w:sz w:val="20"/>
                <w:szCs w:val="20"/>
              </w:rPr>
              <w:t xml:space="preserve">Section 3</w:t>
            </w:r>
          </w:p>
        </w:tc>
      </w:tr>
      <w:tr>
        <w:tc>
          <w:tcPr>
            <w:tcW w:type="dxa" w:w="32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tcPr>
          <w:p>
            <w:r>
              <w:rPr>
                <w:rFonts w:ascii="Arial" w:cs="Arial" w:eastAsia="Arial" w:hAnsi="Arial"/>
                <w:b w:val="false"/>
                <w:bCs w:val="false"/>
                <w:color w:val="4A5568"/>
                <w:sz w:val="20"/>
                <w:szCs w:val="20"/>
              </w:rPr>
              <w:t xml:space="preserve">Value Calculations</w:t>
            </w:r>
          </w:p>
        </w:tc>
        <w:tc>
          <w:tcPr>
            <w:tcW w:type="dxa" w:w="428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tcPr>
          <w:p>
            <w:r>
              <w:rPr>
                <w:rFonts w:ascii="Arial" w:cs="Arial" w:eastAsia="Arial" w:hAnsi="Arial"/>
                <w:b w:val="false"/>
                <w:bCs w:val="false"/>
                <w:color w:val="4A5568"/>
                <w:sz w:val="20"/>
                <w:szCs w:val="20"/>
              </w:rPr>
              <w:t xml:space="preserve">Cost Per Beneficiary Efficiency + Funding Risk Value. Both run simultaneously.</w:t>
            </w:r>
          </w:p>
        </w:tc>
        <w:tc>
          <w:tcPr>
            <w:tcW w:type="dxa" w:w="188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tcPr>
          <w:p>
            <w:r>
              <w:rPr>
                <w:rFonts w:ascii="Arial" w:cs="Arial" w:eastAsia="Arial" w:hAnsi="Arial"/>
                <w:b w:val="false"/>
                <w:bCs w:val="false"/>
                <w:color w:val="4A5568"/>
                <w:sz w:val="20"/>
                <w:szCs w:val="20"/>
              </w:rPr>
              <w:t xml:space="preserve">Section 5</w:t>
            </w:r>
          </w:p>
        </w:tc>
      </w:tr>
      <w:tr>
        <w:tc>
          <w:tcPr>
            <w:tcW w:type="dxa" w:w="3200"/>
            <w:tcBorders>
              <w:top w:val="single" w:color="D0D5DD" w:sz="1"/>
              <w:left w:val="single" w:color="D0D5DD" w:sz="1"/>
              <w:bottom w:val="single" w:color="D0D5DD" w:sz="1"/>
              <w:right w:val="single" w:color="D0D5DD" w:sz="1"/>
            </w:tcBorders>
            <w:shd w:fill="F9F6F0" w:val="clear"/>
            <w:tcMar>
              <w:top w:type="dxa" w:w="100"/>
              <w:left w:type="dxa" w:w="140"/>
              <w:bottom w:type="dxa" w:w="100"/>
              <w:right w:type="dxa" w:w="140"/>
            </w:tcMar>
          </w:tcPr>
          <w:p>
            <w:r>
              <w:rPr>
                <w:rFonts w:ascii="Arial" w:cs="Arial" w:eastAsia="Arial" w:hAnsi="Arial"/>
                <w:b w:val="false"/>
                <w:bCs w:val="false"/>
                <w:color w:val="4A5568"/>
                <w:sz w:val="20"/>
                <w:szCs w:val="20"/>
              </w:rPr>
              <w:t xml:space="preserve">Social Enterprise</w:t>
            </w:r>
          </w:p>
        </w:tc>
        <w:tc>
          <w:tcPr>
            <w:tcW w:type="dxa" w:w="4280"/>
            <w:tcBorders>
              <w:top w:val="single" w:color="D0D5DD" w:sz="1"/>
              <w:left w:val="single" w:color="D0D5DD" w:sz="1"/>
              <w:bottom w:val="single" w:color="D0D5DD" w:sz="1"/>
              <w:right w:val="single" w:color="D0D5DD" w:sz="1"/>
            </w:tcBorders>
            <w:shd w:fill="F9F6F0" w:val="clear"/>
            <w:tcMar>
              <w:top w:type="dxa" w:w="100"/>
              <w:left w:type="dxa" w:w="140"/>
              <w:bottom w:type="dxa" w:w="100"/>
              <w:right w:type="dxa" w:w="140"/>
            </w:tcMar>
          </w:tcPr>
          <w:p>
            <w:r>
              <w:rPr>
                <w:rFonts w:ascii="Arial" w:cs="Arial" w:eastAsia="Arial" w:hAnsi="Arial"/>
                <w:b w:val="false"/>
                <w:bCs w:val="false"/>
                <w:color w:val="4A5568"/>
                <w:sz w:val="20"/>
                <w:szCs w:val="20"/>
              </w:rPr>
              <w:t xml:space="preserve">Dual Scorecard (Commercial + Mission) + AI Tension Analysis + Advisor-set Weighting</w:t>
            </w:r>
          </w:p>
        </w:tc>
        <w:tc>
          <w:tcPr>
            <w:tcW w:type="dxa" w:w="1880"/>
            <w:tcBorders>
              <w:top w:val="single" w:color="D0D5DD" w:sz="1"/>
              <w:left w:val="single" w:color="D0D5DD" w:sz="1"/>
              <w:bottom w:val="single" w:color="D0D5DD" w:sz="1"/>
              <w:right w:val="single" w:color="D0D5DD" w:sz="1"/>
            </w:tcBorders>
            <w:shd w:fill="F9F6F0" w:val="clear"/>
            <w:tcMar>
              <w:top w:type="dxa" w:w="100"/>
              <w:left w:type="dxa" w:w="140"/>
              <w:bottom w:type="dxa" w:w="100"/>
              <w:right w:type="dxa" w:w="140"/>
            </w:tcMar>
          </w:tcPr>
          <w:p>
            <w:r>
              <w:rPr>
                <w:rFonts w:ascii="Arial" w:cs="Arial" w:eastAsia="Arial" w:hAnsi="Arial"/>
                <w:b w:val="false"/>
                <w:bCs w:val="false"/>
                <w:color w:val="4A5568"/>
                <w:sz w:val="20"/>
                <w:szCs w:val="20"/>
              </w:rPr>
              <w:t xml:space="preserve">Section 6</w:t>
            </w:r>
          </w:p>
        </w:tc>
      </w:tr>
      <w:tr>
        <w:tc>
          <w:tcPr>
            <w:tcW w:type="dxa" w:w="32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tcPr>
          <w:p>
            <w:r>
              <w:rPr>
                <w:rFonts w:ascii="Arial" w:cs="Arial" w:eastAsia="Arial" w:hAnsi="Arial"/>
                <w:b w:val="false"/>
                <w:bCs w:val="false"/>
                <w:color w:val="4A5568"/>
                <w:sz w:val="20"/>
                <w:szCs w:val="20"/>
              </w:rPr>
              <w:t xml:space="preserve">Governance Review Fee</w:t>
            </w:r>
          </w:p>
        </w:tc>
        <w:tc>
          <w:tcPr>
            <w:tcW w:type="dxa" w:w="428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tcPr>
          <w:p>
            <w:r>
              <w:rPr>
                <w:rFonts w:ascii="Arial" w:cs="Arial" w:eastAsia="Arial" w:hAnsi="Arial"/>
                <w:b w:val="false"/>
                <w:bCs w:val="false"/>
                <w:color w:val="4A5568"/>
                <w:sz w:val="20"/>
                <w:szCs w:val="20"/>
              </w:rPr>
              <w:t xml:space="preserve">$1,500–$2,500 fixed. Includes s.42G Charities Act 2005 compliance evidence statement.</w:t>
            </w:r>
          </w:p>
        </w:tc>
        <w:tc>
          <w:tcPr>
            <w:tcW w:type="dxa" w:w="188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tcPr>
          <w:p>
            <w:r>
              <w:rPr>
                <w:rFonts w:ascii="Arial" w:cs="Arial" w:eastAsia="Arial" w:hAnsi="Arial"/>
                <w:b w:val="false"/>
                <w:bCs w:val="false"/>
                <w:color w:val="4A5568"/>
                <w:sz w:val="20"/>
                <w:szCs w:val="20"/>
              </w:rPr>
              <w:t xml:space="preserve">7.2</w:t>
            </w:r>
          </w:p>
        </w:tc>
      </w:tr>
      <w:tr>
        <w:tc>
          <w:tcPr>
            <w:tcW w:type="dxa" w:w="3200"/>
            <w:tcBorders>
              <w:top w:val="single" w:color="D0D5DD" w:sz="1"/>
              <w:left w:val="single" w:color="D0D5DD" w:sz="1"/>
              <w:bottom w:val="single" w:color="D0D5DD" w:sz="1"/>
              <w:right w:val="single" w:color="D0D5DD" w:sz="1"/>
            </w:tcBorders>
            <w:shd w:fill="F9F6F0" w:val="clear"/>
            <w:tcMar>
              <w:top w:type="dxa" w:w="100"/>
              <w:left w:type="dxa" w:w="140"/>
              <w:bottom w:type="dxa" w:w="100"/>
              <w:right w:type="dxa" w:w="140"/>
            </w:tcMar>
          </w:tcPr>
          <w:p>
            <w:r>
              <w:rPr>
                <w:rFonts w:ascii="Arial" w:cs="Arial" w:eastAsia="Arial" w:hAnsi="Arial"/>
                <w:b w:val="false"/>
                <w:bCs w:val="false"/>
                <w:color w:val="4A5568"/>
                <w:sz w:val="20"/>
                <w:szCs w:val="20"/>
              </w:rPr>
              <w:t xml:space="preserve">Conversion Credit</w:t>
            </w:r>
          </w:p>
        </w:tc>
        <w:tc>
          <w:tcPr>
            <w:tcW w:type="dxa" w:w="4280"/>
            <w:tcBorders>
              <w:top w:val="single" w:color="D0D5DD" w:sz="1"/>
              <w:left w:val="single" w:color="D0D5DD" w:sz="1"/>
              <w:bottom w:val="single" w:color="D0D5DD" w:sz="1"/>
              <w:right w:val="single" w:color="D0D5DD" w:sz="1"/>
            </w:tcBorders>
            <w:shd w:fill="F9F6F0" w:val="clear"/>
            <w:tcMar>
              <w:top w:type="dxa" w:w="100"/>
              <w:left w:type="dxa" w:w="140"/>
              <w:bottom w:type="dxa" w:w="100"/>
              <w:right w:type="dxa" w:w="140"/>
            </w:tcMar>
          </w:tcPr>
          <w:p>
            <w:r>
              <w:rPr>
                <w:rFonts w:ascii="Arial" w:cs="Arial" w:eastAsia="Arial" w:hAnsi="Arial"/>
                <w:b w:val="false"/>
                <w:bCs w:val="false"/>
                <w:color w:val="4A5568"/>
                <w:sz w:val="20"/>
                <w:szCs w:val="20"/>
              </w:rPr>
              <w:t xml:space="preserve">50% of governance review fee credited to first advisory retainer month (advisor discretion).</w:t>
            </w:r>
          </w:p>
        </w:tc>
        <w:tc>
          <w:tcPr>
            <w:tcW w:type="dxa" w:w="1880"/>
            <w:tcBorders>
              <w:top w:val="single" w:color="D0D5DD" w:sz="1"/>
              <w:left w:val="single" w:color="D0D5DD" w:sz="1"/>
              <w:bottom w:val="single" w:color="D0D5DD" w:sz="1"/>
              <w:right w:val="single" w:color="D0D5DD" w:sz="1"/>
            </w:tcBorders>
            <w:shd w:fill="F9F6F0" w:val="clear"/>
            <w:tcMar>
              <w:top w:type="dxa" w:w="100"/>
              <w:left w:type="dxa" w:w="140"/>
              <w:bottom w:type="dxa" w:w="100"/>
              <w:right w:type="dxa" w:w="140"/>
            </w:tcMar>
          </w:tcPr>
          <w:p>
            <w:r>
              <w:rPr>
                <w:rFonts w:ascii="Arial" w:cs="Arial" w:eastAsia="Arial" w:hAnsi="Arial"/>
                <w:b w:val="false"/>
                <w:bCs w:val="false"/>
                <w:color w:val="4A5568"/>
                <w:sz w:val="20"/>
                <w:szCs w:val="20"/>
              </w:rPr>
              <w:t xml:space="preserve">7.2</w:t>
            </w:r>
          </w:p>
        </w:tc>
      </w:tr>
      <w:tr>
        <w:tc>
          <w:tcPr>
            <w:tcW w:type="dxa" w:w="32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tcPr>
          <w:p>
            <w:r>
              <w:rPr>
                <w:rFonts w:ascii="Arial" w:cs="Arial" w:eastAsia="Arial" w:hAnsi="Arial"/>
                <w:b w:val="false"/>
                <w:bCs w:val="false"/>
                <w:color w:val="4A5568"/>
                <w:sz w:val="20"/>
                <w:szCs w:val="20"/>
              </w:rPr>
              <w:t xml:space="preserve">Funder Database</w:t>
            </w:r>
          </w:p>
        </w:tc>
        <w:tc>
          <w:tcPr>
            <w:tcW w:type="dxa" w:w="428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tcPr>
          <w:p>
            <w:r>
              <w:rPr>
                <w:rFonts w:ascii="Arial" w:cs="Arial" w:eastAsia="Arial" w:hAnsi="Arial"/>
                <w:b w:val="false"/>
                <w:bCs w:val="false"/>
                <w:color w:val="4A5568"/>
                <w:sz w:val="20"/>
                <w:szCs w:val="20"/>
              </w:rPr>
              <w:t xml:space="preserve">Platform-maintained. Updated via Learning Architecture Layer 33.</w:t>
            </w:r>
          </w:p>
        </w:tc>
        <w:tc>
          <w:tcPr>
            <w:tcW w:type="dxa" w:w="188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tcPr>
          <w:p>
            <w:r>
              <w:rPr>
                <w:rFonts w:ascii="Arial" w:cs="Arial" w:eastAsia="Arial" w:hAnsi="Arial"/>
                <w:b w:val="false"/>
                <w:bCs w:val="false"/>
                <w:color w:val="4A5568"/>
                <w:sz w:val="20"/>
                <w:szCs w:val="20"/>
              </w:rPr>
              <w:t xml:space="preserve">Section 8</w:t>
            </w:r>
          </w:p>
        </w:tc>
      </w:tr>
      <w:tr>
        <w:tc>
          <w:tcPr>
            <w:tcW w:type="dxa" w:w="3200"/>
            <w:tcBorders>
              <w:top w:val="single" w:color="D0D5DD" w:sz="1"/>
              <w:left w:val="single" w:color="D0D5DD" w:sz="1"/>
              <w:bottom w:val="single" w:color="D0D5DD" w:sz="1"/>
              <w:right w:val="single" w:color="D0D5DD" w:sz="1"/>
            </w:tcBorders>
            <w:shd w:fill="F9F6F0" w:val="clear"/>
            <w:tcMar>
              <w:top w:type="dxa" w:w="100"/>
              <w:left w:type="dxa" w:w="140"/>
              <w:bottom w:type="dxa" w:w="100"/>
              <w:right w:type="dxa" w:w="140"/>
            </w:tcMar>
          </w:tcPr>
          <w:p>
            <w:r>
              <w:rPr>
                <w:rFonts w:ascii="Arial" w:cs="Arial" w:eastAsia="Arial" w:hAnsi="Arial"/>
                <w:b w:val="false"/>
                <w:bCs w:val="false"/>
                <w:color w:val="4A5568"/>
                <w:sz w:val="20"/>
                <w:szCs w:val="20"/>
              </w:rPr>
              <w:t xml:space="preserve">Funder Alert Types</w:t>
            </w:r>
          </w:p>
        </w:tc>
        <w:tc>
          <w:tcPr>
            <w:tcW w:type="dxa" w:w="4280"/>
            <w:tcBorders>
              <w:top w:val="single" w:color="D0D5DD" w:sz="1"/>
              <w:left w:val="single" w:color="D0D5DD" w:sz="1"/>
              <w:bottom w:val="single" w:color="D0D5DD" w:sz="1"/>
              <w:right w:val="single" w:color="D0D5DD" w:sz="1"/>
            </w:tcBorders>
            <w:shd w:fill="F9F6F0" w:val="clear"/>
            <w:tcMar>
              <w:top w:type="dxa" w:w="100"/>
              <w:left w:type="dxa" w:w="140"/>
              <w:bottom w:type="dxa" w:w="100"/>
              <w:right w:type="dxa" w:w="140"/>
            </w:tcMar>
          </w:tcPr>
          <w:p>
            <w:r>
              <w:rPr>
                <w:rFonts w:ascii="Arial" w:cs="Arial" w:eastAsia="Arial" w:hAnsi="Arial"/>
                <w:b w:val="false"/>
                <w:bCs w:val="false"/>
                <w:color w:val="4A5568"/>
                <w:sz w:val="20"/>
                <w:szCs w:val="20"/>
              </w:rPr>
              <w:t xml:space="preserve">Report due 30d/7d/overdue. Application window open 60d. Grant expiry 60d.</w:t>
            </w:r>
          </w:p>
        </w:tc>
        <w:tc>
          <w:tcPr>
            <w:tcW w:type="dxa" w:w="1880"/>
            <w:tcBorders>
              <w:top w:val="single" w:color="D0D5DD" w:sz="1"/>
              <w:left w:val="single" w:color="D0D5DD" w:sz="1"/>
              <w:bottom w:val="single" w:color="D0D5DD" w:sz="1"/>
              <w:right w:val="single" w:color="D0D5DD" w:sz="1"/>
            </w:tcBorders>
            <w:shd w:fill="F9F6F0" w:val="clear"/>
            <w:tcMar>
              <w:top w:type="dxa" w:w="100"/>
              <w:left w:type="dxa" w:w="140"/>
              <w:bottom w:type="dxa" w:w="100"/>
              <w:right w:type="dxa" w:w="140"/>
            </w:tcMar>
          </w:tcPr>
          <w:p>
            <w:r>
              <w:rPr>
                <w:rFonts w:ascii="Arial" w:cs="Arial" w:eastAsia="Arial" w:hAnsi="Arial"/>
                <w:b w:val="false"/>
                <w:bCs w:val="false"/>
                <w:color w:val="4A5568"/>
                <w:sz w:val="20"/>
                <w:szCs w:val="20"/>
              </w:rPr>
              <w:t xml:space="preserve">8.4</w:t>
            </w:r>
          </w:p>
        </w:tc>
      </w:tr>
      <w:tr>
        <w:tc>
          <w:tcPr>
            <w:tcW w:type="dxa" w:w="32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tcPr>
          <w:p>
            <w:r>
              <w:rPr>
                <w:rFonts w:ascii="Arial" w:cs="Arial" w:eastAsia="Arial" w:hAnsi="Arial"/>
                <w:b w:val="false"/>
                <w:bCs w:val="false"/>
                <w:color w:val="4A5568"/>
                <w:sz w:val="20"/>
                <w:szCs w:val="20"/>
              </w:rPr>
              <w:t xml:space="preserve">Report Types</w:t>
            </w:r>
          </w:p>
        </w:tc>
        <w:tc>
          <w:tcPr>
            <w:tcW w:type="dxa" w:w="428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tcPr>
          <w:p>
            <w:r>
              <w:rPr>
                <w:rFonts w:ascii="Arial" w:cs="Arial" w:eastAsia="Arial" w:hAnsi="Arial"/>
                <w:b w:val="false"/>
                <w:bCs w:val="false"/>
                <w:color w:val="4A5568"/>
                <w:sz w:val="20"/>
                <w:szCs w:val="20"/>
              </w:rPr>
              <w:t xml:space="preserve">6 NPO reports + 5 existing SME reports = 11 total platform reports.</w:t>
            </w:r>
          </w:p>
        </w:tc>
        <w:tc>
          <w:tcPr>
            <w:tcW w:type="dxa" w:w="188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tcPr>
          <w:p>
            <w:r>
              <w:rPr>
                <w:rFonts w:ascii="Arial" w:cs="Arial" w:eastAsia="Arial" w:hAnsi="Arial"/>
                <w:b w:val="false"/>
                <w:bCs w:val="false"/>
                <w:color w:val="4A5568"/>
                <w:sz w:val="20"/>
                <w:szCs w:val="20"/>
              </w:rPr>
              <w:t xml:space="preserve">Section 9</w:t>
            </w:r>
          </w:p>
        </w:tc>
      </w:tr>
      <w:tr>
        <w:tc>
          <w:tcPr>
            <w:tcW w:type="dxa" w:w="3200"/>
            <w:tcBorders>
              <w:top w:val="single" w:color="D0D5DD" w:sz="1"/>
              <w:left w:val="single" w:color="D0D5DD" w:sz="1"/>
              <w:bottom w:val="single" w:color="D0D5DD" w:sz="1"/>
              <w:right w:val="single" w:color="D0D5DD" w:sz="1"/>
            </w:tcBorders>
            <w:shd w:fill="F9F6F0" w:val="clear"/>
            <w:tcMar>
              <w:top w:type="dxa" w:w="100"/>
              <w:left w:type="dxa" w:w="140"/>
              <w:bottom w:type="dxa" w:w="100"/>
              <w:right w:type="dxa" w:w="140"/>
            </w:tcMar>
          </w:tcPr>
          <w:p>
            <w:r>
              <w:rPr>
                <w:rFonts w:ascii="Arial" w:cs="Arial" w:eastAsia="Arial" w:hAnsi="Arial"/>
                <w:b w:val="false"/>
                <w:bCs w:val="false"/>
                <w:color w:val="4A5568"/>
                <w:sz w:val="20"/>
                <w:szCs w:val="20"/>
              </w:rPr>
              <w:t xml:space="preserve">New User Roles</w:t>
            </w:r>
          </w:p>
        </w:tc>
        <w:tc>
          <w:tcPr>
            <w:tcW w:type="dxa" w:w="4280"/>
            <w:tcBorders>
              <w:top w:val="single" w:color="D0D5DD" w:sz="1"/>
              <w:left w:val="single" w:color="D0D5DD" w:sz="1"/>
              <w:bottom w:val="single" w:color="D0D5DD" w:sz="1"/>
              <w:right w:val="single" w:color="D0D5DD" w:sz="1"/>
            </w:tcBorders>
            <w:shd w:fill="F9F6F0" w:val="clear"/>
            <w:tcMar>
              <w:top w:type="dxa" w:w="100"/>
              <w:left w:type="dxa" w:w="140"/>
              <w:bottom w:type="dxa" w:w="100"/>
              <w:right w:type="dxa" w:w="140"/>
            </w:tcMar>
          </w:tcPr>
          <w:p>
            <w:r>
              <w:rPr>
                <w:rFonts w:ascii="Arial" w:cs="Arial" w:eastAsia="Arial" w:hAnsi="Arial"/>
                <w:b w:val="false"/>
                <w:bCs w:val="false"/>
                <w:color w:val="4A5568"/>
                <w:sz w:val="20"/>
                <w:szCs w:val="20"/>
              </w:rPr>
              <w:t xml:space="preserve">NPO Board Member + Funder Contact (read-only). Platform total: 12 user roles.</w:t>
            </w:r>
          </w:p>
        </w:tc>
        <w:tc>
          <w:tcPr>
            <w:tcW w:type="dxa" w:w="1880"/>
            <w:tcBorders>
              <w:top w:val="single" w:color="D0D5DD" w:sz="1"/>
              <w:left w:val="single" w:color="D0D5DD" w:sz="1"/>
              <w:bottom w:val="single" w:color="D0D5DD" w:sz="1"/>
              <w:right w:val="single" w:color="D0D5DD" w:sz="1"/>
            </w:tcBorders>
            <w:shd w:fill="F9F6F0" w:val="clear"/>
            <w:tcMar>
              <w:top w:type="dxa" w:w="100"/>
              <w:left w:type="dxa" w:w="140"/>
              <w:bottom w:type="dxa" w:w="100"/>
              <w:right w:type="dxa" w:w="140"/>
            </w:tcMar>
          </w:tcPr>
          <w:p>
            <w:r>
              <w:rPr>
                <w:rFonts w:ascii="Arial" w:cs="Arial" w:eastAsia="Arial" w:hAnsi="Arial"/>
                <w:b w:val="false"/>
                <w:bCs w:val="false"/>
                <w:color w:val="4A5568"/>
                <w:sz w:val="20"/>
                <w:szCs w:val="20"/>
              </w:rPr>
              <w:t xml:space="preserve">Section 10</w:t>
            </w:r>
          </w:p>
        </w:tc>
      </w:tr>
      <w:tr>
        <w:tc>
          <w:tcPr>
            <w:tcW w:type="dxa" w:w="32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tcPr>
          <w:p>
            <w:r>
              <w:rPr>
                <w:rFonts w:ascii="Arial" w:cs="Arial" w:eastAsia="Arial" w:hAnsi="Arial"/>
                <w:b w:val="false"/>
                <w:bCs w:val="false"/>
                <w:color w:val="4A5568"/>
                <w:sz w:val="20"/>
                <w:szCs w:val="20"/>
              </w:rPr>
              <w:t xml:space="preserve">Funder Contact Flow</w:t>
            </w:r>
          </w:p>
        </w:tc>
        <w:tc>
          <w:tcPr>
            <w:tcW w:type="dxa" w:w="428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tcPr>
          <w:p>
            <w:r>
              <w:rPr>
                <w:rFonts w:ascii="Arial" w:cs="Arial" w:eastAsia="Arial" w:hAnsi="Arial"/>
                <w:b w:val="false"/>
                <w:bCs w:val="false"/>
                <w:color w:val="4A5568"/>
                <w:sz w:val="20"/>
                <w:szCs w:val="20"/>
              </w:rPr>
              <w:t xml:space="preserve">NPO-initiated request → advisor-approved → platform-sent invite → 90-day expiry.</w:t>
            </w:r>
          </w:p>
        </w:tc>
        <w:tc>
          <w:tcPr>
            <w:tcW w:type="dxa" w:w="188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tcPr>
          <w:p>
            <w:r>
              <w:rPr>
                <w:rFonts w:ascii="Arial" w:cs="Arial" w:eastAsia="Arial" w:hAnsi="Arial"/>
                <w:b w:val="false"/>
                <w:bCs w:val="false"/>
                <w:color w:val="4A5568"/>
                <w:sz w:val="20"/>
                <w:szCs w:val="20"/>
              </w:rPr>
              <w:t xml:space="preserve">8.6</w:t>
            </w:r>
          </w:p>
        </w:tc>
      </w:tr>
      <w:tr>
        <w:tc>
          <w:tcPr>
            <w:tcW w:type="dxa" w:w="3200"/>
            <w:tcBorders>
              <w:top w:val="single" w:color="D0D5DD" w:sz="1"/>
              <w:left w:val="single" w:color="D0D5DD" w:sz="1"/>
              <w:bottom w:val="single" w:color="D0D5DD" w:sz="1"/>
              <w:right w:val="single" w:color="D0D5DD" w:sz="1"/>
            </w:tcBorders>
            <w:shd w:fill="F9F6F0" w:val="clear"/>
            <w:tcMar>
              <w:top w:type="dxa" w:w="100"/>
              <w:left w:type="dxa" w:w="140"/>
              <w:bottom w:type="dxa" w:w="100"/>
              <w:right w:type="dxa" w:w="140"/>
            </w:tcMar>
          </w:tcPr>
          <w:p>
            <w:r>
              <w:rPr>
                <w:rFonts w:ascii="Arial" w:cs="Arial" w:eastAsia="Arial" w:hAnsi="Arial"/>
                <w:b w:val="false"/>
                <w:bCs w:val="false"/>
                <w:color w:val="4A5568"/>
                <w:sz w:val="20"/>
                <w:szCs w:val="20"/>
              </w:rPr>
              <w:t xml:space="preserve">Learning Architecture</w:t>
            </w:r>
          </w:p>
        </w:tc>
        <w:tc>
          <w:tcPr>
            <w:tcW w:type="dxa" w:w="4280"/>
            <w:tcBorders>
              <w:top w:val="single" w:color="D0D5DD" w:sz="1"/>
              <w:left w:val="single" w:color="D0D5DD" w:sz="1"/>
              <w:bottom w:val="single" w:color="D0D5DD" w:sz="1"/>
              <w:right w:val="single" w:color="D0D5DD" w:sz="1"/>
            </w:tcBorders>
            <w:shd w:fill="F9F6F0" w:val="clear"/>
            <w:tcMar>
              <w:top w:type="dxa" w:w="100"/>
              <w:left w:type="dxa" w:w="140"/>
              <w:bottom w:type="dxa" w:w="100"/>
              <w:right w:type="dxa" w:w="140"/>
            </w:tcMar>
          </w:tcPr>
          <w:p>
            <w:r>
              <w:rPr>
                <w:rFonts w:ascii="Arial" w:cs="Arial" w:eastAsia="Arial" w:hAnsi="Arial"/>
                <w:b w:val="false"/>
                <w:bCs w:val="false"/>
                <w:color w:val="4A5568"/>
                <w:sz w:val="20"/>
                <w:szCs w:val="20"/>
              </w:rPr>
              <w:t xml:space="preserve">Layers 33–36 added. 36 total platform layers. All governed by existing approval process.</w:t>
            </w:r>
          </w:p>
        </w:tc>
        <w:tc>
          <w:tcPr>
            <w:tcW w:type="dxa" w:w="1880"/>
            <w:tcBorders>
              <w:top w:val="single" w:color="D0D5DD" w:sz="1"/>
              <w:left w:val="single" w:color="D0D5DD" w:sz="1"/>
              <w:bottom w:val="single" w:color="D0D5DD" w:sz="1"/>
              <w:right w:val="single" w:color="D0D5DD" w:sz="1"/>
            </w:tcBorders>
            <w:shd w:fill="F9F6F0" w:val="clear"/>
            <w:tcMar>
              <w:top w:type="dxa" w:w="100"/>
              <w:left w:type="dxa" w:w="140"/>
              <w:bottom w:type="dxa" w:w="100"/>
              <w:right w:type="dxa" w:w="140"/>
            </w:tcMar>
          </w:tcPr>
          <w:p>
            <w:r>
              <w:rPr>
                <w:rFonts w:ascii="Arial" w:cs="Arial" w:eastAsia="Arial" w:hAnsi="Arial"/>
                <w:b w:val="false"/>
                <w:bCs w:val="false"/>
                <w:color w:val="4A5568"/>
                <w:sz w:val="20"/>
                <w:szCs w:val="20"/>
              </w:rPr>
              <w:t xml:space="preserve">Section 13</w:t>
            </w:r>
          </w:p>
        </w:tc>
      </w:tr>
      <w:tr>
        <w:tc>
          <w:tcPr>
            <w:tcW w:type="dxa" w:w="32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tcPr>
          <w:p>
            <w:r>
              <w:rPr>
                <w:rFonts w:ascii="Arial" w:cs="Arial" w:eastAsia="Arial" w:hAnsi="Arial"/>
                <w:b w:val="false"/>
                <w:bCs w:val="false"/>
                <w:color w:val="4A5568"/>
                <w:sz w:val="20"/>
                <w:szCs w:val="20"/>
              </w:rPr>
              <w:t xml:space="preserve">NPO Fee Discount</w:t>
            </w:r>
          </w:p>
        </w:tc>
        <w:tc>
          <w:tcPr>
            <w:tcW w:type="dxa" w:w="428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tcPr>
          <w:p>
            <w:r>
              <w:rPr>
                <w:rFonts w:ascii="Arial" w:cs="Arial" w:eastAsia="Arial" w:hAnsi="Arial"/>
                <w:b w:val="false"/>
                <w:bCs w:val="false"/>
                <w:color w:val="4A5568"/>
                <w:sz w:val="20"/>
                <w:szCs w:val="20"/>
              </w:rPr>
              <w:t xml:space="preserve">35% below equivalent SME rate across all size tiers.</w:t>
            </w:r>
          </w:p>
        </w:tc>
        <w:tc>
          <w:tcPr>
            <w:tcW w:type="dxa" w:w="188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tcPr>
          <w:p>
            <w:r>
              <w:rPr>
                <w:rFonts w:ascii="Arial" w:cs="Arial" w:eastAsia="Arial" w:hAnsi="Arial"/>
                <w:b w:val="false"/>
                <w:bCs w:val="false"/>
                <w:color w:val="4A5568"/>
                <w:sz w:val="20"/>
                <w:szCs w:val="20"/>
              </w:rPr>
              <w:t xml:space="preserve">Section 14</w:t>
            </w:r>
          </w:p>
        </w:tc>
      </w:tr>
      <w:tr>
        <w:tc>
          <w:tcPr>
            <w:tcW w:type="dxa" w:w="3200"/>
            <w:tcBorders>
              <w:top w:val="single" w:color="D0D5DD" w:sz="1"/>
              <w:left w:val="single" w:color="D0D5DD" w:sz="1"/>
              <w:bottom w:val="single" w:color="D0D5DD" w:sz="1"/>
              <w:right w:val="single" w:color="D0D5DD" w:sz="1"/>
            </w:tcBorders>
            <w:shd w:fill="F9F6F0" w:val="clear"/>
            <w:tcMar>
              <w:top w:type="dxa" w:w="100"/>
              <w:left w:type="dxa" w:w="140"/>
              <w:bottom w:type="dxa" w:w="100"/>
              <w:right w:type="dxa" w:w="140"/>
            </w:tcMar>
          </w:tcPr>
          <w:p>
            <w:r>
              <w:rPr>
                <w:rFonts w:ascii="Arial" w:cs="Arial" w:eastAsia="Arial" w:hAnsi="Arial"/>
                <w:b w:val="false"/>
                <w:bCs w:val="false"/>
                <w:color w:val="4A5568"/>
                <w:sz w:val="20"/>
                <w:szCs w:val="20"/>
              </w:rPr>
              <w:t xml:space="preserve">Development Phases</w:t>
            </w:r>
          </w:p>
        </w:tc>
        <w:tc>
          <w:tcPr>
            <w:tcW w:type="dxa" w:w="4280"/>
            <w:tcBorders>
              <w:top w:val="single" w:color="D0D5DD" w:sz="1"/>
              <w:left w:val="single" w:color="D0D5DD" w:sz="1"/>
              <w:bottom w:val="single" w:color="D0D5DD" w:sz="1"/>
              <w:right w:val="single" w:color="D0D5DD" w:sz="1"/>
            </w:tcBorders>
            <w:shd w:fill="F9F6F0" w:val="clear"/>
            <w:tcMar>
              <w:top w:type="dxa" w:w="100"/>
              <w:left w:type="dxa" w:w="140"/>
              <w:bottom w:type="dxa" w:w="100"/>
              <w:right w:type="dxa" w:w="140"/>
            </w:tcMar>
          </w:tcPr>
          <w:p>
            <w:r>
              <w:rPr>
                <w:rFonts w:ascii="Arial" w:cs="Arial" w:eastAsia="Arial" w:hAnsi="Arial"/>
                <w:b w:val="false"/>
                <w:bCs w:val="false"/>
                <w:color w:val="4A5568"/>
                <w:sz w:val="20"/>
                <w:szCs w:val="20"/>
              </w:rPr>
              <w:t xml:space="preserve">Phase 5a: Governance Review standalone. Phase 5b: Full NPO Module.</w:t>
            </w:r>
          </w:p>
        </w:tc>
        <w:tc>
          <w:tcPr>
            <w:tcW w:type="dxa" w:w="1880"/>
            <w:tcBorders>
              <w:top w:val="single" w:color="D0D5DD" w:sz="1"/>
              <w:left w:val="single" w:color="D0D5DD" w:sz="1"/>
              <w:bottom w:val="single" w:color="D0D5DD" w:sz="1"/>
              <w:right w:val="single" w:color="D0D5DD" w:sz="1"/>
            </w:tcBorders>
            <w:shd w:fill="F9F6F0" w:val="clear"/>
            <w:tcMar>
              <w:top w:type="dxa" w:w="100"/>
              <w:left w:type="dxa" w:w="140"/>
              <w:bottom w:type="dxa" w:w="100"/>
              <w:right w:type="dxa" w:w="140"/>
            </w:tcMar>
          </w:tcPr>
          <w:p>
            <w:r>
              <w:rPr>
                <w:rFonts w:ascii="Arial" w:cs="Arial" w:eastAsia="Arial" w:hAnsi="Arial"/>
                <w:b w:val="false"/>
                <w:bCs w:val="false"/>
                <w:color w:val="4A5568"/>
                <w:sz w:val="20"/>
                <w:szCs w:val="20"/>
              </w:rPr>
              <w:t xml:space="preserve">Section 15</w:t>
            </w:r>
          </w:p>
        </w:tc>
      </w:tr>
      <w:tr>
        <w:tc>
          <w:tcPr>
            <w:tcW w:type="dxa" w:w="320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tcPr>
          <w:p>
            <w:r>
              <w:rPr>
                <w:rFonts w:ascii="Arial" w:cs="Arial" w:eastAsia="Arial" w:hAnsi="Arial"/>
                <w:b w:val="false"/>
                <w:bCs w:val="false"/>
                <w:color w:val="4A5568"/>
                <w:sz w:val="20"/>
                <w:szCs w:val="20"/>
              </w:rPr>
              <w:t xml:space="preserve">Pro-Bono Provision</w:t>
            </w:r>
          </w:p>
        </w:tc>
        <w:tc>
          <w:tcPr>
            <w:tcW w:type="dxa" w:w="428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tcPr>
          <w:p>
            <w:r>
              <w:rPr>
                <w:rFonts w:ascii="Arial" w:cs="Arial" w:eastAsia="Arial" w:hAnsi="Arial"/>
                <w:b w:val="false"/>
                <w:bCs w:val="false"/>
                <w:color w:val="4A5568"/>
                <w:sz w:val="20"/>
                <w:szCs w:val="20"/>
              </w:rPr>
              <w:t xml:space="preserve">Up to 2 NPO engagements per year. Full platform functionality available.</w:t>
            </w:r>
          </w:p>
        </w:tc>
        <w:tc>
          <w:tcPr>
            <w:tcW w:type="dxa" w:w="1880"/>
            <w:tcBorders>
              <w:top w:val="single" w:color="D0D5DD" w:sz="1"/>
              <w:left w:val="single" w:color="D0D5DD" w:sz="1"/>
              <w:bottom w:val="single" w:color="D0D5DD" w:sz="1"/>
              <w:right w:val="single" w:color="D0D5DD" w:sz="1"/>
            </w:tcBorders>
            <w:shd w:fill="FFFFFF" w:val="clear"/>
            <w:tcMar>
              <w:top w:type="dxa" w:w="100"/>
              <w:left w:type="dxa" w:w="140"/>
              <w:bottom w:type="dxa" w:w="100"/>
              <w:right w:type="dxa" w:w="140"/>
            </w:tcMar>
          </w:tcPr>
          <w:p>
            <w:r>
              <w:rPr>
                <w:rFonts w:ascii="Arial" w:cs="Arial" w:eastAsia="Arial" w:hAnsi="Arial"/>
                <w:b w:val="false"/>
                <w:bCs w:val="false"/>
                <w:color w:val="4A5568"/>
                <w:sz w:val="20"/>
                <w:szCs w:val="20"/>
              </w:rPr>
              <w:t xml:space="preserve">14.2</w:t>
            </w:r>
          </w:p>
        </w:tc>
      </w:tr>
    </w:tbl>
    <w:p>
      <w:pPr>
        <w:spacing w:after="0" w:before="0"/>
      </w:pPr>
      <w:r>
        <w:t xml:space="preserve"/>
      </w:r>
    </w:p>
    <w:p>
      <w:pPr>
        <w:pStyle w:val="Heading2"/>
        <w:spacing w:after="160" w:before="360"/>
      </w:pPr>
      <w:r>
        <w:rPr>
          <w:rFonts w:ascii="Arial" w:cs="Arial" w:eastAsia="Arial" w:hAnsi="Arial"/>
          <w:b/>
          <w:bCs/>
          <w:color w:val="0D7A7A"/>
          <w:sz w:val="32"/>
          <w:szCs w:val="32"/>
        </w:rPr>
        <w:t xml:space="preserve">Appendix B — Key NZ Legislative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Charities Act 2005</w:t>
            </w:r>
          </w:p>
        </w:tc>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val="false"/>
                <w:bCs w:val="false"/>
                <w:color w:val="4A5568"/>
                <w:sz w:val="21"/>
                <w:szCs w:val="21"/>
              </w:rPr>
              <w:t xml:space="preserve">Primary legislation for registered charities. Administered by Charities Services / DIA.</w:t>
            </w:r>
          </w:p>
        </w:tc>
      </w:tr>
      <w:tr>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Charities Amendment Act 2023</w:t>
            </w:r>
          </w:p>
        </w:tc>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val="false"/>
                <w:bCs w:val="false"/>
                <w:color w:val="4A5568"/>
                <w:sz w:val="21"/>
                <w:szCs w:val="21"/>
              </w:rPr>
              <w:t xml:space="preserve">Governance and reporting changes phased in July 2023–July 2024. Includes mandatory three-year governance review (s.42G) from October 2023.</w:t>
            </w:r>
          </w:p>
        </w:tc>
      </w:tr>
      <w:tr>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Incorporated Societies Act 2022</w:t>
            </w:r>
          </w:p>
        </w:tc>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val="false"/>
                <w:bCs w:val="false"/>
                <w:color w:val="4A5568"/>
                <w:sz w:val="21"/>
                <w:szCs w:val="21"/>
              </w:rPr>
              <w:t xml:space="preserve">Replaced ISA 1908. Re-registration required by 5 April 2026. New officer duties, governance requirements, financial reporting obligations. Officers face fines up to $50,000.</w:t>
            </w:r>
          </w:p>
        </w:tc>
      </w:tr>
      <w:tr>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Charitable Trusts Act 1957</w:t>
            </w:r>
          </w:p>
        </w:tc>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val="false"/>
                <w:bCs w:val="false"/>
                <w:color w:val="4A5568"/>
                <w:sz w:val="21"/>
                <w:szCs w:val="21"/>
              </w:rPr>
              <w:t xml:space="preserve">Governs charitable trust boards and charitable trusts not registered under the ISA.</w:t>
            </w:r>
          </w:p>
        </w:tc>
      </w:tr>
      <w:tr>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Trusts Act 2019</w:t>
            </w:r>
          </w:p>
        </w:tc>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val="false"/>
                <w:bCs w:val="false"/>
                <w:color w:val="4A5568"/>
                <w:sz w:val="21"/>
                <w:szCs w:val="21"/>
              </w:rPr>
              <w:t xml:space="preserve">Modernised NZ trust law. Mandatory trustee duties including record-keeping obligations.</w:t>
            </w:r>
          </w:p>
        </w:tc>
      </w:tr>
      <w:tr>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XRB Financial Reporting Standards</w:t>
            </w:r>
          </w:p>
        </w:tc>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val="false"/>
                <w:bCs w:val="false"/>
                <w:color w:val="4A5568"/>
                <w:sz w:val="21"/>
                <w:szCs w:val="21"/>
              </w:rPr>
              <w:t xml:space="preserve">Applicable to registered charities and large incorporated societies. Tier 1/2/3/4 by entity size.</w:t>
            </w:r>
          </w:p>
        </w:tc>
      </w:tr>
      <w:tr>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Health and Safety at Work Act 2015</w:t>
            </w:r>
          </w:p>
        </w:tc>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val="false"/>
                <w:bCs w:val="false"/>
                <w:color w:val="4A5568"/>
                <w:sz w:val="21"/>
                <w:szCs w:val="21"/>
              </w:rPr>
              <w:t xml:space="preserve">Applies to NPO workers including, in many contexts, volunteers.</w:t>
            </w:r>
          </w:p>
        </w:tc>
      </w:tr>
      <w:tr>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Privacy Act 2020</w:t>
            </w:r>
          </w:p>
        </w:tc>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val="false"/>
                <w:bCs w:val="false"/>
                <w:color w:val="4A5568"/>
                <w:sz w:val="21"/>
                <w:szCs w:val="21"/>
              </w:rPr>
              <w:t xml:space="preserve">Governs collection, storage, and use of personal information including beneficiary data.</w:t>
            </w:r>
          </w:p>
        </w:tc>
      </w:tr>
      <w:tr>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Employment Relations Act 2000</w:t>
            </w:r>
          </w:p>
        </w:tc>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val="false"/>
                <w:bCs w:val="false"/>
                <w:color w:val="4A5568"/>
                <w:sz w:val="21"/>
                <w:szCs w:val="21"/>
              </w:rPr>
              <w:t xml:space="preserve">Applies to all paid staff. Employment agreements mandatory. Good faith obligations.</w:t>
            </w:r>
          </w:p>
        </w:tc>
      </w:tr>
      <w:tr>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bCs/>
                <w:color w:val="1C2B45"/>
                <w:sz w:val="21"/>
                <w:szCs w:val="21"/>
              </w:rPr>
              <w:t xml:space="preserve">Holidays Act 2003</w:t>
            </w:r>
          </w:p>
        </w:tc>
        <w:tc>
          <w:tcPr>
            <w:tcBorders>
              <w:top w:val="single" w:color="D0D5DD" w:sz="1"/>
              <w:left w:val="single" w:color="D0D5DD" w:sz="1"/>
              <w:bottom w:val="single" w:color="D0D5DD" w:sz="1"/>
              <w:right w:val="single" w:color="D0D5DD" w:sz="1"/>
            </w:tcBorders>
            <w:shd w:fill="FFFFFF" w:val="clear"/>
            <w:tcMar>
              <w:top w:type="dxa" w:w="100"/>
              <w:left w:type="dxa" w:w="160"/>
              <w:bottom w:type="dxa" w:w="100"/>
              <w:right w:type="dxa" w:w="160"/>
            </w:tcMar>
          </w:tcPr>
          <w:p>
            <w:r>
              <w:rPr>
                <w:rFonts w:ascii="Arial" w:cs="Arial" w:eastAsia="Arial" w:hAnsi="Arial"/>
                <w:b w:val="false"/>
                <w:bCs w:val="false"/>
                <w:color w:val="4A5568"/>
                <w:sz w:val="21"/>
                <w:szCs w:val="21"/>
              </w:rPr>
              <w:t xml:space="preserve">Historic compliance issues affect many NZ NPOs with paid staff.</w:t>
            </w:r>
          </w:p>
        </w:tc>
      </w:tr>
      <w:tr>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bCs/>
                <w:color w:val="1C2B45"/>
                <w:sz w:val="21"/>
                <w:szCs w:val="21"/>
              </w:rPr>
              <w:t xml:space="preserve">Te Ture Whenua Māori Act 1993</w:t>
            </w:r>
          </w:p>
        </w:tc>
        <w:tc>
          <w:tcPr>
            <w:tcBorders>
              <w:top w:val="single" w:color="D0D5DD" w:sz="1"/>
              <w:left w:val="single" w:color="D0D5DD" w:sz="1"/>
              <w:bottom w:val="single" w:color="D0D5DD" w:sz="1"/>
              <w:right w:val="single" w:color="D0D5DD" w:sz="1"/>
            </w:tcBorders>
            <w:shd w:fill="F9F6F0" w:val="clear"/>
            <w:tcMar>
              <w:top w:type="dxa" w:w="100"/>
              <w:left w:type="dxa" w:w="160"/>
              <w:bottom w:type="dxa" w:w="100"/>
              <w:right w:type="dxa" w:w="160"/>
            </w:tcMar>
          </w:tcPr>
          <w:p>
            <w:r>
              <w:rPr>
                <w:rFonts w:ascii="Arial" w:cs="Arial" w:eastAsia="Arial" w:hAnsi="Arial"/>
                <w:b w:val="false"/>
                <w:bCs w:val="false"/>
                <w:color w:val="4A5568"/>
                <w:sz w:val="21"/>
                <w:szCs w:val="21"/>
              </w:rPr>
              <w:t xml:space="preserve">Relevant where NPOs work with or on behalf of Māori land interests.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860B" w:sz="6" w:space="6"/>
      </w:pBdr>
      <w:spacing w:after="0" w:before="120"/>
    </w:pPr>
    <w:r>
      <w:rPr>
        <w:rFonts w:ascii="Arial" w:cs="Arial" w:eastAsia="Arial" w:hAnsi="Arial"/>
        <w:color w:val="5A6A7A"/>
        <w:sz w:val="18"/>
        <w:szCs w:val="18"/>
      </w:rPr>
      <w:t xml:space="preserve">Future Shift Advisory  ·  Hamilton, New Zealand  ·  NPO Module Addendum v1.0  ·  Page </w:t>
    </w:r>
    <w:r>
      <w:rPr>
        <w:rFonts w:ascii="Arial" w:cs="Arial" w:eastAsia="Arial" w:hAnsi="Arial"/>
        <w:color w:val="5A6A7A"/>
        <w:sz w:val="18"/>
        <w:szCs w:val="18"/>
      </w:rPr>
      <w:fldChar w:fldCharType="begin"/>
      <w:instrText xml:space="preserve">PAGE</w:instrText>
      <w:fldChar w:fldCharType="separate"/>
      <w:fldChar w:fldCharType="end"/>
    </w:r>
    <w:r>
      <w:rPr>
        <w:rFonts w:ascii="Arial" w:cs="Arial" w:eastAsia="Arial" w:hAnsi="Arial"/>
        <w:color w:val="5A6A7A"/>
        <w:sz w:val="18"/>
        <w:szCs w:val="18"/>
      </w:rPr>
      <w:t xml:space="preserve"> of </w:t>
    </w:r>
    <w:r>
      <w:rPr>
        <w:rFonts w:ascii="Arial" w:cs="Arial" w:eastAsia="Arial" w:hAnsi="Arial"/>
        <w:color w:val="5A6A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6" w:space="6"/>
      </w:pBdr>
      <w:spacing w:after="160" w:before="0"/>
    </w:pPr>
    <w:r>
      <w:rPr>
        <w:rFonts w:ascii="Arial" w:cs="Arial" w:eastAsia="Arial" w:hAnsi="Arial"/>
        <w:color w:val="8B6C42"/>
        <w:sz w:val="18"/>
        <w:szCs w:val="18"/>
      </w:rPr>
      <w:t xml:space="preserve">FUTURE SHIFT ADVISORY  |  NPO Module Addendum v1.0  |  Companion to App Specification v2.4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556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C2B45"/>
      <w:sz w:val="44"/>
      <w:szCs w:val="44"/>
    </w:rPr>
  </w:style>
  <w:style w:type="paragraph" w:styleId="Heading2">
    <w:name w:val="Heading 2"/>
    <w:basedOn w:val="Normal"/>
    <w:next w:val="Normal"/>
    <w:qFormat/>
    <w:pPr>
      <w:spacing w:after="160" w:before="360"/>
      <w:outlineLvl w:val="1"/>
    </w:pPr>
    <w:rPr>
      <w:rFonts w:ascii="Arial" w:cs="Arial" w:eastAsia="Arial" w:hAnsi="Arial"/>
      <w:b/>
      <w:bCs/>
      <w:color w:val="0D7A7A"/>
      <w:sz w:val="32"/>
      <w:szCs w:val="32"/>
    </w:rPr>
  </w:style>
  <w:style w:type="paragraph" w:styleId="Heading3">
    <w:name w:val="Heading 3"/>
    <w:basedOn w:val="Normal"/>
    <w:next w:val="Normal"/>
    <w:qFormat/>
    <w:pPr>
      <w:spacing w:after="120" w:before="260"/>
      <w:outlineLvl w:val="2"/>
    </w:pPr>
    <w:rPr>
      <w:rFonts w:ascii="Arial" w:cs="Arial" w:eastAsia="Arial" w:hAnsi="Arial"/>
      <w:b/>
      <w:bCs/>
      <w:color w:val="1C2B4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2026-05-26T01:28:34.628Z</dcterms:created>
  <dcterms:modified xsi:type="dcterms:W3CDTF">2026-05-26T01:28:34.643Z</dcterms:modified>
</cp:coreProperties>
</file>

<file path=docProps/custom.xml><?xml version="1.0" encoding="utf-8"?>
<Properties xmlns="http://schemas.openxmlformats.org/officeDocument/2006/custom-properties" xmlns:vt="http://schemas.openxmlformats.org/officeDocument/2006/docPropsVTypes"/>
</file>