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pPr>
      <w:r>
        <w:t xml:space="preserve"/>
      </w:r>
    </w:p>
    <w:p>
      <w:pPr>
        <w:spacing w:after="160" w:before="0"/>
        <w:jc w:val="center"/>
      </w:pPr>
      <w:r>
        <w:rPr>
          <w:rFonts w:ascii="Arial" w:cs="Arial" w:eastAsia="Arial" w:hAnsi="Arial"/>
          <w:b/>
          <w:bCs/>
          <w:color w:val="1C2B45"/>
          <w:sz w:val="72"/>
          <w:szCs w:val="72"/>
        </w:rPr>
        <w:t xml:space="preserve">FUTURE SHIFT ADVISORY</w:t>
      </w:r>
    </w:p>
    <w:p>
      <w:pPr>
        <w:spacing w:after="120" w:before="0"/>
        <w:jc w:val="center"/>
      </w:pPr>
      <w:r>
        <w:rPr>
          <w:rFonts w:ascii="Arial" w:cs="Arial" w:eastAsia="Arial" w:hAnsi="Arial"/>
          <w:color w:val="8B6C42"/>
          <w:sz w:val="26"/>
          <w:szCs w:val="26"/>
        </w:rPr>
        <w:t xml:space="preserve">Mentor  ·  Advisor  ·  Partner</w:t>
      </w:r>
    </w:p>
    <w:p>
      <w:pPr>
        <w:spacing w:after="900" w:before="0"/>
        <w:jc w:val="center"/>
      </w:pPr>
      <w:r>
        <w:rPr>
          <w:rFonts w:ascii="Arial" w:cs="Arial" w:eastAsia="Arial" w:hAnsi="Arial"/>
          <w:color w:val="5A6A7A"/>
          <w:sz w:val="22"/>
          <w:szCs w:val="22"/>
        </w:rPr>
        <w:t xml:space="preserve">New Zealand SME Advisory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B45" w:val="clear"/>
            <w:tcMar>
              <w:top w:type="dxa" w:w="440"/>
              <w:left w:type="dxa" w:w="560"/>
              <w:bottom w:type="dxa" w:w="440"/>
              <w:right w:type="dxa" w:w="560"/>
            </w:tcMar>
          </w:tcPr>
          <w:p>
            <w:pPr>
              <w:spacing w:after="180" w:before="0"/>
              <w:jc w:val="center"/>
            </w:pPr>
            <w:r>
              <w:rPr>
                <w:rFonts w:ascii="Arial" w:cs="Arial" w:eastAsia="Arial" w:hAnsi="Arial"/>
                <w:b/>
                <w:bCs/>
                <w:color w:val="FFFFFF"/>
                <w:sz w:val="48"/>
                <w:szCs w:val="48"/>
              </w:rPr>
              <w:t xml:space="preserve">APP SPECIFICATION DOCUMENT</w:t>
            </w:r>
          </w:p>
          <w:p>
            <w:pPr>
              <w:spacing w:after="80" w:before="0"/>
              <w:jc w:val="center"/>
            </w:pPr>
            <w:r>
              <w:rPr>
                <w:rFonts w:ascii="Arial" w:cs="Arial" w:eastAsia="Arial" w:hAnsi="Arial"/>
                <w:color w:val="E8D5A0"/>
                <w:sz w:val="22"/>
                <w:szCs w:val="22"/>
              </w:rPr>
              <w:t xml:space="preserve">Version 2.4  |  Confidential  |  May 2026</w:t>
            </w:r>
          </w:p>
          <w:p>
            <w:pPr>
              <w:spacing w:after="0" w:before="0"/>
              <w:jc w:val="center"/>
            </w:pPr>
            <w:r>
              <w:rPr>
                <w:rFonts w:ascii="Arial" w:cs="Arial" w:eastAsia="Arial" w:hAnsi="Arial"/>
                <w:color w:val="D4A020"/>
                <w:sz w:val="20"/>
                <w:szCs w:val="20"/>
              </w:rPr>
              <w:t xml:space="preserve">Definitive Version — Supersedes All Previous Versions</w:t>
            </w:r>
          </w:p>
        </w:tc>
      </w:tr>
    </w:tbl>
    <w:p>
      <w:pPr>
        <w:spacing w:after="80" w:before="700"/>
        <w:jc w:val="center"/>
      </w:pPr>
      <w:r>
        <w:rPr>
          <w:rFonts w:ascii="Arial" w:cs="Arial" w:eastAsia="Arial" w:hAnsi="Arial"/>
          <w:b w:val="false"/>
          <w:bCs w:val="false"/>
          <w:i/>
          <w:iCs/>
          <w:color w:val="4A5568"/>
          <w:sz w:val="20"/>
          <w:szCs w:val="20"/>
        </w:rPr>
        <w:t xml:space="preserve">Prepared for</w:t>
      </w:r>
    </w:p>
    <w:p>
      <w:pPr>
        <w:spacing w:after="80" w:before="0"/>
        <w:jc w:val="center"/>
      </w:pPr>
      <w:r>
        <w:rPr>
          <w:rFonts w:ascii="Arial" w:cs="Arial" w:eastAsia="Arial" w:hAnsi="Arial"/>
          <w:b/>
          <w:bCs/>
          <w:color w:val="1C2B45"/>
          <w:sz w:val="28"/>
          <w:szCs w:val="28"/>
        </w:rPr>
        <w:t xml:space="preserve">Future Shift Advisory</w:t>
      </w:r>
    </w:p>
    <w:p>
      <w:pPr>
        <w:spacing w:after="80" w:before="0"/>
        <w:jc w:val="center"/>
      </w:pPr>
      <w:r>
        <w:rPr>
          <w:rFonts w:ascii="Arial" w:cs="Arial" w:eastAsia="Arial" w:hAnsi="Arial"/>
          <w:color w:val="8B6C42"/>
          <w:sz w:val="22"/>
          <w:szCs w:val="22"/>
        </w:rPr>
        <w:t xml:space="preserve">Pieter Du Plessis — Principal Advisor</w:t>
      </w:r>
    </w:p>
    <w:p>
      <w:pPr>
        <w:spacing w:after="0" w:before="0"/>
        <w:jc w:val="center"/>
      </w:pPr>
      <w:r>
        <w:rPr>
          <w:rFonts w:ascii="Arial" w:cs="Arial" w:eastAsia="Arial" w:hAnsi="Arial"/>
          <w:color w:val="5A6A7A"/>
          <w:sz w:val="22"/>
          <w:szCs w:val="22"/>
        </w:rPr>
        <w:t xml:space="preserve">Hamilton, New Zealand</w:t>
      </w:r>
    </w:p>
    <w:p>
      <w:r>
        <w:br w:type="page"/>
      </w:r>
    </w:p>
    <w:p>
      <w:pPr>
        <w:pStyle w:val="Heading1"/>
        <w:pBdr>
          <w:bottom w:val="single" w:color="B8860B" w:sz="8" w:space="6"/>
        </w:pBdr>
        <w:spacing w:after="200" w:before="480"/>
      </w:pPr>
      <w:r>
        <w:rPr>
          <w:rFonts w:ascii="Arial" w:cs="Arial" w:eastAsia="Arial" w:hAnsi="Arial"/>
          <w:b/>
          <w:bCs/>
          <w:color w:val="1C2B45"/>
          <w:sz w:val="44"/>
          <w:szCs w:val="44"/>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c>
          <w:tcPr>
            <w:tcW w:type="dxa" w:w="1200"/>
            <w:tcBorders>
              <w:top w:val="single" w:color="1C2B45" w:sz="1"/>
              <w:left w:val="single" w:color="1C2B45" w:sz="1"/>
              <w:bottom w:val="single" w:color="1C2B45" w:sz="1"/>
              <w:right w:val="single" w:color="1C2B45" w:sz="1"/>
            </w:tcBorders>
            <w:shd w:fill="1C2B45" w:val="clear"/>
            <w:tcMar>
              <w:top w:type="dxa" w:w="100"/>
              <w:left w:type="dxa" w:w="140"/>
              <w:bottom w:type="dxa" w:w="100"/>
              <w:right w:type="dxa" w:w="140"/>
            </w:tcMar>
          </w:tcPr>
          <w:p>
            <w:r>
              <w:rPr>
                <w:rFonts w:ascii="Arial" w:cs="Arial" w:eastAsia="Arial" w:hAnsi="Arial"/>
                <w:b/>
                <w:bCs/>
                <w:color w:val="FFFFFF"/>
                <w:sz w:val="19"/>
                <w:szCs w:val="19"/>
              </w:rPr>
              <w:t xml:space="preserve">Version</w:t>
            </w:r>
          </w:p>
        </w:tc>
        <w:tc>
          <w:tcPr>
            <w:tcW w:type="dxa" w:w="1200"/>
            <w:tcBorders>
              <w:top w:val="single" w:color="1C2B45" w:sz="1"/>
              <w:left w:val="single" w:color="1C2B45" w:sz="1"/>
              <w:bottom w:val="single" w:color="1C2B45" w:sz="1"/>
              <w:right w:val="single" w:color="1C2B45" w:sz="1"/>
            </w:tcBorders>
            <w:shd w:fill="1C2B45" w:val="clear"/>
            <w:tcMar>
              <w:top w:type="dxa" w:w="100"/>
              <w:left w:type="dxa" w:w="140"/>
              <w:bottom w:type="dxa" w:w="100"/>
              <w:right w:type="dxa" w:w="140"/>
            </w:tcMar>
          </w:tcPr>
          <w:p>
            <w:r>
              <w:rPr>
                <w:rFonts w:ascii="Arial" w:cs="Arial" w:eastAsia="Arial" w:hAnsi="Arial"/>
                <w:b/>
                <w:bCs/>
                <w:color w:val="FFFFFF"/>
                <w:sz w:val="19"/>
                <w:szCs w:val="19"/>
              </w:rPr>
              <w:t xml:space="preserve">Date</w:t>
            </w:r>
          </w:p>
        </w:tc>
        <w:tc>
          <w:tcPr>
            <w:tcW w:type="dxa" w:w="6960"/>
            <w:tcBorders>
              <w:top w:val="single" w:color="1C2B45" w:sz="1"/>
              <w:left w:val="single" w:color="1C2B45" w:sz="1"/>
              <w:bottom w:val="single" w:color="1C2B45" w:sz="1"/>
              <w:right w:val="single" w:color="1C2B45" w:sz="1"/>
            </w:tcBorders>
            <w:shd w:fill="1C2B45" w:val="clear"/>
            <w:tcMar>
              <w:top w:type="dxa" w:w="100"/>
              <w:left w:type="dxa" w:w="140"/>
              <w:bottom w:type="dxa" w:w="100"/>
              <w:right w:type="dxa" w:w="140"/>
            </w:tcMar>
          </w:tcPr>
          <w:p>
            <w:r>
              <w:rPr>
                <w:rFonts w:ascii="Arial" w:cs="Arial" w:eastAsia="Arial" w:hAnsi="Arial"/>
                <w:b/>
                <w:bCs/>
                <w:color w:val="FFFFFF"/>
                <w:sz w:val="19"/>
                <w:szCs w:val="19"/>
              </w:rPr>
              <w:t xml:space="preserve">Key Changes</w:t>
            </w:r>
          </w:p>
        </w:tc>
      </w:tr>
      <w:tr>
        <w:tc>
          <w:tcPr>
            <w:tcW w:type="dxa" w:w="12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1.0</w:t>
            </w:r>
          </w:p>
        </w:tc>
        <w:tc>
          <w:tcPr>
            <w:tcW w:type="dxa" w:w="12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May 2026</w:t>
            </w:r>
          </w:p>
        </w:tc>
        <w:tc>
          <w:tcPr>
            <w:tcW w:type="dxa" w:w="696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Initial specification.</w:t>
            </w:r>
          </w:p>
        </w:tc>
      </w:tr>
      <w:tr>
        <w:tc>
          <w:tcPr>
            <w:tcW w:type="dxa" w:w="1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2.0</w:t>
            </w:r>
          </w:p>
        </w:tc>
        <w:tc>
          <w:tcPr>
            <w:tcW w:type="dxa" w:w="1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May 2026</w:t>
            </w:r>
          </w:p>
        </w:tc>
        <w:tc>
          <w:tcPr>
            <w:tcW w:type="dxa" w:w="69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Fee calculator, outcome-based pricing, digital proposal, payment processing, quantum security, Meridian Warm brand.</w:t>
            </w:r>
          </w:p>
        </w:tc>
      </w:tr>
      <w:tr>
        <w:tc>
          <w:tcPr>
            <w:tcW w:type="dxa" w:w="12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2.1</w:t>
            </w:r>
          </w:p>
        </w:tc>
        <w:tc>
          <w:tcPr>
            <w:tcW w:type="dxa" w:w="12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May 2026</w:t>
            </w:r>
          </w:p>
        </w:tc>
        <w:tc>
          <w:tcPr>
            <w:tcW w:type="dxa" w:w="696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Insurance Broker Portal.</w:t>
            </w:r>
          </w:p>
        </w:tc>
      </w:tr>
      <w:tr>
        <w:tc>
          <w:tcPr>
            <w:tcW w:type="dxa" w:w="1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2.2</w:t>
            </w:r>
          </w:p>
        </w:tc>
        <w:tc>
          <w:tcPr>
            <w:tcW w:type="dxa" w:w="1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May 2026</w:t>
            </w:r>
          </w:p>
        </w:tc>
        <w:tc>
          <w:tcPr>
            <w:tcW w:type="dxa" w:w="69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Terms and Conditions — 14 clauses, acceptance gate, admin version control.</w:t>
            </w:r>
          </w:p>
        </w:tc>
      </w:tr>
      <w:tr>
        <w:tc>
          <w:tcPr>
            <w:tcW w:type="dxa" w:w="12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2.3</w:t>
            </w:r>
          </w:p>
        </w:tc>
        <w:tc>
          <w:tcPr>
            <w:tcW w:type="dxa" w:w="12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May 2026</w:t>
            </w:r>
          </w:p>
        </w:tc>
        <w:tc>
          <w:tcPr>
            <w:tcW w:type="dxa" w:w="696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PV Module, Due Diligence, post-acquisition pipeline, 20-layer learning with governance and rollback, 12 platform improvements.</w:t>
            </w:r>
          </w:p>
        </w:tc>
      </w:tr>
      <w:tr>
        <w:tc>
          <w:tcPr>
            <w:tcW w:type="dxa" w:w="1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2.4</w:t>
            </w:r>
          </w:p>
        </w:tc>
        <w:tc>
          <w:tcPr>
            <w:tcW w:type="dxa" w:w="1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May 2026</w:t>
            </w:r>
          </w:p>
        </w:tc>
        <w:tc>
          <w:tcPr>
            <w:tcW w:type="dxa" w:w="69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DEFINITIVE VERSION. AI Integrity Principle (platform-wide, non-negotiable). Document AI Relevance and Accuracy Verification (platform-wide, all features). Life and Personal Coach Panel (5 specialisations). Entrepreneur Module (full feature set with AI-guided building, learning rating framework, document verification, DD integration). 15 platform improvements. 32-layer learning architecture.</w:t>
            </w:r>
          </w:p>
        </w:tc>
      </w:tr>
    </w:tbl>
    <w:p>
      <w:pPr>
        <w:spacing w:after="0" w:before="0"/>
      </w:pPr>
      <w:r>
        <w:t xml:space="preserve"/>
      </w:r>
    </w:p>
    <w:p>
      <w:r>
        <w:br w:type="page"/>
      </w:r>
    </w:p>
    <w:p>
      <w:pPr>
        <w:pStyle w:val="Heading1"/>
        <w:pBdr>
          <w:bottom w:val="single" w:color="B8860B" w:sz="8" w:space="6"/>
        </w:pBdr>
        <w:spacing w:after="200" w:before="480"/>
      </w:pPr>
      <w:r>
        <w:rPr>
          <w:rFonts w:ascii="Arial" w:cs="Arial" w:eastAsia="Arial" w:hAnsi="Arial"/>
          <w:b/>
          <w:bCs/>
          <w:color w:val="1C2B45"/>
          <w:sz w:val="44"/>
          <w:szCs w:val="44"/>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B45" w:val="clear"/>
            <w:tcMar>
              <w:top w:type="dxa" w:w="260"/>
              <w:left w:type="dxa" w:w="360"/>
              <w:bottom w:type="dxa" w:w="260"/>
              <w:right w:type="dxa" w:w="360"/>
            </w:tcMar>
          </w:tcPr>
          <w:p>
            <w:pPr>
              <w:spacing w:after="80" w:before="0"/>
            </w:pPr>
            <w:r>
              <w:rPr>
                <w:rFonts w:ascii="Arial" w:cs="Arial" w:eastAsia="Arial" w:hAnsi="Arial"/>
                <w:b/>
                <w:bCs/>
                <w:color w:val="FFFFFF"/>
                <w:sz w:val="40"/>
                <w:szCs w:val="40"/>
              </w:rPr>
              <w:t xml:space="preserve">SECTION 1</w:t>
            </w:r>
          </w:p>
          <w:p>
            <w:pPr>
              <w:spacing w:after="0" w:before="0"/>
            </w:pPr>
            <w:r>
              <w:rPr>
                <w:rFonts w:ascii="Arial" w:cs="Arial" w:eastAsia="Arial" w:hAnsi="Arial"/>
                <w:i/>
                <w:iCs/>
                <w:color w:val="E8D5A0"/>
                <w:sz w:val="22"/>
                <w:szCs w:val="22"/>
              </w:rPr>
              <w:t xml:space="preserve">Executive Summary</w:t>
            </w:r>
          </w:p>
        </w:tc>
      </w:tr>
    </w:tbl>
    <w:p>
      <w:pPr>
        <w:spacing w:after="0" w:before="0"/>
      </w:pPr>
      <w:r>
        <w:t xml:space="preserve"/>
      </w:r>
    </w:p>
    <w:p>
      <w:pPr>
        <w:pStyle w:val="Heading1"/>
        <w:pBdr>
          <w:bottom w:val="single" w:color="B8860B" w:sz="8" w:space="6"/>
        </w:pBdr>
        <w:spacing w:after="200" w:before="480"/>
      </w:pPr>
      <w:r>
        <w:rPr>
          <w:rFonts w:ascii="Arial" w:cs="Arial" w:eastAsia="Arial" w:hAnsi="Arial"/>
          <w:b/>
          <w:bCs/>
          <w:color w:val="1C2B45"/>
          <w:sz w:val="44"/>
          <w:szCs w:val="44"/>
        </w:rPr>
        <w:t xml:space="preserve">1. Executive Summary</w:t>
      </w:r>
    </w:p>
    <w:p>
      <w:pPr>
        <w:spacing w:after="100" w:before="80"/>
        <w:jc w:val="left"/>
      </w:pPr>
      <w:r>
        <w:rPr>
          <w:rFonts w:ascii="Arial" w:cs="Arial" w:eastAsia="Arial" w:hAnsi="Arial"/>
          <w:b w:val="false"/>
          <w:bCs w:val="false"/>
          <w:i w:val="false"/>
          <w:iCs w:val="false"/>
          <w:color w:val="4A5568"/>
          <w:sz w:val="22"/>
          <w:szCs w:val="22"/>
        </w:rPr>
        <w:t xml:space="preserve">Future Shift Advisory is a New Zealand-based SME advisory practice. Version 2.4 is the definitive, complete platform specification incorporating all features, modules, principles, and governance frameworks.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9F6F0" w:val="clear"/>
            <w:tcMar>
              <w:top w:type="dxa" w:w="180"/>
              <w:left w:type="dxa" w:w="260"/>
              <w:bottom w:type="dxa" w:w="180"/>
              <w:right w:type="dxa" w:w="260"/>
            </w:tcMar>
          </w:tcPr>
          <w:p>
            <w:pPr>
              <w:spacing w:after="40" w:before="40"/>
            </w:pPr>
            <w:r>
              <w:rPr>
                <w:rFonts w:ascii="Arial" w:cs="Arial" w:eastAsia="Arial" w:hAnsi="Arial"/>
                <w:b w:val="false"/>
                <w:bCs w:val="false"/>
                <w:i w:val="false"/>
                <w:iCs w:val="false"/>
                <w:color w:val="1C2B45"/>
                <w:sz w:val="21"/>
                <w:szCs w:val="21"/>
              </w:rPr>
              <w:t xml:space="preserve">AI Integrity — Honest, evidence-based, accurate, free from bias, truthful. Non-negotiable. Platform-wide.</w:t>
            </w:r>
          </w:p>
          <w:p>
            <w:pPr>
              <w:spacing w:after="40" w:before="40"/>
            </w:pPr>
            <w:r>
              <w:rPr>
                <w:rFonts w:ascii="Arial" w:cs="Arial" w:eastAsia="Arial" w:hAnsi="Arial"/>
                <w:b w:val="false"/>
                <w:bCs w:val="false"/>
                <w:i w:val="false"/>
                <w:iCs w:val="false"/>
                <w:color w:val="1C2B45"/>
                <w:sz w:val="21"/>
                <w:szCs w:val="21"/>
              </w:rPr>
              <w:t xml:space="preserve">Document Verification — AI relevance and accuracy review on every document across every feature.</w:t>
            </w:r>
          </w:p>
          <w:p>
            <w:pPr>
              <w:spacing w:after="40" w:before="40"/>
            </w:pPr>
            <w:r>
              <w:rPr>
                <w:rFonts w:ascii="Arial" w:cs="Arial" w:eastAsia="Arial" w:hAnsi="Arial"/>
                <w:b w:val="false"/>
                <w:bCs w:val="false"/>
                <w:i w:val="false"/>
                <w:iCs w:val="false"/>
                <w:color w:val="1C2B45"/>
                <w:sz w:val="21"/>
                <w:szCs w:val="21"/>
              </w:rPr>
              <w:t xml:space="preserve">Four Engagement Types — Standard Advisory, Due Diligence, Post-Acquisition Advisory, Entrepreneur Module.</w:t>
            </w:r>
          </w:p>
          <w:p>
            <w:pPr>
              <w:spacing w:after="40" w:before="40"/>
            </w:pPr>
            <w:r>
              <w:rPr>
                <w:rFonts w:ascii="Arial" w:cs="Arial" w:eastAsia="Arial" w:hAnsi="Arial"/>
                <w:b w:val="false"/>
                <w:bCs w:val="false"/>
                <w:i w:val="false"/>
                <w:iCs w:val="false"/>
                <w:color w:val="1C2B45"/>
                <w:sz w:val="21"/>
                <w:szCs w:val="21"/>
              </w:rPr>
              <w:t xml:space="preserve">Coach Panel — 5 specialisations, admin-managed vetting, advisor-initiated referral, mutual referral model.</w:t>
            </w:r>
          </w:p>
          <w:p>
            <w:pPr>
              <w:spacing w:after="40" w:before="40"/>
            </w:pPr>
            <w:r>
              <w:rPr>
                <w:rFonts w:ascii="Arial" w:cs="Arial" w:eastAsia="Arial" w:hAnsi="Arial"/>
                <w:b w:val="false"/>
                <w:bCs w:val="false"/>
                <w:i w:val="false"/>
                <w:iCs w:val="false"/>
                <w:color w:val="1C2B45"/>
                <w:sz w:val="21"/>
                <w:szCs w:val="21"/>
              </w:rPr>
              <w:t xml:space="preserve">Broker Panel — Vetted FSP panel, structured referral ecosystem, reverse referrals.</w:t>
            </w:r>
          </w:p>
          <w:p>
            <w:pPr>
              <w:spacing w:after="40" w:before="40"/>
            </w:pPr>
            <w:r>
              <w:rPr>
                <w:rFonts w:ascii="Arial" w:cs="Arial" w:eastAsia="Arial" w:hAnsi="Arial"/>
                <w:b w:val="false"/>
                <w:bCs w:val="false"/>
                <w:i w:val="false"/>
                <w:iCs w:val="false"/>
                <w:color w:val="1C2B45"/>
                <w:sz w:val="21"/>
                <w:szCs w:val="21"/>
              </w:rPr>
              <w:t xml:space="preserve">Entrepreneur Module — AI-guided plan building, learning rating framework, advisory conversion pipeline.</w:t>
            </w:r>
          </w:p>
          <w:p>
            <w:pPr>
              <w:spacing w:after="40" w:before="40"/>
            </w:pPr>
            <w:r>
              <w:rPr>
                <w:rFonts w:ascii="Arial" w:cs="Arial" w:eastAsia="Arial" w:hAnsi="Arial"/>
                <w:b w:val="false"/>
                <w:bCs w:val="false"/>
                <w:i w:val="false"/>
                <w:iCs w:val="false"/>
                <w:color w:val="1C2B45"/>
                <w:sz w:val="21"/>
                <w:szCs w:val="21"/>
              </w:rPr>
              <w:t xml:space="preserve">PV Module — Business valuation, improvement opportunity, risk cost PV, 4 discount rate methods.</w:t>
            </w:r>
          </w:p>
          <w:p>
            <w:pPr>
              <w:spacing w:after="40" w:before="40"/>
            </w:pPr>
            <w:r>
              <w:rPr>
                <w:rFonts w:ascii="Arial" w:cs="Arial" w:eastAsia="Arial" w:hAnsi="Arial"/>
                <w:b w:val="false"/>
                <w:bCs w:val="false"/>
                <w:i w:val="false"/>
                <w:iCs w:val="false"/>
                <w:color w:val="1C2B45"/>
                <w:sz w:val="21"/>
                <w:szCs w:val="21"/>
              </w:rPr>
              <w:t xml:space="preserve">Due Diligence — 8 workstreams, 3 valuation methods, virtual data room, business plan builder during DD.</w:t>
            </w:r>
          </w:p>
          <w:p>
            <w:pPr>
              <w:spacing w:after="40" w:before="40"/>
            </w:pPr>
            <w:r>
              <w:rPr>
                <w:rFonts w:ascii="Arial" w:cs="Arial" w:eastAsia="Arial" w:hAnsi="Arial"/>
                <w:b w:val="false"/>
                <w:bCs w:val="false"/>
                <w:i w:val="false"/>
                <w:iCs w:val="false"/>
                <w:color w:val="1C2B45"/>
                <w:sz w:val="21"/>
                <w:szCs w:val="21"/>
              </w:rPr>
              <w:t xml:space="preserve">32 Governed Learning Layers — scheduled cadence, admin approval, full audit trail, rollback capability.</w:t>
            </w:r>
          </w:p>
          <w:p>
            <w:pPr>
              <w:spacing w:after="40" w:before="40"/>
            </w:pPr>
            <w:r>
              <w:rPr>
                <w:rFonts w:ascii="Arial" w:cs="Arial" w:eastAsia="Arial" w:hAnsi="Arial"/>
                <w:b w:val="false"/>
                <w:bCs w:val="false"/>
                <w:i w:val="false"/>
                <w:iCs w:val="false"/>
                <w:color w:val="1C2B45"/>
                <w:sz w:val="21"/>
                <w:szCs w:val="21"/>
              </w:rPr>
              <w:t xml:space="preserve">Quantum-Resilient Security — universal standards, all user types, no exceptions.</w:t>
            </w:r>
          </w:p>
          <w:p>
            <w:pPr>
              <w:spacing w:after="40" w:before="40"/>
            </w:pPr>
            <w:r>
              <w:rPr>
                <w:rFonts w:ascii="Arial" w:cs="Arial" w:eastAsia="Arial" w:hAnsi="Arial"/>
                <w:b w:val="false"/>
                <w:bCs w:val="false"/>
                <w:i w:val="false"/>
                <w:iCs w:val="false"/>
                <w:color w:val="1C2B45"/>
                <w:sz w:val="21"/>
                <w:szCs w:val="21"/>
              </w:rPr>
              <w:t xml:space="preserve">Build — Claude Code, full IP ownership, Hamilton New Zealand.</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B45" w:val="clear"/>
            <w:tcMar>
              <w:top w:type="dxa" w:w="260"/>
              <w:left w:type="dxa" w:w="360"/>
              <w:bottom w:type="dxa" w:w="260"/>
              <w:right w:type="dxa" w:w="360"/>
            </w:tcMar>
          </w:tcPr>
          <w:p>
            <w:pPr>
              <w:spacing w:after="80" w:before="0"/>
            </w:pPr>
            <w:r>
              <w:rPr>
                <w:rFonts w:ascii="Arial" w:cs="Arial" w:eastAsia="Arial" w:hAnsi="Arial"/>
                <w:b/>
                <w:bCs/>
                <w:color w:val="FFFFFF"/>
                <w:sz w:val="40"/>
                <w:szCs w:val="40"/>
              </w:rPr>
              <w:t xml:space="preserve">SECTION 2</w:t>
            </w:r>
          </w:p>
          <w:p>
            <w:pPr>
              <w:spacing w:after="0" w:before="0"/>
            </w:pPr>
            <w:r>
              <w:rPr>
                <w:rFonts w:ascii="Arial" w:cs="Arial" w:eastAsia="Arial" w:hAnsi="Arial"/>
                <w:i/>
                <w:iCs/>
                <w:color w:val="E8D5A0"/>
                <w:sz w:val="22"/>
                <w:szCs w:val="22"/>
              </w:rPr>
              <w:t xml:space="preserve">Platform Overview</w:t>
            </w:r>
          </w:p>
        </w:tc>
      </w:tr>
    </w:tbl>
    <w:p>
      <w:pPr>
        <w:spacing w:after="0" w:before="0"/>
      </w:pPr>
      <w:r>
        <w:t xml:space="preserve"/>
      </w:r>
    </w:p>
    <w:p>
      <w:pPr>
        <w:pStyle w:val="Heading1"/>
        <w:pBdr>
          <w:bottom w:val="single" w:color="B8860B" w:sz="8" w:space="6"/>
        </w:pBdr>
        <w:spacing w:after="200" w:before="480"/>
      </w:pPr>
      <w:r>
        <w:rPr>
          <w:rFonts w:ascii="Arial" w:cs="Arial" w:eastAsia="Arial" w:hAnsi="Arial"/>
          <w:b/>
          <w:bCs/>
          <w:color w:val="1C2B45"/>
          <w:sz w:val="44"/>
          <w:szCs w:val="44"/>
        </w:rPr>
        <w:t xml:space="preserve">2. Platform Overview</w:t>
      </w:r>
    </w:p>
    <w:p>
      <w:pPr>
        <w:pStyle w:val="Heading2"/>
        <w:spacing w:after="160" w:before="360"/>
      </w:pPr>
      <w:r>
        <w:rPr>
          <w:rFonts w:ascii="Arial" w:cs="Arial" w:eastAsia="Arial" w:hAnsi="Arial"/>
          <w:b/>
          <w:bCs/>
          <w:color w:val="0D7A7A"/>
          <w:sz w:val="34"/>
          <w:szCs w:val="34"/>
        </w:rPr>
        <w:t xml:space="preserve">2.1 Four Engagement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Standard Advisory</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Established SMEs. Full analysis, reporting, proposals, implementation tracking.</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Due Diligence</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Client acquiring a business. 8 workstreams, business plan builder during DD, post-acquisition pipeline.</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Post-Acquisition Advisory</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New owner of acquired business. Intelligent gap questionnaire from DD data. Auto-generated proposal.</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Entrepreneur Module</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Pre-revenue startups. AI-guided plan builder, learning rating framework, advisory conversion pipeline.</w:t>
            </w:r>
          </w:p>
        </w:tc>
      </w:tr>
    </w:tbl>
    <w:p>
      <w:pPr>
        <w:spacing w:after="0" w:before="0"/>
      </w:pPr>
      <w:r>
        <w:t xml:space="preserve"/>
      </w:r>
    </w:p>
    <w:p>
      <w:pPr>
        <w:pStyle w:val="Heading2"/>
        <w:spacing w:after="160" w:before="360"/>
      </w:pPr>
      <w:r>
        <w:rPr>
          <w:rFonts w:ascii="Arial" w:cs="Arial" w:eastAsia="Arial" w:hAnsi="Arial"/>
          <w:b/>
          <w:bCs/>
          <w:color w:val="0D7A7A"/>
          <w:sz w:val="34"/>
          <w:szCs w:val="34"/>
        </w:rPr>
        <w:t xml:space="preserve">2.2 Six-Layer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Layer 1 — Client Portal</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Questionnaires, document upload, goal tracking, milestones, proposal sign-off, payment, consent management, T&amp;C gate.</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Layer 2 — Advisor Command Centre</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All analysis, reports, proposals, payments, broker/coach referrals, T&amp;C, DD, PV, learning governance, practice management, entrepreneur assessment.</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Layer 3 — Broker and Coach Portals</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Separate portals, identical architecture, distinct permissions and agreements.</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Layer 4 — DD Virtual Data Room</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Workstream-organised. Target business guest upload. Business plan builder integration.</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Layer 5 — Entrepreneur Portal</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Readiness assessment, idea validation, business plan builder, rating view, revision management, advisory conversion.</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Layer 6 — Intelligence Engine</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AI analysis, 32-layer learning, NZ economic indicators, government APIs, accounting integrations, fee calculator, PV engine, DD analysis, document verification, rating framework engine, benchmarking, legislative monitoring.</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B45" w:val="clear"/>
            <w:tcMar>
              <w:top w:type="dxa" w:w="260"/>
              <w:left w:type="dxa" w:w="360"/>
              <w:bottom w:type="dxa" w:w="260"/>
              <w:right w:type="dxa" w:w="360"/>
            </w:tcMar>
          </w:tcPr>
          <w:p>
            <w:pPr>
              <w:spacing w:after="80" w:before="0"/>
            </w:pPr>
            <w:r>
              <w:rPr>
                <w:rFonts w:ascii="Arial" w:cs="Arial" w:eastAsia="Arial" w:hAnsi="Arial"/>
                <w:b/>
                <w:bCs/>
                <w:color w:val="FFFFFF"/>
                <w:sz w:val="40"/>
                <w:szCs w:val="40"/>
              </w:rPr>
              <w:t xml:space="preserve">SECTION 3</w:t>
            </w:r>
          </w:p>
          <w:p>
            <w:pPr>
              <w:spacing w:after="0" w:before="0"/>
            </w:pPr>
            <w:r>
              <w:rPr>
                <w:rFonts w:ascii="Arial" w:cs="Arial" w:eastAsia="Arial" w:hAnsi="Arial"/>
                <w:i/>
                <w:iCs/>
                <w:color w:val="E8D5A0"/>
                <w:sz w:val="22"/>
                <w:szCs w:val="22"/>
              </w:rPr>
              <w:t xml:space="preserve">AI Integrity Principle — Critical, Non-Negotiable</w:t>
            </w:r>
          </w:p>
        </w:tc>
      </w:tr>
    </w:tbl>
    <w:p>
      <w:pPr>
        <w:spacing w:after="0" w:before="0"/>
      </w:pPr>
      <w:r>
        <w:t xml:space="preserve"/>
      </w:r>
    </w:p>
    <w:p>
      <w:pPr>
        <w:pStyle w:val="Heading1"/>
        <w:pBdr>
          <w:bottom w:val="single" w:color="B8860B" w:sz="8" w:space="6"/>
        </w:pBdr>
        <w:spacing w:after="200" w:before="480"/>
      </w:pPr>
      <w:r>
        <w:rPr>
          <w:rFonts w:ascii="Arial" w:cs="Arial" w:eastAsia="Arial" w:hAnsi="Arial"/>
          <w:b/>
          <w:bCs/>
          <w:color w:val="1C2B45"/>
          <w:sz w:val="44"/>
          <w:szCs w:val="44"/>
        </w:rPr>
        <w:t xml:space="preserve">3. AI Integrity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
              <w:left w:val="single" w:color="8B1A1A" w:sz="1"/>
              <w:bottom w:val="single" w:color="8B1A1A" w:sz="1"/>
              <w:right w:val="single" w:color="8B1A1A" w:sz="1"/>
            </w:tcBorders>
            <w:shd w:fill="FDF0F0" w:val="clear"/>
            <w:tcMar>
              <w:top w:type="dxa" w:w="80"/>
              <w:left w:type="dxa" w:w="200"/>
              <w:bottom w:type="dxa" w:w="80"/>
              <w:right w:type="dxa" w:w="200"/>
            </w:tcMar>
          </w:tcPr>
          <w:p>
            <w:pPr>
              <w:spacing w:after="0" w:before="0"/>
            </w:pPr>
            <w:r>
              <w:rPr>
                <w:rFonts w:ascii="Arial" w:cs="Arial" w:eastAsia="Arial" w:hAnsi="Arial"/>
                <w:b/>
                <w:bCs/>
                <w:color w:val="8B1A1A"/>
                <w:sz w:val="20"/>
                <w:szCs w:val="20"/>
              </w:rPr>
              <w:t xml:space="preserve">CRITICAL — NON-NEGOTIABLE PLATFORM PRINCIPLE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
              <w:left w:val="single" w:color="8B1A1A" w:sz="1"/>
              <w:bottom w:val="single" w:color="8B1A1A" w:sz="1"/>
              <w:right w:val="single" w:color="8B1A1A" w:sz="1"/>
            </w:tcBorders>
            <w:shd w:fill="FDF0F0" w:val="clear"/>
            <w:tcMar>
              <w:top w:type="dxa" w:w="180"/>
              <w:left w:type="dxa" w:w="260"/>
              <w:bottom w:type="dxa" w:w="180"/>
              <w:right w:type="dxa" w:w="260"/>
            </w:tcMar>
          </w:tcPr>
          <w:p>
            <w:pPr>
              <w:spacing w:after="40" w:before="40"/>
            </w:pPr>
            <w:r>
              <w:rPr>
                <w:rFonts w:ascii="Arial" w:cs="Arial" w:eastAsia="Arial" w:hAnsi="Arial"/>
                <w:b w:val="false"/>
                <w:bCs w:val="false"/>
                <w:i w:val="false"/>
                <w:iCs w:val="false"/>
                <w:color w:val="8B1A1A"/>
                <w:sz w:val="21"/>
                <w:szCs w:val="21"/>
              </w:rPr>
              <w:t xml:space="preserve">GOVERNING STATEMENT:</w:t>
            </w:r>
          </w:p>
          <w:p>
            <w:pPr>
              <w:spacing w:after="40" w:before="40"/>
            </w:pPr>
            <w:r>
              <w:rPr>
                <w:rFonts w:ascii="Arial" w:cs="Arial" w:eastAsia="Arial" w:hAnsi="Arial"/>
                <w:b w:val="false"/>
                <w:bCs w:val="false"/>
                <w:i w:val="false"/>
                <w:iCs w:val="false"/>
                <w:color w:val="8B1A1A"/>
                <w:sz w:val="21"/>
                <w:szCs w:val="21"/>
              </w:rPr>
              <w:t xml:space="preserve">"Every AI output on the Future Shift Advisory platform — analysis, guidance, scoring, recommendation,</w:t>
            </w:r>
          </w:p>
          <w:p>
            <w:pPr>
              <w:spacing w:after="40" w:before="40"/>
            </w:pPr>
            <w:r>
              <w:rPr>
                <w:rFonts w:ascii="Arial" w:cs="Arial" w:eastAsia="Arial" w:hAnsi="Arial"/>
                <w:b w:val="false"/>
                <w:bCs w:val="false"/>
                <w:i w:val="false"/>
                <w:iCs w:val="false"/>
                <w:color w:val="8B1A1A"/>
                <w:sz w:val="21"/>
                <w:szCs w:val="21"/>
              </w:rPr>
              <w:t xml:space="preserve">document review, or resource — must be honest, evidence-based, accurate, free from bias, and truthful.</w:t>
            </w:r>
          </w:p>
          <w:p>
            <w:pPr>
              <w:spacing w:after="40" w:before="40"/>
            </w:pPr>
            <w:r>
              <w:rPr>
                <w:rFonts w:ascii="Arial" w:cs="Arial" w:eastAsia="Arial" w:hAnsi="Arial"/>
                <w:b w:val="false"/>
                <w:bCs w:val="false"/>
                <w:i w:val="false"/>
                <w:iCs w:val="false"/>
                <w:color w:val="8B1A1A"/>
                <w:sz w:val="21"/>
                <w:szCs w:val="21"/>
              </w:rPr>
              <w:t xml:space="preserve">The reputation of Future Shift Advisory rests on the quality and integrity of the advice this platform provides.</w:t>
            </w:r>
          </w:p>
          <w:p>
            <w:pPr>
              <w:spacing w:after="40" w:before="40"/>
            </w:pPr>
            <w:r>
              <w:rPr>
                <w:rFonts w:ascii="Arial" w:cs="Arial" w:eastAsia="Arial" w:hAnsi="Arial"/>
                <w:b w:val="false"/>
                <w:bCs w:val="false"/>
                <w:i w:val="false"/>
                <w:iCs w:val="false"/>
                <w:color w:val="8B1A1A"/>
                <w:sz w:val="21"/>
                <w:szCs w:val="21"/>
              </w:rPr>
              <w:t xml:space="preserve">An AI that flatters, inflates, or misleads — even with good intentions — causes harm to the people who rely on it</w:t>
            </w:r>
          </w:p>
          <w:p>
            <w:pPr>
              <w:spacing w:after="40" w:before="40"/>
            </w:pPr>
            <w:r>
              <w:rPr>
                <w:rFonts w:ascii="Arial" w:cs="Arial" w:eastAsia="Arial" w:hAnsi="Arial"/>
                <w:b w:val="false"/>
                <w:bCs w:val="false"/>
                <w:i w:val="false"/>
                <w:iCs w:val="false"/>
                <w:color w:val="8B1A1A"/>
                <w:sz w:val="21"/>
                <w:szCs w:val="21"/>
              </w:rPr>
              <w:t xml:space="preserve">and damage to the practice that cannot be undone.</w:t>
            </w:r>
          </w:p>
          <w:p>
            <w:pPr>
              <w:spacing w:after="40" w:before="40"/>
            </w:pPr>
            <w:r>
              <w:rPr>
                <w:rFonts w:ascii="Arial" w:cs="Arial" w:eastAsia="Arial" w:hAnsi="Arial"/>
                <w:b w:val="false"/>
                <w:bCs w:val="false"/>
                <w:i w:val="false"/>
                <w:iCs w:val="false"/>
                <w:color w:val="8B1A1A"/>
                <w:sz w:val="21"/>
                <w:szCs w:val="21"/>
              </w:rPr>
              <w:t xml:space="preserve">Accuracy and honesty are not in conflict with care and encouragement. The platform delivers both."</w:t>
            </w:r>
          </w:p>
        </w:tc>
      </w:tr>
    </w:tbl>
    <w:p>
      <w:pPr>
        <w:spacing w:after="0" w:before="0"/>
      </w:pPr>
      <w:r>
        <w:t xml:space="preserve"/>
      </w:r>
    </w:p>
    <w:p>
      <w:pPr>
        <w:pStyle w:val="Heading2"/>
        <w:spacing w:after="160" w:before="360"/>
      </w:pPr>
      <w:r>
        <w:rPr>
          <w:rFonts w:ascii="Arial" w:cs="Arial" w:eastAsia="Arial" w:hAnsi="Arial"/>
          <w:b/>
          <w:bCs/>
          <w:color w:val="0D7A7A"/>
          <w:sz w:val="34"/>
          <w:szCs w:val="34"/>
        </w:rPr>
        <w:t xml:space="preserve">3.1 The Five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Honest</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Problems, weaknesses, and low scores are stated clearly. Kindness in delivery does not mean dishonesty in content.</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Evidence-Based</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Every finding, score, and recommendation references its source. AI does not assert — it evidences. Source attribution on every AI guidance statement.</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Accurate</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NZ-specific, industry-specific, current. Regulatory content updated immediately when NZ law changes.</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Free from Bias</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No favouring of industries, business models, or profiles. Bias detection layer monitors all AI outputs.</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Truthful</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The AI does not tell users what they want to hear. It tells them what the evidence says.</w:t>
            </w:r>
          </w:p>
        </w:tc>
      </w:tr>
    </w:tbl>
    <w:p>
      <w:pPr>
        <w:spacing w:after="0" w:before="0"/>
      </w:pPr>
      <w:r>
        <w:t xml:space="preserve"/>
      </w:r>
    </w:p>
    <w:p>
      <w:pPr>
        <w:pStyle w:val="Heading2"/>
        <w:spacing w:after="160" w:before="360"/>
      </w:pPr>
      <w:r>
        <w:rPr>
          <w:rFonts w:ascii="Arial" w:cs="Arial" w:eastAsia="Arial" w:hAnsi="Arial"/>
          <w:b/>
          <w:bCs/>
          <w:color w:val="0D7A7A"/>
          <w:sz w:val="34"/>
          <w:szCs w:val="34"/>
        </w:rPr>
        <w:t xml:space="preserve">3.2 Structural Safeguards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Source Attribution</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Every AI guidance statement cites its basis. Never generic assertions.</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No Score Inflation</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Systematic upward drift triggers a learning update flag for admin review.</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Bias Detection Layer</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AI monitors its own outputs for systematic patterns. Detected bias enters the learning update queue.</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Mandatory Uncertainty Disclosure</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Insufficient data is disclosed explicitly — not hidden behind a false confidence.</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No Warning Suppression</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Viability alerts, risk flags, compliance gaps, and document discrepancies are never suppressed.</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Document Accuracy Verification</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Every uploaded document cross-referenced against associated claims. See Section 9.</w:t>
            </w:r>
          </w:p>
        </w:tc>
      </w:tr>
    </w:tbl>
    <w:p>
      <w:pPr>
        <w:spacing w:after="0" w:before="0"/>
      </w:pPr>
      <w:r>
        <w:t xml:space="preserve"/>
      </w:r>
    </w:p>
    <w:p>
      <w:pPr>
        <w:pStyle w:val="Heading2"/>
        <w:spacing w:after="160" w:before="360"/>
      </w:pPr>
      <w:r>
        <w:rPr>
          <w:rFonts w:ascii="Arial" w:cs="Arial" w:eastAsia="Arial" w:hAnsi="Arial"/>
          <w:b/>
          <w:bCs/>
          <w:color w:val="0D7A7A"/>
          <w:sz w:val="34"/>
          <w:szCs w:val="34"/>
        </w:rPr>
        <w:t xml:space="preserve">3.3 Special Application — Entrepreneur Module</w:t>
      </w:r>
    </w:p>
    <w:p>
      <w:pPr>
        <w:pBdr>
          <w:left w:val="single" w:color="8B1A1A" w:sz="14" w:space="8"/>
        </w:pBdr>
        <w:spacing w:after="100" w:before="100"/>
        <w:ind w:left="360"/>
      </w:pPr>
      <w:r>
        <w:rPr>
          <w:rFonts w:ascii="Arial" w:cs="Arial" w:eastAsia="Arial" w:hAnsi="Arial"/>
          <w:b/>
          <w:bCs/>
          <w:i w:val="false"/>
          <w:iCs w:val="false"/>
          <w:color w:val="8B1A1A"/>
          <w:sz w:val="20"/>
          <w:szCs w:val="20"/>
        </w:rPr>
        <w:t xml:space="preserve">Entrepreneurs are often making life-defining decisions. Many have no prior business experience. If the AI inflates their readiness or misrepresents plan quality, FSA has misled a vulnerable person at a critical life decision point. The human cost is real. The reputational cost to FSA is severe. This principle is most critical here.</w:t>
      </w:r>
    </w:p>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B45" w:val="clear"/>
            <w:tcMar>
              <w:top w:type="dxa" w:w="260"/>
              <w:left w:type="dxa" w:w="360"/>
              <w:bottom w:type="dxa" w:w="260"/>
              <w:right w:type="dxa" w:w="360"/>
            </w:tcMar>
          </w:tcPr>
          <w:p>
            <w:pPr>
              <w:spacing w:after="80" w:before="0"/>
            </w:pPr>
            <w:r>
              <w:rPr>
                <w:rFonts w:ascii="Arial" w:cs="Arial" w:eastAsia="Arial" w:hAnsi="Arial"/>
                <w:b/>
                <w:bCs/>
                <w:color w:val="FFFFFF"/>
                <w:sz w:val="40"/>
                <w:szCs w:val="40"/>
              </w:rPr>
              <w:t xml:space="preserve">SECTION 4</w:t>
            </w:r>
          </w:p>
          <w:p>
            <w:pPr>
              <w:spacing w:after="0" w:before="0"/>
            </w:pPr>
            <w:r>
              <w:rPr>
                <w:rFonts w:ascii="Arial" w:cs="Arial" w:eastAsia="Arial" w:hAnsi="Arial"/>
                <w:i/>
                <w:iCs/>
                <w:color w:val="E8D5A0"/>
                <w:sz w:val="22"/>
                <w:szCs w:val="22"/>
              </w:rPr>
              <w:t xml:space="preserve">Security and Compliance</w:t>
            </w:r>
          </w:p>
        </w:tc>
      </w:tr>
    </w:tbl>
    <w:p>
      <w:pPr>
        <w:spacing w:after="0" w:before="0"/>
      </w:pPr>
      <w:r>
        <w:t xml:space="preserve"/>
      </w:r>
    </w:p>
    <w:p>
      <w:pPr>
        <w:pStyle w:val="Heading1"/>
        <w:pBdr>
          <w:bottom w:val="single" w:color="B8860B" w:sz="8" w:space="6"/>
        </w:pBdr>
        <w:spacing w:after="200" w:before="480"/>
      </w:pPr>
      <w:r>
        <w:rPr>
          <w:rFonts w:ascii="Arial" w:cs="Arial" w:eastAsia="Arial" w:hAnsi="Arial"/>
          <w:b/>
          <w:bCs/>
          <w:color w:val="1C2B45"/>
          <w:sz w:val="44"/>
          <w:szCs w:val="44"/>
        </w:rPr>
        <w:t xml:space="preserve">4. Security and Compliance</w:t>
      </w:r>
    </w:p>
    <w:p>
      <w:pPr>
        <w:pStyle w:val="Heading2"/>
        <w:spacing w:after="160" w:before="360"/>
      </w:pPr>
      <w:r>
        <w:rPr>
          <w:rFonts w:ascii="Arial" w:cs="Arial" w:eastAsia="Arial" w:hAnsi="Arial"/>
          <w:b/>
          <w:bCs/>
          <w:color w:val="0D7A7A"/>
          <w:sz w:val="34"/>
          <w:szCs w:val="34"/>
        </w:rPr>
        <w:t xml:space="preserve">4.1 Universal Security — All User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MFA</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Mandatory for all user types without exception. Clients, advisors, brokers, coaches, entrepreneurs. DD guests: one-time link, no account.</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Access Model</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Invite-only for all user types. No self-registration of any kind.</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Encryption</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Post-quantum: CRYSTALS-Kyber (FIPS 203) key encapsulation, CRYSTALS-Dilithium (FIPS 204) digital signatures. TLS 1.3 in transit. AES-256 at rest.</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Key Management</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Hardware Security Module (HSM). Keys never in software memory. Scheduled rotation.</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File Scanning</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Every uploaded file scanned for malware before storage, regardless of uploader type. No exceptions.</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Session Management</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Configurable timeout per user type. Auto-logout. Step-up MFA on risk signals.</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Zero-Trust Architecture</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API-layer role enforcement. Row-level database security per client. Every inter-service call authenticated.</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Immutable Audit Trail</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Every action by every user logged: timestamp, user, role, action, affected record, IP, device, before/after values.</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T&amp;C Gate</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Mandatory accept/decline for all user types before any platform access. No exceptions.</w:t>
            </w:r>
          </w:p>
        </w:tc>
      </w:tr>
    </w:tbl>
    <w:p>
      <w:pPr>
        <w:spacing w:after="0" w:before="0"/>
      </w:pPr>
      <w:r>
        <w:t xml:space="preserve"/>
      </w:r>
    </w:p>
    <w:p>
      <w:pPr>
        <w:pStyle w:val="Heading2"/>
        <w:spacing w:after="160" w:before="360"/>
      </w:pPr>
      <w:r>
        <w:rPr>
          <w:rFonts w:ascii="Arial" w:cs="Arial" w:eastAsia="Arial" w:hAnsi="Arial"/>
          <w:b/>
          <w:bCs/>
          <w:color w:val="0D7A7A"/>
          <w:sz w:val="34"/>
          <w:szCs w:val="34"/>
        </w:rPr>
        <w:t xml:space="preserve">4.2 API Resilience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Retry Logic</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3 attempts with exponential backoff before failure declared.</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Graceful Degradation</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Cached data used with timestamp. Clear user message — never a raw error.</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Payment Failover</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Primary gateway fails: secondary attempted automatically. Both failures logged.</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Admin Health Dashboard</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Real-time API status per integration: Green/Amber/Red. Alert on 30+ min unavailability.</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B45" w:val="clear"/>
            <w:tcMar>
              <w:top w:type="dxa" w:w="260"/>
              <w:left w:type="dxa" w:w="360"/>
              <w:bottom w:type="dxa" w:w="260"/>
              <w:right w:type="dxa" w:w="360"/>
            </w:tcMar>
          </w:tcPr>
          <w:p>
            <w:pPr>
              <w:spacing w:after="80" w:before="0"/>
            </w:pPr>
            <w:r>
              <w:rPr>
                <w:rFonts w:ascii="Arial" w:cs="Arial" w:eastAsia="Arial" w:hAnsi="Arial"/>
                <w:b/>
                <w:bCs/>
                <w:color w:val="FFFFFF"/>
                <w:sz w:val="40"/>
                <w:szCs w:val="40"/>
              </w:rPr>
              <w:t xml:space="preserve">SECTION 5</w:t>
            </w:r>
          </w:p>
          <w:p>
            <w:pPr>
              <w:spacing w:after="0" w:before="0"/>
            </w:pPr>
            <w:r>
              <w:rPr>
                <w:rFonts w:ascii="Arial" w:cs="Arial" w:eastAsia="Arial" w:hAnsi="Arial"/>
                <w:i/>
                <w:iCs/>
                <w:color w:val="E8D5A0"/>
                <w:sz w:val="22"/>
                <w:szCs w:val="22"/>
              </w:rPr>
              <w:t xml:space="preserve">User Roles and Permissions</w:t>
            </w:r>
          </w:p>
        </w:tc>
      </w:tr>
    </w:tbl>
    <w:p>
      <w:pPr>
        <w:spacing w:after="0" w:before="0"/>
      </w:pPr>
      <w:r>
        <w:t xml:space="preserve"/>
      </w:r>
    </w:p>
    <w:p>
      <w:pPr>
        <w:pStyle w:val="Heading1"/>
        <w:pBdr>
          <w:bottom w:val="single" w:color="B8860B" w:sz="8" w:space="6"/>
        </w:pBdr>
        <w:spacing w:after="200" w:before="480"/>
      </w:pPr>
      <w:r>
        <w:rPr>
          <w:rFonts w:ascii="Arial" w:cs="Arial" w:eastAsia="Arial" w:hAnsi="Arial"/>
          <w:b/>
          <w:bCs/>
          <w:color w:val="1C2B45"/>
          <w:sz w:val="44"/>
          <w:szCs w:val="44"/>
        </w:rPr>
        <w:t xml:space="preserve">5. User Roles and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Super Admin</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Full platform access. All clients, advisors, brokers, coaches, entrepreneurs, settings, T&amp;C, learning updates.</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Advisor</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Full access to assigned clients and entrepreneurs. All analysis, reports, proposals, payments, referrals, DD, PV, assessments.</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Junior Advisor / Analyst</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View and draft only. Cannot publish, release proposals, manage payments, send referrals, or approve learning updates.</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Entrepreneur Mentor</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New in V2.4. Mentors entrepreneurs and conducts business plan assessments. No access to advisory analysis modules, client financial data, or payment management.</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Client — Primary Contact</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Full portal access including DD view, proposal sign-off, payment authority, consent management.</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Client — Team Member</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Access to specific modules as granted by Primary Contact or advisor.</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Entrepreneur</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Entrepreneur portal only. Business plan builder, assessments, documents, progress, revision submissions.</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Insurance Broker</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Broker portal only. Profile, referrals, status, reverse referrals, Panel Agreement.</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Life / Personal Coach</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Coach portal only. Profile, referrals, status, reverse referrals, Coach Panel Agreement.</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DD Guest (Target Business)</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Time-limited upload-only access to specified DD workstream folder. No account, no login, no viewing.</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B45" w:val="clear"/>
            <w:tcMar>
              <w:top w:type="dxa" w:w="260"/>
              <w:left w:type="dxa" w:w="360"/>
              <w:bottom w:type="dxa" w:w="260"/>
              <w:right w:type="dxa" w:w="360"/>
            </w:tcMar>
          </w:tcPr>
          <w:p>
            <w:pPr>
              <w:spacing w:after="80" w:before="0"/>
            </w:pPr>
            <w:r>
              <w:rPr>
                <w:rFonts w:ascii="Arial" w:cs="Arial" w:eastAsia="Arial" w:hAnsi="Arial"/>
                <w:b/>
                <w:bCs/>
                <w:color w:val="FFFFFF"/>
                <w:sz w:val="40"/>
                <w:szCs w:val="40"/>
              </w:rPr>
              <w:t xml:space="preserve">SECTION 6</w:t>
            </w:r>
          </w:p>
          <w:p>
            <w:pPr>
              <w:spacing w:after="0" w:before="0"/>
            </w:pPr>
            <w:r>
              <w:rPr>
                <w:rFonts w:ascii="Arial" w:cs="Arial" w:eastAsia="Arial" w:hAnsi="Arial"/>
                <w:i/>
                <w:iCs/>
                <w:color w:val="E8D5A0"/>
                <w:sz w:val="22"/>
                <w:szCs w:val="22"/>
              </w:rPr>
              <w:t xml:space="preserve">Client Management</w:t>
            </w:r>
          </w:p>
        </w:tc>
      </w:tr>
    </w:tbl>
    <w:p>
      <w:pPr>
        <w:spacing w:after="0" w:before="0"/>
      </w:pPr>
      <w:r>
        <w:t xml:space="preserve"/>
      </w:r>
    </w:p>
    <w:p>
      <w:pPr>
        <w:pStyle w:val="Heading1"/>
        <w:pBdr>
          <w:bottom w:val="single" w:color="B8860B" w:sz="8" w:space="6"/>
        </w:pBdr>
        <w:spacing w:after="200" w:before="480"/>
      </w:pPr>
      <w:r>
        <w:rPr>
          <w:rFonts w:ascii="Arial" w:cs="Arial" w:eastAsia="Arial" w:hAnsi="Arial"/>
          <w:b/>
          <w:bCs/>
          <w:color w:val="1C2B45"/>
          <w:sz w:val="44"/>
          <w:szCs w:val="44"/>
        </w:rPr>
        <w:t xml:space="preserve">6. Client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Engagement Type at Creation</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Standard Advisory / Due Diligence / Post-Acquisition Advisory / Entrepreneur Module. Determines questionnaire set presented to client.</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NZBN Auto-Population</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Triggers Companies Office and IRD API queries. Auto-populates registered name, entity type, address, GST status, director details, filing status.</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Data Quality Score</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High / Medium / Low / Insufficient. Displayed on profile header. Updated after every data event.</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Conflict of Interest Declaration</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Mandatory before any broker referral, coach referral, and before any DD engagement begins.</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Communication Preferences</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Email only / In-platform only / Both. Immediate / Daily / Weekly. Client-configurable. Urgent communications always bypass preferences.</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Wellbeing Check-In</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Optional monthly 2-question pulse: business confidence and personal coping (1-5 scales). Responses advisor-only. Low scores trigger coaching signal.</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Testimonial Capture</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Triggered at NPS of 8+. Explicit consent for use in FSA marketing. Named or anonymous option. Stored in testimonial library.</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Structured Offboarding</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Final progress report, engagement summary, handover document, exit interview, privacy notice, re-engagement reminder. Auto-triggered on engagement completion.</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B45" w:val="clear"/>
            <w:tcMar>
              <w:top w:type="dxa" w:w="260"/>
              <w:left w:type="dxa" w:w="360"/>
              <w:bottom w:type="dxa" w:w="260"/>
              <w:right w:type="dxa" w:w="360"/>
            </w:tcMar>
          </w:tcPr>
          <w:p>
            <w:pPr>
              <w:spacing w:after="80" w:before="0"/>
            </w:pPr>
            <w:r>
              <w:rPr>
                <w:rFonts w:ascii="Arial" w:cs="Arial" w:eastAsia="Arial" w:hAnsi="Arial"/>
                <w:b/>
                <w:bCs/>
                <w:color w:val="FFFFFF"/>
                <w:sz w:val="40"/>
                <w:szCs w:val="40"/>
              </w:rPr>
              <w:t xml:space="preserve">SECTION 7</w:t>
            </w:r>
          </w:p>
          <w:p>
            <w:pPr>
              <w:spacing w:after="0" w:before="0"/>
            </w:pPr>
            <w:r>
              <w:rPr>
                <w:rFonts w:ascii="Arial" w:cs="Arial" w:eastAsia="Arial" w:hAnsi="Arial"/>
                <w:i/>
                <w:iCs/>
                <w:color w:val="E8D5A0"/>
                <w:sz w:val="22"/>
                <w:szCs w:val="22"/>
              </w:rPr>
              <w:t xml:space="preserve">Client Portal</w:t>
            </w:r>
          </w:p>
        </w:tc>
      </w:tr>
    </w:tbl>
    <w:p>
      <w:pPr>
        <w:spacing w:after="0" w:before="0"/>
      </w:pPr>
      <w:r>
        <w:t xml:space="preserve"/>
      </w:r>
    </w:p>
    <w:p>
      <w:pPr>
        <w:pStyle w:val="Heading1"/>
        <w:pBdr>
          <w:bottom w:val="single" w:color="B8860B" w:sz="8" w:space="6"/>
        </w:pBdr>
        <w:spacing w:after="200" w:before="480"/>
      </w:pPr>
      <w:r>
        <w:rPr>
          <w:rFonts w:ascii="Arial" w:cs="Arial" w:eastAsia="Arial" w:hAnsi="Arial"/>
          <w:b/>
          <w:bCs/>
          <w:color w:val="1C2B45"/>
          <w:sz w:val="44"/>
          <w:szCs w:val="44"/>
        </w:rPr>
        <w:t xml:space="preserve">7. Client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Design</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WCAG 2.1 AA. Mobile-responsive. Plain English. Meridian Warm branded throughout.</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T&amp;C Gate</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Mandatory accept/decline before any access. Accept button disabled until document scrolled. Signed PDF generated on acceptance.</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Onboarding Wizard</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7-step guided — engagement type determines questionnaire set in Step 5.</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Dashboard</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Completion progress, data quality indicator, business PV, goals with PV targets, milestones, messages, meetings, notifications, referral status.</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Insurance and Coach Consent</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Consent management for broker and coach referrals. Viewable and changeable at any time from portal settings.</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Scenario Planning</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Client can view named scenarios modelled by advisor. PV impact of each scenario visible.</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Offline Mode</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Phase 3/4. Questionnaire responses and document upload queue captured offline. Auto-sync on reconnect. PWA architecture. Encrypted local storage.</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Funnel Analytics</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Drop-off tracking across all multi-step flows surfaced to advisor dashboard.</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B45" w:val="clear"/>
            <w:tcMar>
              <w:top w:type="dxa" w:w="260"/>
              <w:left w:type="dxa" w:w="360"/>
              <w:bottom w:type="dxa" w:w="260"/>
              <w:right w:type="dxa" w:w="360"/>
            </w:tcMar>
          </w:tcPr>
          <w:p>
            <w:pPr>
              <w:spacing w:after="80" w:before="0"/>
            </w:pPr>
            <w:r>
              <w:rPr>
                <w:rFonts w:ascii="Arial" w:cs="Arial" w:eastAsia="Arial" w:hAnsi="Arial"/>
                <w:b/>
                <w:bCs/>
                <w:color w:val="FFFFFF"/>
                <w:sz w:val="40"/>
                <w:szCs w:val="40"/>
              </w:rPr>
              <w:t xml:space="preserve">SECTION 8</w:t>
            </w:r>
          </w:p>
          <w:p>
            <w:pPr>
              <w:spacing w:after="0" w:before="0"/>
            </w:pPr>
            <w:r>
              <w:rPr>
                <w:rFonts w:ascii="Arial" w:cs="Arial" w:eastAsia="Arial" w:hAnsi="Arial"/>
                <w:i/>
                <w:iCs/>
                <w:color w:val="E8D5A0"/>
                <w:sz w:val="22"/>
                <w:szCs w:val="22"/>
              </w:rPr>
              <w:t xml:space="preserve">Questionnaire System</w:t>
            </w:r>
          </w:p>
        </w:tc>
      </w:tr>
    </w:tbl>
    <w:p>
      <w:pPr>
        <w:spacing w:after="0" w:before="0"/>
      </w:pPr>
      <w:r>
        <w:t xml:space="preserve"/>
      </w:r>
    </w:p>
    <w:p>
      <w:pPr>
        <w:pStyle w:val="Heading1"/>
        <w:pBdr>
          <w:bottom w:val="single" w:color="B8860B" w:sz="8" w:space="6"/>
        </w:pBdr>
        <w:spacing w:after="200" w:before="480"/>
      </w:pPr>
      <w:r>
        <w:rPr>
          <w:rFonts w:ascii="Arial" w:cs="Arial" w:eastAsia="Arial" w:hAnsi="Arial"/>
          <w:b/>
          <w:bCs/>
          <w:color w:val="1C2B45"/>
          <w:sz w:val="44"/>
          <w:szCs w:val="44"/>
        </w:rPr>
        <w:t xml:space="preserve">8. Questionnaire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Standard Advisory Set</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Business Overview, Products and Services, Market and Customers, Financial Position, People and HR, Operations, Sales and Marketing, Strategy and Goals, Compliance and Risk, Owner and Leadership.</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DD-Specific Set</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Target business details, acquisition rationale, funding position, timeline, prior knowledge of target, post-acquisition intentions, non-negotiables. Adaptive — AI suggests improvements based on DD gap patterns.</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Post-Acquisition Gap Set</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Auto-generated. Cross-references DD data against standard advisory fields. Pre-populates answered fields. Client completes outstanding gaps only. Adaptive — mapping accuracy improves over time.</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Builder Features</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All question types, conditional logic, drag-and-drop, help text, version control, real-time preview, AI optimisation suggestions via learning update queue.</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B45" w:val="clear"/>
            <w:tcMar>
              <w:top w:type="dxa" w:w="260"/>
              <w:left w:type="dxa" w:w="360"/>
              <w:bottom w:type="dxa" w:w="260"/>
              <w:right w:type="dxa" w:w="360"/>
            </w:tcMar>
          </w:tcPr>
          <w:p>
            <w:pPr>
              <w:spacing w:after="80" w:before="0"/>
            </w:pPr>
            <w:r>
              <w:rPr>
                <w:rFonts w:ascii="Arial" w:cs="Arial" w:eastAsia="Arial" w:hAnsi="Arial"/>
                <w:b/>
                <w:bCs/>
                <w:color w:val="FFFFFF"/>
                <w:sz w:val="40"/>
                <w:szCs w:val="40"/>
              </w:rPr>
              <w:t xml:space="preserve">SECTION 9</w:t>
            </w:r>
          </w:p>
          <w:p>
            <w:pPr>
              <w:spacing w:after="0" w:before="0"/>
            </w:pPr>
            <w:r>
              <w:rPr>
                <w:rFonts w:ascii="Arial" w:cs="Arial" w:eastAsia="Arial" w:hAnsi="Arial"/>
                <w:i/>
                <w:iCs/>
                <w:color w:val="E8D5A0"/>
                <w:sz w:val="22"/>
                <w:szCs w:val="22"/>
              </w:rPr>
              <w:t xml:space="preserve">Document Management and AI Verification — Platform-Wide</w:t>
            </w:r>
          </w:p>
        </w:tc>
      </w:tr>
    </w:tbl>
    <w:p>
      <w:pPr>
        <w:spacing w:after="0" w:before="0"/>
      </w:pPr>
      <w:r>
        <w:t xml:space="preserve"/>
      </w:r>
    </w:p>
    <w:p>
      <w:pPr>
        <w:pStyle w:val="Heading1"/>
        <w:pBdr>
          <w:bottom w:val="single" w:color="B8860B" w:sz="8" w:space="6"/>
        </w:pBdr>
        <w:spacing w:after="200" w:before="480"/>
      </w:pPr>
      <w:r>
        <w:rPr>
          <w:rFonts w:ascii="Arial" w:cs="Arial" w:eastAsia="Arial" w:hAnsi="Arial"/>
          <w:b/>
          <w:bCs/>
          <w:color w:val="1C2B45"/>
          <w:sz w:val="44"/>
          <w:szCs w:val="44"/>
        </w:rPr>
        <w:t xml:space="preserve">9. Document Management and AI Relevance / Accuracy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
              <w:left w:val="single" w:color="8B1A1A" w:sz="1"/>
              <w:bottom w:val="single" w:color="8B1A1A" w:sz="1"/>
              <w:right w:val="single" w:color="8B1A1A" w:sz="1"/>
            </w:tcBorders>
            <w:shd w:fill="FDF0F0" w:val="clear"/>
            <w:tcMar>
              <w:top w:type="dxa" w:w="80"/>
              <w:left w:type="dxa" w:w="200"/>
              <w:bottom w:type="dxa" w:w="80"/>
              <w:right w:type="dxa" w:w="200"/>
            </w:tcMar>
          </w:tcPr>
          <w:p>
            <w:pPr>
              <w:spacing w:after="0" w:before="0"/>
            </w:pPr>
            <w:r>
              <w:rPr>
                <w:rFonts w:ascii="Arial" w:cs="Arial" w:eastAsia="Arial" w:hAnsi="Arial"/>
                <w:b/>
                <w:bCs/>
                <w:color w:val="8B1A1A"/>
                <w:sz w:val="20"/>
                <w:szCs w:val="20"/>
              </w:rPr>
              <w:t xml:space="preserve">CRITICAL — NON-NEGOTIABLE PLATFORM PRINCIPLE</w:t>
            </w:r>
          </w:p>
        </w:tc>
      </w:tr>
    </w:tbl>
    <w:p>
      <w:pPr>
        <w:spacing w:after="0" w:before="0"/>
      </w:pPr>
      <w:r>
        <w:t xml:space="preserve"/>
      </w:r>
    </w:p>
    <w:p>
      <w:pPr>
        <w:spacing w:after="100" w:before="80"/>
        <w:jc w:val="left"/>
      </w:pPr>
      <w:r>
        <w:rPr>
          <w:rFonts w:ascii="Arial" w:cs="Arial" w:eastAsia="Arial" w:hAnsi="Arial"/>
          <w:b w:val="false"/>
          <w:bCs w:val="false"/>
          <w:i w:val="false"/>
          <w:iCs w:val="false"/>
          <w:color w:val="4A5568"/>
          <w:sz w:val="22"/>
          <w:szCs w:val="22"/>
        </w:rPr>
        <w:t xml:space="preserve">Every document uploaded anywhere on the FSA platform is reviewed by the AI for relevance and accuracy. This is not optional. It is an expression of the AI Integrity Principle applied to all documentary evidence across every feature.</w:t>
      </w:r>
    </w:p>
    <w:p>
      <w:pPr>
        <w:spacing w:after="0" w:before="0"/>
      </w:pPr>
      <w:r>
        <w:t xml:space="preserve"/>
      </w:r>
    </w:p>
    <w:p>
      <w:pPr>
        <w:pStyle w:val="Heading2"/>
        <w:spacing w:after="160" w:before="360"/>
      </w:pPr>
      <w:r>
        <w:rPr>
          <w:rFonts w:ascii="Arial" w:cs="Arial" w:eastAsia="Arial" w:hAnsi="Arial"/>
          <w:b/>
          <w:bCs/>
          <w:color w:val="0D7A7A"/>
          <w:sz w:val="34"/>
          <w:szCs w:val="34"/>
        </w:rPr>
        <w:t xml:space="preserve">9.1 Three Verification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Verified — Consistent</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Document accepted. Confidence note added: "Claim supported by uploaded document." Analysis proceeds normally.</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Advisory Flag — Partial Support</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Document related but does not directly support the specific claim. Flag raised. Analysis proceeds with flag visible in all outputs and reports.</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Accuracy Discrepancy — Contradiction</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Document contradicts a claim. Specific discrepancy stated in plain English. Advisor notified immediately. Affected section analysis paused until resolved.</w:t>
            </w:r>
          </w:p>
        </w:tc>
      </w:tr>
    </w:tbl>
    <w:p>
      <w:pPr>
        <w:spacing w:after="0" w:before="0"/>
      </w:pPr>
      <w:r>
        <w:t xml:space="preserve"/>
      </w:r>
    </w:p>
    <w:p>
      <w:pPr>
        <w:pBdr>
          <w:left w:val="single" w:color="8B1A1A" w:sz="14" w:space="8"/>
        </w:pBdr>
        <w:spacing w:after="100" w:before="100"/>
        <w:ind w:left="360"/>
      </w:pPr>
      <w:r>
        <w:rPr>
          <w:rFonts w:ascii="Arial" w:cs="Arial" w:eastAsia="Arial" w:hAnsi="Arial"/>
          <w:b/>
          <w:bCs/>
          <w:i w:val="false"/>
          <w:iCs w:val="false"/>
          <w:color w:val="8B1A1A"/>
          <w:sz w:val="20"/>
          <w:szCs w:val="20"/>
        </w:rPr>
        <w:t xml:space="preserve">Accuracy discrepancies are NEVER suppressed. Not for any reason. Every contradiction between claimed and documented facts is surfaced to the advisor.</w:t>
      </w:r>
    </w:p>
    <w:p>
      <w:pPr>
        <w:spacing w:after="0" w:before="0"/>
      </w:pPr>
      <w:r>
        <w:t xml:space="preserve"/>
      </w:r>
    </w:p>
    <w:p>
      <w:pPr>
        <w:pStyle w:val="Heading2"/>
        <w:spacing w:after="160" w:before="360"/>
      </w:pPr>
      <w:r>
        <w:rPr>
          <w:rFonts w:ascii="Arial" w:cs="Arial" w:eastAsia="Arial" w:hAnsi="Arial"/>
          <w:b/>
          <w:bCs/>
          <w:color w:val="0D7A7A"/>
          <w:sz w:val="34"/>
          <w:szCs w:val="34"/>
        </w:rPr>
        <w:t xml:space="preserve">9.2 Application Across Every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Standard Advisory Questionnaires</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Answers cross-referenced against financial statements, HR documents, insurance certificates, compliance documents.</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Financial Analysis</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P&amp;L, balance sheet, cash flow cross-referenced for internal consistency. Stated figures cross-referenced against actual statements.</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Compliance Checker</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Employment agreements checked for required NZ clauses. Insurance certificates verified against stated coverage. H&amp;S policy checked for PCBU obligations.</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HR and People Analysis</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CV qualifications vs JD requirements. Staff numbers vs payroll records. Wage rates checked for minimum wage compliance.</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Business Plan Review (Advisory)</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Projections vs actual financial statements. Market size claims vs uploaded market research.</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Due Diligence — All 8 Workstreams</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Double-weighting applied. Every financial figure, legal claim, contract term, and compliance assertion verified. Direct financial consequences for the buyer justify the highest verification standard.</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Insurance Referral</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Coverage amounts, expiry dates, and coverage types verified against certificate content.</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Coach Referral</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Referral rationale documentation verified against client records.</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Entrepreneur Module</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Every business plan claim cross-referenced against attached supporting documents. Document support affects criterion score.</w:t>
            </w:r>
          </w:p>
        </w:tc>
      </w:tr>
    </w:tbl>
    <w:p>
      <w:pPr>
        <w:spacing w:after="0" w:before="0"/>
      </w:pPr>
      <w:r>
        <w:t xml:space="preserve"/>
      </w:r>
    </w:p>
    <w:p>
      <w:pPr>
        <w:pStyle w:val="Heading2"/>
        <w:spacing w:after="160" w:before="360"/>
      </w:pPr>
      <w:r>
        <w:rPr>
          <w:rFonts w:ascii="Arial" w:cs="Arial" w:eastAsia="Arial" w:hAnsi="Arial"/>
          <w:b/>
          <w:bCs/>
          <w:color w:val="0D7A7A"/>
          <w:sz w:val="34"/>
          <w:szCs w:val="34"/>
        </w:rPr>
        <w:t xml:space="preserve">9.3 Audit Trail and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Audit Trail</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Every document review — outcome, discrepancy identified, flag resolved — logged permanently with document name, section, outcome, user, timestamp.</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Learning</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Document verification AI learns common discrepancy patterns and reliable document-claim relationships. Governed update process applies.</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B45" w:val="clear"/>
            <w:tcMar>
              <w:top w:type="dxa" w:w="260"/>
              <w:left w:type="dxa" w:w="360"/>
              <w:bottom w:type="dxa" w:w="260"/>
              <w:right w:type="dxa" w:w="360"/>
            </w:tcMar>
          </w:tcPr>
          <w:p>
            <w:pPr>
              <w:spacing w:after="80" w:before="0"/>
            </w:pPr>
            <w:r>
              <w:rPr>
                <w:rFonts w:ascii="Arial" w:cs="Arial" w:eastAsia="Arial" w:hAnsi="Arial"/>
                <w:b/>
                <w:bCs/>
                <w:color w:val="FFFFFF"/>
                <w:sz w:val="40"/>
                <w:szCs w:val="40"/>
              </w:rPr>
              <w:t xml:space="preserve">SECTION 10</w:t>
            </w:r>
          </w:p>
          <w:p>
            <w:pPr>
              <w:spacing w:after="0" w:before="0"/>
            </w:pPr>
            <w:r>
              <w:rPr>
                <w:rFonts w:ascii="Arial" w:cs="Arial" w:eastAsia="Arial" w:hAnsi="Arial"/>
                <w:i/>
                <w:iCs/>
                <w:color w:val="E8D5A0"/>
                <w:sz w:val="22"/>
                <w:szCs w:val="22"/>
              </w:rPr>
              <w:t xml:space="preserve">Analysis Modules</w:t>
            </w:r>
          </w:p>
        </w:tc>
      </w:tr>
    </w:tbl>
    <w:p>
      <w:pPr>
        <w:spacing w:after="0" w:before="0"/>
      </w:pPr>
      <w:r>
        <w:t xml:space="preserve"/>
      </w:r>
    </w:p>
    <w:p>
      <w:pPr>
        <w:pStyle w:val="Heading1"/>
        <w:pBdr>
          <w:bottom w:val="single" w:color="B8860B" w:sz="8" w:space="6"/>
        </w:pBdr>
        <w:spacing w:after="200" w:before="480"/>
      </w:pPr>
      <w:r>
        <w:rPr>
          <w:rFonts w:ascii="Arial" w:cs="Arial" w:eastAsia="Arial" w:hAnsi="Arial"/>
          <w:b/>
          <w:bCs/>
          <w:color w:val="1C2B45"/>
          <w:sz w:val="44"/>
          <w:szCs w:val="44"/>
        </w:rPr>
        <w:t xml:space="preserve">10. Analysis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9F6F0" w:val="clear"/>
            <w:tcMar>
              <w:top w:type="dxa" w:w="180"/>
              <w:left w:type="dxa" w:w="260"/>
              <w:bottom w:type="dxa" w:w="180"/>
              <w:right w:type="dxa" w:w="260"/>
            </w:tcMar>
          </w:tcPr>
          <w:p>
            <w:pPr>
              <w:spacing w:after="40" w:before="40"/>
            </w:pPr>
            <w:r>
              <w:rPr>
                <w:rFonts w:ascii="Arial" w:cs="Arial" w:eastAsia="Arial" w:hAnsi="Arial"/>
                <w:b w:val="false"/>
                <w:bCs w:val="false"/>
                <w:i w:val="false"/>
                <w:iCs w:val="false"/>
                <w:color w:val="1C2B45"/>
                <w:sz w:val="21"/>
                <w:szCs w:val="21"/>
              </w:rPr>
              <w:t xml:space="preserve">AI Integrity Principle applies to all outputs. Source attribution mandatory. Data quality gate runs before every analysis. Document verification applies to all uploads.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Website Audit</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SEO, content, UX, CTAs, mobile performance, NZ search ranking.</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Competitor Analysis</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Up to 6 competitors, product/pricing/visibility/gap analysis, ongoing monitoring, cross-client industry alerts.</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SWOT / TOWS / MAPS</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AI-generated from all client data. Visual matrices. Referenced by PV calculations.</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Financial Analysis</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Profitability, cash flow, drivers, ratios, root cause, NZ benchmarked, economic overlay, continuous monitoring.</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HR and People</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CV/JD analysis, staff structure, NZ compliance, wage benchmarking, Holidays Act liability quantification.</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Operational</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SOPs, processes, bottlenecks, automation opportunities.</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Systems Review</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Technology gaps, integration issues, upgrade opportunities.</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Strategy and Planning</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Business plan and strategic plan review against goals and PV targets.</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NZ Compliance Checker</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Employment Relations Act, H&amp;S Act, Holidays Act, Privacy Act, Companies Act. Severity rated. Legislatively current.</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Insurance Risk Flags</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Coverage gaps flagged. Feeds broker referral recommendation.</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AI Red Flag Alerts</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Continuous monitoring. Critical risks surfaced immediately on advisor dashboard.</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Client Knowledge Assessment</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Financial literacy, strategic awareness, leadership. Calibrates AI output language and depth.</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Scenario Planning</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Named scenarios, PV impact per scenario, up to 5 side-by-side, best/expected/worst case, NZ economic overlay.</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Succession Planning</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Exit readiness score, options assessment, owner dependency reduction plan, PV target, DD integration.</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Regulatory Impact Assessment</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Per-client financial impact and compliance actions when NZ legislation changes.</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Continuous Financial Health Monitoring</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Daily/weekly automated pull from connected accounting. Early warning alerts with specific data citation.</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B45" w:val="clear"/>
            <w:tcMar>
              <w:top w:type="dxa" w:w="260"/>
              <w:left w:type="dxa" w:w="360"/>
              <w:bottom w:type="dxa" w:w="260"/>
              <w:right w:type="dxa" w:w="360"/>
            </w:tcMar>
          </w:tcPr>
          <w:p>
            <w:pPr>
              <w:spacing w:after="80" w:before="0"/>
            </w:pPr>
            <w:r>
              <w:rPr>
                <w:rFonts w:ascii="Arial" w:cs="Arial" w:eastAsia="Arial" w:hAnsi="Arial"/>
                <w:b/>
                <w:bCs/>
                <w:color w:val="FFFFFF"/>
                <w:sz w:val="40"/>
                <w:szCs w:val="40"/>
              </w:rPr>
              <w:t xml:space="preserve">SECTION 11</w:t>
            </w:r>
          </w:p>
          <w:p>
            <w:pPr>
              <w:spacing w:after="0" w:before="0"/>
            </w:pPr>
            <w:r>
              <w:rPr>
                <w:rFonts w:ascii="Arial" w:cs="Arial" w:eastAsia="Arial" w:hAnsi="Arial"/>
                <w:i/>
                <w:iCs/>
                <w:color w:val="E8D5A0"/>
                <w:sz w:val="22"/>
                <w:szCs w:val="22"/>
              </w:rPr>
              <w:t xml:space="preserve">AI and Intelligence Engine</w:t>
            </w:r>
          </w:p>
        </w:tc>
      </w:tr>
    </w:tbl>
    <w:p>
      <w:pPr>
        <w:spacing w:after="0" w:before="0"/>
      </w:pPr>
      <w:r>
        <w:t xml:space="preserve"/>
      </w:r>
    </w:p>
    <w:p>
      <w:pPr>
        <w:pStyle w:val="Heading1"/>
        <w:pBdr>
          <w:bottom w:val="single" w:color="B8860B" w:sz="8" w:space="6"/>
        </w:pBdr>
        <w:spacing w:after="200" w:before="480"/>
      </w:pPr>
      <w:r>
        <w:rPr>
          <w:rFonts w:ascii="Arial" w:cs="Arial" w:eastAsia="Arial" w:hAnsi="Arial"/>
          <w:b/>
          <w:bCs/>
          <w:color w:val="1C2B45"/>
          <w:sz w:val="44"/>
          <w:szCs w:val="44"/>
        </w:rPr>
        <w:t xml:space="preserve">11. AI and Intelligence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Analytical Framework</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Descriptive, Diagnostic, Predictive, Prescriptive — all four applied to every output.</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AI Integrity Principle</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Governs all outputs. Source attribution mandatory. Bias detection active. No score inflation. See Section 3.</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Feedback Capture</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Phase 2 — every AI output has structured advisor review: confirm / correct / rate / add context. Feeds learning engine from day one.</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Bias Detection Layer</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Monitors all AI outputs for systematic demographic, industry, or business-type patterns. Detected bias enters the learning update queue.</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Advisor Knowledge Base</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Private methodology repository. AI-assisted capture after each engagement. References when generating outputs.</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Template Library</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AI suggests new templates from completed engagements. Admin approves via learning update process.</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Anonymous Benchmarking</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Aggregated anonymised NZ SME data. Minimum cohort sizes enforced. Phase 4.</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Outcome-Based Pricing</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References improvement PV and risk cost PV directly in fee suggestion justification.</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Cross-Client Intelligence</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Patterns affecting multiple clients in same industry surfaced as one advisor alert. Phase 4.</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Legislative Currency</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NZ Parliament, MBIE, IRD, WorkSafe feeds monitored. Compliance checker updates flagged.</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Continuous Financial Monitoring</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Daily/weekly pull from connected accounting. Early warning alerts.</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Shared Intelligence Layer</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Entrepreneur and advisory modules share anonymised pattern intelligence — entrepreneur outcomes feed advisory benchmarks and vice versa. Phase 4.</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B45" w:val="clear"/>
            <w:tcMar>
              <w:top w:type="dxa" w:w="260"/>
              <w:left w:type="dxa" w:w="360"/>
              <w:bottom w:type="dxa" w:w="260"/>
              <w:right w:type="dxa" w:w="360"/>
            </w:tcMar>
          </w:tcPr>
          <w:p>
            <w:pPr>
              <w:spacing w:after="80" w:before="0"/>
            </w:pPr>
            <w:r>
              <w:rPr>
                <w:rFonts w:ascii="Arial" w:cs="Arial" w:eastAsia="Arial" w:hAnsi="Arial"/>
                <w:b/>
                <w:bCs/>
                <w:color w:val="FFFFFF"/>
                <w:sz w:val="40"/>
                <w:szCs w:val="40"/>
              </w:rPr>
              <w:t xml:space="preserve">SECTION 12</w:t>
            </w:r>
          </w:p>
          <w:p>
            <w:pPr>
              <w:spacing w:after="0" w:before="0"/>
            </w:pPr>
            <w:r>
              <w:rPr>
                <w:rFonts w:ascii="Arial" w:cs="Arial" w:eastAsia="Arial" w:hAnsi="Arial"/>
                <w:i/>
                <w:iCs/>
                <w:color w:val="E8D5A0"/>
                <w:sz w:val="22"/>
                <w:szCs w:val="22"/>
              </w:rPr>
              <w:t xml:space="preserve">Present Value Module</w:t>
            </w:r>
          </w:p>
        </w:tc>
      </w:tr>
    </w:tbl>
    <w:p>
      <w:pPr>
        <w:spacing w:after="0" w:before="0"/>
      </w:pPr>
      <w:r>
        <w:t xml:space="preserve"/>
      </w:r>
    </w:p>
    <w:p>
      <w:pPr>
        <w:pStyle w:val="Heading1"/>
        <w:pBdr>
          <w:bottom w:val="single" w:color="B8860B" w:sz="8" w:space="6"/>
        </w:pBdr>
        <w:spacing w:after="200" w:before="480"/>
      </w:pPr>
      <w:r>
        <w:rPr>
          <w:rFonts w:ascii="Arial" w:cs="Arial" w:eastAsia="Arial" w:hAnsi="Arial"/>
          <w:b/>
          <w:bCs/>
          <w:color w:val="1C2B45"/>
          <w:sz w:val="44"/>
          <w:szCs w:val="44"/>
        </w:rPr>
        <w:t xml:space="preserve">12. Present Value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Type 1 — Business Valuation PV</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SDE multiple, EBITDA multiple (NZ-benchmarked, quarterly updated), DCF (3-7 year projection, terminal value). All three side-by-side, reconciled recommended range. Valuation adjustments auto-applied.</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Type 2 — Improvement Opportunity PV</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Annual benefit x duration discounted per recommendation. Ranked by PV of impact. Combined improvement PV vs advisory fee = ROI ratio in fee proposal.</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Type 3 — Risk Cost PV</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Financial impact x probability x duration discounted. NZ statutory penalty ranges applied. Risk register ranked by PV of cost.</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Method 1 — OCR-Linked</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RBNZ OCR + risk premium. Default. Auto-updates on OCR change.</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Method 2 — Industry WACC</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NZ Exchange data and industry benchmarks. Updated quarterly.</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Method 3 — Advisor-Configured</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Advisor sets rate per client. Rate and rationale recorded.</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Method 4 — Client-Inputted</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Client provides own cost of capital or hurdle rate.</w:t>
            </w:r>
          </w:p>
        </w:tc>
      </w:tr>
    </w:tbl>
    <w:p>
      <w:pPr>
        <w:spacing w:after="0" w:before="0"/>
      </w:pPr>
      <w:r>
        <w:t xml:space="preserve"/>
      </w:r>
    </w:p>
    <w:p>
      <w:pPr>
        <w:pStyle w:val="Heading2"/>
        <w:spacing w:after="160" w:before="360"/>
      </w:pPr>
      <w:r>
        <w:rPr>
          <w:rFonts w:ascii="Arial" w:cs="Arial" w:eastAsia="Arial" w:hAnsi="Arial"/>
          <w:b/>
          <w:bCs/>
          <w:color w:val="0D7A7A"/>
          <w:sz w:val="34"/>
          <w:szCs w:val="34"/>
        </w:rPr>
        <w:t xml:space="preserve">12.1 PV Integration Throughout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Client Dashboard</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Current business PV as baseline. Target PV as north star.</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Advisor Report</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Full PV picture with waterfall chart: current value to improvements to target value.</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Fee Proposal</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ROI ratio: total improvement PV vs advisory fee investment.</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Progress Reports</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PV of improvements realised to date. Business value trajectory charted.</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DD Valuation</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All three methods plus PV fully integrated into DD Business Valuation workstream.</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Entrepreneur Module</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Concept PV projection — what could this business be worth if the plan is executed?</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Succession Planning</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Target exit PV set. Implementation plan structured to achieve it.</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Practice Health Report</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Portfolio view — total PV delivered across all active clients.</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B45" w:val="clear"/>
            <w:tcMar>
              <w:top w:type="dxa" w:w="260"/>
              <w:left w:type="dxa" w:w="360"/>
              <w:bottom w:type="dxa" w:w="260"/>
              <w:right w:type="dxa" w:w="360"/>
            </w:tcMar>
          </w:tcPr>
          <w:p>
            <w:pPr>
              <w:spacing w:after="80" w:before="0"/>
            </w:pPr>
            <w:r>
              <w:rPr>
                <w:rFonts w:ascii="Arial" w:cs="Arial" w:eastAsia="Arial" w:hAnsi="Arial"/>
                <w:b/>
                <w:bCs/>
                <w:color w:val="FFFFFF"/>
                <w:sz w:val="40"/>
                <w:szCs w:val="40"/>
              </w:rPr>
              <w:t xml:space="preserve">SECTION 13</w:t>
            </w:r>
          </w:p>
          <w:p>
            <w:pPr>
              <w:spacing w:after="0" w:before="0"/>
            </w:pPr>
            <w:r>
              <w:rPr>
                <w:rFonts w:ascii="Arial" w:cs="Arial" w:eastAsia="Arial" w:hAnsi="Arial"/>
                <w:i/>
                <w:iCs/>
                <w:color w:val="E8D5A0"/>
                <w:sz w:val="22"/>
                <w:szCs w:val="22"/>
              </w:rPr>
              <w:t xml:space="preserve">Fee Calculator, Proposal and Payment Processing</w:t>
            </w:r>
          </w:p>
        </w:tc>
      </w:tr>
    </w:tbl>
    <w:p>
      <w:pPr>
        <w:spacing w:after="0" w:before="0"/>
      </w:pPr>
      <w:r>
        <w:t xml:space="preserve"/>
      </w:r>
    </w:p>
    <w:p>
      <w:pPr>
        <w:pStyle w:val="Heading1"/>
        <w:pBdr>
          <w:bottom w:val="single" w:color="B8860B" w:sz="8" w:space="6"/>
        </w:pBdr>
        <w:spacing w:after="200" w:before="480"/>
      </w:pPr>
      <w:r>
        <w:rPr>
          <w:rFonts w:ascii="Arial" w:cs="Arial" w:eastAsia="Arial" w:hAnsi="Arial"/>
          <w:b/>
          <w:bCs/>
          <w:color w:val="1C2B45"/>
          <w:sz w:val="44"/>
          <w:szCs w:val="44"/>
        </w:rPr>
        <w:t xml:space="preserve">13. Fee Calculator, Proposal and Payment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Hours-Based Fee</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Hours x configured rate. Per-service breakdown. Monthly retainer conversion.</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Outcome-Based Fee</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AI suggests range from improvement PV, risk cost PV, revenue, and plan complexity. References PV directly in justification.</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Entrepreneur Fee Structure</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Separate lower entry pricing for pre-revenue entrepreneurs. Separate fee proposal type.</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Proposal Contents</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Scope, services, fee, retainer, payment terms, duration, commencement, PV summary with ROI ratio, insurance and coach consent, acceptance section.</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Proposal Expiry</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Advisor sets expiry date on release (default 30 days, configurable). Client sees countdown. Expired proposals require re-release. All tracked in audit trail.</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Release Control</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"Release to Client" — manual advisor action. Recall available before signature. Status lifecycle: Draft, Released, Awaiting Signature, Signed, Expired, Renewed.</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Sign-Off Flow</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Review, Insurance and Coach Consent, Payment Method, Authority Completion, Digital Signature, Confirmation.</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Payment Gateways</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Stripe (primary) plus Windcave (fallback). PCI DSS compliant. API resilience layer manages automatic failover.</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Failed Payments</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Immediate advisor and client notification. Retry logic. Secondary gateway on persistent failure.</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B45" w:val="clear"/>
            <w:tcMar>
              <w:top w:type="dxa" w:w="260"/>
              <w:left w:type="dxa" w:w="360"/>
              <w:bottom w:type="dxa" w:w="260"/>
              <w:right w:type="dxa" w:w="360"/>
            </w:tcMar>
          </w:tcPr>
          <w:p>
            <w:pPr>
              <w:spacing w:after="80" w:before="0"/>
            </w:pPr>
            <w:r>
              <w:rPr>
                <w:rFonts w:ascii="Arial" w:cs="Arial" w:eastAsia="Arial" w:hAnsi="Arial"/>
                <w:b/>
                <w:bCs/>
                <w:color w:val="FFFFFF"/>
                <w:sz w:val="40"/>
                <w:szCs w:val="40"/>
              </w:rPr>
              <w:t xml:space="preserve">SECTION 14</w:t>
            </w:r>
          </w:p>
          <w:p>
            <w:pPr>
              <w:spacing w:after="0" w:before="0"/>
            </w:pPr>
            <w:r>
              <w:rPr>
                <w:rFonts w:ascii="Arial" w:cs="Arial" w:eastAsia="Arial" w:hAnsi="Arial"/>
                <w:i/>
                <w:iCs/>
                <w:color w:val="E8D5A0"/>
                <w:sz w:val="22"/>
                <w:szCs w:val="22"/>
              </w:rPr>
              <w:t xml:space="preserve">Insurance Broker Portal</w:t>
            </w:r>
          </w:p>
        </w:tc>
      </w:tr>
    </w:tbl>
    <w:p>
      <w:pPr>
        <w:spacing w:after="0" w:before="0"/>
      </w:pPr>
      <w:r>
        <w:t xml:space="preserve"/>
      </w:r>
    </w:p>
    <w:p>
      <w:pPr>
        <w:pStyle w:val="Heading1"/>
        <w:pBdr>
          <w:bottom w:val="single" w:color="B8860B" w:sz="8" w:space="6"/>
        </w:pBdr>
        <w:spacing w:after="200" w:before="480"/>
      </w:pPr>
      <w:r>
        <w:rPr>
          <w:rFonts w:ascii="Arial" w:cs="Arial" w:eastAsia="Arial" w:hAnsi="Arial"/>
          <w:b/>
          <w:bCs/>
          <w:color w:val="1C2B45"/>
          <w:sz w:val="44"/>
          <w:szCs w:val="44"/>
        </w:rPr>
        <w:t xml:space="preserve">14. Insurance Broker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Onboarding</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Admin-issued invite, configurable application form, pending approval queue, FSP validated against NZ FSP Register.</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Panel Agreement</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Generated on approval. Digitally signed. T&amp;C gate applies.</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FSP Monitoring</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Periodic re-verification. Lapse triggers automatic suspension and advisor alert.</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Client Consent</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Mandatory election in proposal sign-off. Stored in signed PDF. Revocable from portal settings at any time.</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Conflict of Interest</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Advisor declares any existing relationship before any referral is sent.</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Referral Stages</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Referral Sent, Received and Reviewing, Client Contacted, Meeting Booked, Quote Provided, Cover Placed, Declined, No Response.</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Reverse Referrals</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Broker submits business referral to FSA. One-click new client profile creation.</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Commercial</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Mutual professional referral. No financial referral fees in either direction.</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Panel Agreement Key Clauses</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Sound advice under own FSP licence, liability boundary, mutual referral commitment, no referral fees, FSP currency, confidentiality, professional indemnity confirmation.</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B45" w:val="clear"/>
            <w:tcMar>
              <w:top w:type="dxa" w:w="260"/>
              <w:left w:type="dxa" w:w="360"/>
              <w:bottom w:type="dxa" w:w="260"/>
              <w:right w:type="dxa" w:w="360"/>
            </w:tcMar>
          </w:tcPr>
          <w:p>
            <w:pPr>
              <w:spacing w:after="80" w:before="0"/>
            </w:pPr>
            <w:r>
              <w:rPr>
                <w:rFonts w:ascii="Arial" w:cs="Arial" w:eastAsia="Arial" w:hAnsi="Arial"/>
                <w:b/>
                <w:bCs/>
                <w:color w:val="FFFFFF"/>
                <w:sz w:val="40"/>
                <w:szCs w:val="40"/>
              </w:rPr>
              <w:t xml:space="preserve">SECTION 15</w:t>
            </w:r>
          </w:p>
          <w:p>
            <w:pPr>
              <w:spacing w:after="0" w:before="0"/>
            </w:pPr>
            <w:r>
              <w:rPr>
                <w:rFonts w:ascii="Arial" w:cs="Arial" w:eastAsia="Arial" w:hAnsi="Arial"/>
                <w:i/>
                <w:iCs/>
                <w:color w:val="E8D5A0"/>
                <w:sz w:val="22"/>
                <w:szCs w:val="22"/>
              </w:rPr>
              <w:t xml:space="preserve">Life and Personal Coach Panel — New in Version 2.4</w:t>
            </w:r>
          </w:p>
        </w:tc>
      </w:tr>
    </w:tbl>
    <w:p>
      <w:pPr>
        <w:spacing w:after="0" w:before="0"/>
      </w:pPr>
      <w:r>
        <w:t xml:space="preserve"/>
      </w:r>
    </w:p>
    <w:p>
      <w:pPr>
        <w:pStyle w:val="Heading1"/>
        <w:pBdr>
          <w:bottom w:val="single" w:color="B8860B" w:sz="8" w:space="6"/>
        </w:pBdr>
        <w:spacing w:after="200" w:before="480"/>
      </w:pPr>
      <w:r>
        <w:rPr>
          <w:rFonts w:ascii="Arial" w:cs="Arial" w:eastAsia="Arial" w:hAnsi="Arial"/>
          <w:b/>
          <w:bCs/>
          <w:color w:val="1C2B45"/>
          <w:sz w:val="44"/>
          <w:szCs w:val="44"/>
        </w:rPr>
        <w:t xml:space="preserve">15. Life and Personal Coach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20" w:sz="1"/>
              <w:left w:val="single" w:color="D4A020" w:sz="1"/>
              <w:bottom w:val="single" w:color="D4A020" w:sz="1"/>
              <w:right w:val="single" w:color="D4A020" w:sz="1"/>
            </w:tcBorders>
            <w:shd w:fill="E8D5A0" w:val="clear"/>
            <w:tcMar>
              <w:top w:type="dxa" w:w="80"/>
              <w:left w:type="dxa" w:w="200"/>
              <w:bottom w:type="dxa" w:w="80"/>
              <w:right w:type="dxa" w:w="200"/>
            </w:tcMar>
          </w:tcPr>
          <w:p>
            <w:pPr>
              <w:spacing w:after="0" w:before="0"/>
            </w:pPr>
            <w:r>
              <w:rPr>
                <w:rFonts w:ascii="Arial" w:cs="Arial" w:eastAsia="Arial" w:hAnsi="Arial"/>
                <w:b/>
                <w:bCs/>
                <w:color w:val="B8860B"/>
                <w:sz w:val="20"/>
                <w:szCs w:val="20"/>
              </w:rPr>
              <w:t xml:space="preserve">★  New in Version 2.4</w:t>
            </w:r>
          </w:p>
        </w:tc>
      </w:tr>
    </w:tbl>
    <w:p>
      <w:pPr>
        <w:spacing w:after="0" w:before="0"/>
      </w:pPr>
      <w:r>
        <w:t xml:space="preserve"/>
      </w:r>
    </w:p>
    <w:p>
      <w:pPr>
        <w:spacing w:after="100" w:before="80"/>
        <w:jc w:val="left"/>
      </w:pPr>
      <w:r>
        <w:rPr>
          <w:rFonts w:ascii="Arial" w:cs="Arial" w:eastAsia="Arial" w:hAnsi="Arial"/>
          <w:b w:val="false"/>
          <w:bCs w:val="false"/>
          <w:i w:val="false"/>
          <w:iCs w:val="false"/>
          <w:color w:val="4A5568"/>
          <w:sz w:val="22"/>
          <w:szCs w:val="22"/>
        </w:rPr>
        <w:t xml:space="preserve">The Coach Panel operates on the same structural model as the Insurance Broker Portal — invite-only, admin-managed vetting, T&amp;C gate, Panel Agreement, referral workflow, reverse referrals, and mutual referral commercial arrangement. It adds a coaching dimension to FSA's support ecosystem, connecting clients and entrepreneurs with qualified coaches when advisory intelligence identifies a coaching need.</w:t>
      </w:r>
    </w:p>
    <w:p>
      <w:pPr>
        <w:spacing w:after="0" w:before="0"/>
      </w:pPr>
      <w:r>
        <w:t xml:space="preserve"/>
      </w:r>
    </w:p>
    <w:p>
      <w:pPr>
        <w:pStyle w:val="Heading2"/>
        <w:spacing w:after="160" w:before="360"/>
      </w:pPr>
      <w:r>
        <w:rPr>
          <w:rFonts w:ascii="Arial" w:cs="Arial" w:eastAsia="Arial" w:hAnsi="Arial"/>
          <w:b/>
          <w:bCs/>
          <w:color w:val="0D7A7A"/>
          <w:sz w:val="34"/>
          <w:szCs w:val="34"/>
        </w:rPr>
        <w:t xml:space="preserve">15.1 Five Coach Specialisations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Life Coach</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General personal development, goal setting, life balance, values clarification. Primary referral trigger: persistently low wellbeing check-in scores.</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Business / Executive Coach</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Leadership development, management capability, decision making. Primary triggers: knowledge assessment leadership gap, succession planning owner readiness constraint, key person dependency red flag.</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Mental Health and Wellbeing Coach</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Stress management, resilience, burnout recovery. Platform does not provide clinical mental health services — coaching support only. Advisor exercises particular care in this referral type.</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Financial Wellness Coach</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Personal financial management, money mindset, personal budgeting. Distinct from FSA business advisory — addresses owner's personal financial position. Primary trigger: financial stress combined with personal coping concern.</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Career Coach</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Career direction, professional development, skills assessment. Primary triggers: HR analysis staff development need, succession planning internal candidate development, entrepreneur founder capability gap.</w:t>
            </w:r>
          </w:p>
        </w:tc>
      </w:tr>
    </w:tbl>
    <w:p>
      <w:pPr>
        <w:spacing w:after="0" w:before="0"/>
      </w:pPr>
      <w:r>
        <w:t xml:space="preserve"/>
      </w:r>
    </w:p>
    <w:p>
      <w:pPr>
        <w:pStyle w:val="Heading2"/>
        <w:spacing w:after="160" w:before="360"/>
      </w:pPr>
      <w:r>
        <w:rPr>
          <w:rFonts w:ascii="Arial" w:cs="Arial" w:eastAsia="Arial" w:hAnsi="Arial"/>
          <w:b/>
          <w:bCs/>
          <w:color w:val="0D7A7A"/>
          <w:sz w:val="34"/>
          <w:szCs w:val="34"/>
        </w:rPr>
        <w:t xml:space="preserve">15.2 Who Can Be Referred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Business Owner / Primary Client</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Any specialisation based on advisor judgement and signal detection.</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Key Staff</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Identified through HR analysis or succession planning. Business/Executive Coach or Career Coach most relevant. Requires client authorisation.</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Entrepreneur</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Identified through readiness assessment, idea validation, or personal readiness barriers. Any appropriate specialisation.</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Client Consent</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Same consent framework as insurance broker referral — mandatory election, revocable at any time, stored in signed record.</w:t>
            </w:r>
          </w:p>
        </w:tc>
      </w:tr>
    </w:tbl>
    <w:p>
      <w:pPr>
        <w:spacing w:after="0" w:before="0"/>
      </w:pPr>
      <w:r>
        <w:t xml:space="preserve"/>
      </w:r>
    </w:p>
    <w:p>
      <w:pPr>
        <w:pStyle w:val="Heading2"/>
        <w:spacing w:after="160" w:before="360"/>
      </w:pPr>
      <w:r>
        <w:rPr>
          <w:rFonts w:ascii="Arial" w:cs="Arial" w:eastAsia="Arial" w:hAnsi="Arial"/>
          <w:b/>
          <w:bCs/>
          <w:color w:val="0D7A7A"/>
          <w:sz w:val="34"/>
          <w:szCs w:val="34"/>
        </w:rPr>
        <w:t xml:space="preserve">15.3 Coach Onboarding and Vetting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Invite-Only</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Admin-issued invite. No self-registration.</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Application Form</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Configurable fields — admin manages without developer involvement. Default: name, business, specialisations, coaching approach, qualifications, professional body memberships, regions, availability, fee structure.</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Vetting Standard</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Admin-managed quality bar. No mandatory NZ register equivalent — FSA owns the standard. Professional body membership (ICF, NZAC, or equivalent) displayed where held — not a hard requirement.</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Coach Panel Agreement</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Generated on approval. Digitally signed. T&amp;C gate applies.</w:t>
            </w:r>
          </w:p>
        </w:tc>
      </w:tr>
    </w:tbl>
    <w:p>
      <w:pPr>
        <w:spacing w:after="0" w:before="0"/>
      </w:pPr>
      <w:r>
        <w:t xml:space="preserve"/>
      </w:r>
    </w:p>
    <w:p>
      <w:pPr>
        <w:pStyle w:val="Heading2"/>
        <w:spacing w:after="160" w:before="360"/>
      </w:pPr>
      <w:r>
        <w:rPr>
          <w:rFonts w:ascii="Arial" w:cs="Arial" w:eastAsia="Arial" w:hAnsi="Arial"/>
          <w:b/>
          <w:bCs/>
          <w:color w:val="0D7A7A"/>
          <w:sz w:val="34"/>
          <w:szCs w:val="34"/>
        </w:rPr>
        <w:t xml:space="preserve">15.4 Automated Coaching Referral Signals</w:t>
      </w:r>
    </w:p>
    <w:p>
      <w:pPr>
        <w:pBdr>
          <w:left w:val="single" w:color="B8860B" w:sz="14" w:space="8"/>
        </w:pBdr>
        <w:spacing w:after="100" w:before="100"/>
        <w:ind w:left="360"/>
      </w:pPr>
      <w:r>
        <w:rPr>
          <w:rFonts w:ascii="Arial" w:cs="Arial" w:eastAsia="Arial" w:hAnsi="Arial"/>
          <w:b w:val="false"/>
          <w:bCs w:val="false"/>
          <w:i/>
          <w:iCs/>
          <w:color w:val="8B6C42"/>
          <w:sz w:val="20"/>
          <w:szCs w:val="20"/>
        </w:rPr>
        <w:t xml:space="preserve">Signals inform the advisor. The advisor ALWAYS makes the final referral decision. Signals never trigger automatic referrals.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w:tc>
          <w:tcPr>
            <w:tcW w:type="dxa" w:w="3200"/>
            <w:tcBorders>
              <w:top w:val="single" w:color="1C2B45" w:sz="1"/>
              <w:left w:val="single" w:color="1C2B45" w:sz="1"/>
              <w:bottom w:val="single" w:color="1C2B45" w:sz="1"/>
              <w:right w:val="single" w:color="1C2B45" w:sz="1"/>
            </w:tcBorders>
            <w:shd w:fill="1C2B45" w:val="clear"/>
            <w:tcMar>
              <w:top w:type="dxa" w:w="100"/>
              <w:left w:type="dxa" w:w="140"/>
              <w:bottom w:type="dxa" w:w="100"/>
              <w:right w:type="dxa" w:w="140"/>
            </w:tcMar>
          </w:tcPr>
          <w:p>
            <w:r>
              <w:rPr>
                <w:rFonts w:ascii="Arial" w:cs="Arial" w:eastAsia="Arial" w:hAnsi="Arial"/>
                <w:b/>
                <w:bCs/>
                <w:color w:val="FFFFFF"/>
                <w:sz w:val="19"/>
                <w:szCs w:val="19"/>
              </w:rPr>
              <w:t xml:space="preserve">Signal</w:t>
            </w:r>
          </w:p>
        </w:tc>
        <w:tc>
          <w:tcPr>
            <w:tcW w:type="dxa" w:w="2560"/>
            <w:tcBorders>
              <w:top w:val="single" w:color="1C2B45" w:sz="1"/>
              <w:left w:val="single" w:color="1C2B45" w:sz="1"/>
              <w:bottom w:val="single" w:color="1C2B45" w:sz="1"/>
              <w:right w:val="single" w:color="1C2B45" w:sz="1"/>
            </w:tcBorders>
            <w:shd w:fill="1C2B45" w:val="clear"/>
            <w:tcMar>
              <w:top w:type="dxa" w:w="100"/>
              <w:left w:type="dxa" w:w="140"/>
              <w:bottom w:type="dxa" w:w="100"/>
              <w:right w:type="dxa" w:w="140"/>
            </w:tcMar>
          </w:tcPr>
          <w:p>
            <w:r>
              <w:rPr>
                <w:rFonts w:ascii="Arial" w:cs="Arial" w:eastAsia="Arial" w:hAnsi="Arial"/>
                <w:b/>
                <w:bCs/>
                <w:color w:val="FFFFFF"/>
                <w:sz w:val="19"/>
                <w:szCs w:val="19"/>
              </w:rPr>
              <w:t xml:space="preserve">Specialisation Suggested</w:t>
            </w:r>
          </w:p>
        </w:tc>
        <w:tc>
          <w:tcPr>
            <w:tcW w:type="dxa" w:w="3600"/>
            <w:tcBorders>
              <w:top w:val="single" w:color="1C2B45" w:sz="1"/>
              <w:left w:val="single" w:color="1C2B45" w:sz="1"/>
              <w:bottom w:val="single" w:color="1C2B45" w:sz="1"/>
              <w:right w:val="single" w:color="1C2B45" w:sz="1"/>
            </w:tcBorders>
            <w:shd w:fill="1C2B45" w:val="clear"/>
            <w:tcMar>
              <w:top w:type="dxa" w:w="100"/>
              <w:left w:type="dxa" w:w="140"/>
              <w:bottom w:type="dxa" w:w="100"/>
              <w:right w:type="dxa" w:w="140"/>
            </w:tcMar>
          </w:tcPr>
          <w:p>
            <w:r>
              <w:rPr>
                <w:rFonts w:ascii="Arial" w:cs="Arial" w:eastAsia="Arial" w:hAnsi="Arial"/>
                <w:b/>
                <w:bCs/>
                <w:color w:val="FFFFFF"/>
                <w:sz w:val="19"/>
                <w:szCs w:val="19"/>
              </w:rPr>
              <w:t xml:space="preserve">Threshold</w:t>
            </w:r>
          </w:p>
        </w:tc>
      </w:tr>
      <w:tr>
        <w:tc>
          <w:tcPr>
            <w:tcW w:type="dxa" w:w="32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Wellbeing check-in score at or below 2 — personal coping (consecutive months)</w:t>
            </w:r>
          </w:p>
        </w:tc>
        <w:tc>
          <w:tcPr>
            <w:tcW w:type="dxa" w:w="256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Life Coach or Mental Health Coach</w:t>
            </w:r>
          </w:p>
        </w:tc>
        <w:tc>
          <w:tcPr>
            <w:tcW w:type="dxa" w:w="36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2 consecutive months at 2 or below</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Client knowledge assessment leadership gap</w:t>
            </w:r>
          </w:p>
        </w:tc>
        <w:tc>
          <w:tcPr>
            <w:tcW w:type="dxa" w:w="25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Business / Executive Coach</w:t>
            </w:r>
          </w:p>
        </w:tc>
        <w:tc>
          <w:tcPr>
            <w:tcW w:type="dxa" w:w="36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Leadership score below configurable threshold</w:t>
            </w:r>
          </w:p>
        </w:tc>
      </w:tr>
      <w:tr>
        <w:tc>
          <w:tcPr>
            <w:tcW w:type="dxa" w:w="32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Entrepreneur readiness assessment — personal readiness barriers identified</w:t>
            </w:r>
          </w:p>
        </w:tc>
        <w:tc>
          <w:tcPr>
            <w:tcW w:type="dxa" w:w="256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Life Coach or Business Coach</w:t>
            </w:r>
          </w:p>
        </w:tc>
        <w:tc>
          <w:tcPr>
            <w:tcW w:type="dxa" w:w="36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Readiness outcome: Develop First, personal barriers cited</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Succession planning — owner readiness is primary constraint</w:t>
            </w:r>
          </w:p>
        </w:tc>
        <w:tc>
          <w:tcPr>
            <w:tcW w:type="dxa" w:w="25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Business / Executive Coach</w:t>
            </w:r>
          </w:p>
        </w:tc>
        <w:tc>
          <w:tcPr>
            <w:tcW w:type="dxa" w:w="36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Owner readiness = primary succession gap</w:t>
            </w:r>
          </w:p>
        </w:tc>
      </w:tr>
      <w:tr>
        <w:tc>
          <w:tcPr>
            <w:tcW w:type="dxa" w:w="32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HR analysis — key staff member needs leadership development</w:t>
            </w:r>
          </w:p>
        </w:tc>
        <w:tc>
          <w:tcPr>
            <w:tcW w:type="dxa" w:w="256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Business/Executive Coach or Career Coach</w:t>
            </w:r>
          </w:p>
        </w:tc>
        <w:tc>
          <w:tcPr>
            <w:tcW w:type="dxa" w:w="36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Staff development recommendation generated</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Financial stress red flag combined with personal coping concern</w:t>
            </w:r>
          </w:p>
        </w:tc>
        <w:tc>
          <w:tcPr>
            <w:tcW w:type="dxa" w:w="25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Financial Wellness Coach or Life Coach</w:t>
            </w:r>
          </w:p>
        </w:tc>
        <w:tc>
          <w:tcPr>
            <w:tcW w:type="dxa" w:w="36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Financial red flag plus wellbeing score at or below 3</w:t>
            </w:r>
          </w:p>
        </w:tc>
      </w:tr>
      <w:tr>
        <w:tc>
          <w:tcPr>
            <w:tcW w:type="dxa" w:w="32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Key person dependency score critical</w:t>
            </w:r>
          </w:p>
        </w:tc>
        <w:tc>
          <w:tcPr>
            <w:tcW w:type="dxa" w:w="256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Business / Executive Coach</w:t>
            </w:r>
          </w:p>
        </w:tc>
        <w:tc>
          <w:tcPr>
            <w:tcW w:type="dxa" w:w="36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Owner-dependency score 8 or above</w:t>
            </w:r>
          </w:p>
        </w:tc>
      </w:tr>
    </w:tbl>
    <w:p>
      <w:pPr>
        <w:spacing w:after="0" w:before="0"/>
      </w:pPr>
      <w:r>
        <w:t xml:space="preserve"/>
      </w:r>
    </w:p>
    <w:p>
      <w:pPr>
        <w:pStyle w:val="Heading2"/>
        <w:spacing w:after="160" w:before="360"/>
      </w:pPr>
      <w:r>
        <w:rPr>
          <w:rFonts w:ascii="Arial" w:cs="Arial" w:eastAsia="Arial" w:hAnsi="Arial"/>
          <w:b/>
          <w:bCs/>
          <w:color w:val="0D7A7A"/>
          <w:sz w:val="34"/>
          <w:szCs w:val="34"/>
        </w:rPr>
        <w:t xml:space="preserve">15.5 Referral Process and Coach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Referral Generation</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Pre-populated from client/entrepreneur data and coach profile requirements. Advisor reviews and approves before sending.</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Referral Stages</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Referral Sent, Received and Reviewing, Client Contacted, Session Booked, Coaching Underway, Concluded, Declined.</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Reverse Referrals</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Coach submits coaching client who needs advisory support. One-click new client or entrepreneur profile creation.</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Coach Portal Sections</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My Profile, My Referrals, Referral Detail with messaging, Reverse Referral, My Agreements, Notifications.</w:t>
            </w:r>
          </w:p>
        </w:tc>
      </w:tr>
    </w:tbl>
    <w:p>
      <w:pPr>
        <w:spacing w:after="0" w:before="0"/>
      </w:pPr>
      <w:r>
        <w:t xml:space="preserve"/>
      </w:r>
    </w:p>
    <w:p>
      <w:pPr>
        <w:pStyle w:val="Heading2"/>
        <w:spacing w:after="160" w:before="360"/>
      </w:pPr>
      <w:r>
        <w:rPr>
          <w:rFonts w:ascii="Arial" w:cs="Arial" w:eastAsia="Arial" w:hAnsi="Arial"/>
          <w:b/>
          <w:bCs/>
          <w:color w:val="0D7A7A"/>
          <w:sz w:val="34"/>
          <w:szCs w:val="34"/>
        </w:rPr>
        <w:t xml:space="preserve">15.6 Coach Panel Agreement Key Clauses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Scope Boundary</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FSA provides introductions only. FSA accepts no liability for coaching advice or outcomes.</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Wellbeing Scope Boundary</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Coaches operate within professional scope. Clinical mental health needs referred to appropriate clinical services. Neither FSA nor the coach is a clinical mental health provider.</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Mutual Referral</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Coach refers eligible clients needing business advisory or entrepreneurial support to FSA.</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No Referral Fees</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No financial referral fees in either direction.</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Confidentiality</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Client information used solely for the referred coaching engagement.</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Professional Indemnity</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Coach confirms adequate PI insurance.</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Agreement Updates</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Material changes require re-signing within 14 days.</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B45" w:val="clear"/>
            <w:tcMar>
              <w:top w:type="dxa" w:w="260"/>
              <w:left w:type="dxa" w:w="360"/>
              <w:bottom w:type="dxa" w:w="260"/>
              <w:right w:type="dxa" w:w="360"/>
            </w:tcMar>
          </w:tcPr>
          <w:p>
            <w:pPr>
              <w:spacing w:after="80" w:before="0"/>
            </w:pPr>
            <w:r>
              <w:rPr>
                <w:rFonts w:ascii="Arial" w:cs="Arial" w:eastAsia="Arial" w:hAnsi="Arial"/>
                <w:b/>
                <w:bCs/>
                <w:color w:val="FFFFFF"/>
                <w:sz w:val="40"/>
                <w:szCs w:val="40"/>
              </w:rPr>
              <w:t xml:space="preserve">SECTION 16</w:t>
            </w:r>
          </w:p>
          <w:p>
            <w:pPr>
              <w:spacing w:after="0" w:before="0"/>
            </w:pPr>
            <w:r>
              <w:rPr>
                <w:rFonts w:ascii="Arial" w:cs="Arial" w:eastAsia="Arial" w:hAnsi="Arial"/>
                <w:i/>
                <w:iCs/>
                <w:color w:val="E8D5A0"/>
                <w:sz w:val="22"/>
                <w:szCs w:val="22"/>
              </w:rPr>
              <w:t xml:space="preserve">Due Diligence Feature</w:t>
            </w:r>
          </w:p>
        </w:tc>
      </w:tr>
    </w:tbl>
    <w:p>
      <w:pPr>
        <w:spacing w:after="0" w:before="0"/>
      </w:pPr>
      <w:r>
        <w:t xml:space="preserve"/>
      </w:r>
    </w:p>
    <w:p>
      <w:pPr>
        <w:pStyle w:val="Heading1"/>
        <w:pBdr>
          <w:bottom w:val="single" w:color="B8860B" w:sz="8" w:space="6"/>
        </w:pBdr>
        <w:spacing w:after="200" w:before="480"/>
      </w:pPr>
      <w:r>
        <w:rPr>
          <w:rFonts w:ascii="Arial" w:cs="Arial" w:eastAsia="Arial" w:hAnsi="Arial"/>
          <w:b/>
          <w:bCs/>
          <w:color w:val="1C2B45"/>
          <w:sz w:val="44"/>
          <w:szCs w:val="44"/>
        </w:rPr>
        <w:t xml:space="preserve">16. Due Diligence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9F6F0" w:val="clear"/>
            <w:tcMar>
              <w:top w:type="dxa" w:w="180"/>
              <w:left w:type="dxa" w:w="260"/>
              <w:bottom w:type="dxa" w:w="180"/>
              <w:right w:type="dxa" w:w="260"/>
            </w:tcMar>
          </w:tcPr>
          <w:p>
            <w:pPr>
              <w:spacing w:after="40" w:before="40"/>
            </w:pPr>
            <w:r>
              <w:rPr>
                <w:rFonts w:ascii="Arial" w:cs="Arial" w:eastAsia="Arial" w:hAnsi="Arial"/>
                <w:b w:val="false"/>
                <w:bCs w:val="false"/>
                <w:i w:val="false"/>
                <w:iCs w:val="false"/>
                <w:color w:val="1C2B45"/>
                <w:sz w:val="21"/>
                <w:szCs w:val="21"/>
              </w:rPr>
              <w:t xml:space="preserve">LIABILITY DISCLAIMER on every DD output: Future Shift Advisory's due diligence support is advisory only. It does not constitute legal, tax, accounting, or investment advice. A qualified NZ lawyer and accountant must be engaged before any acquisition proceeds. Future Shift Advisory accepts no liability for any acquisition decision made in reliance on platform-generated DD outputs.</w:t>
            </w:r>
          </w:p>
        </w:tc>
      </w:tr>
    </w:tbl>
    <w:p>
      <w:pPr>
        <w:spacing w:after="0" w:before="0"/>
      </w:pPr>
      <w:r>
        <w:t xml:space="preserve"/>
      </w:r>
    </w:p>
    <w:p>
      <w:pPr>
        <w:pStyle w:val="Heading2"/>
        <w:spacing w:after="160" w:before="360"/>
      </w:pPr>
      <w:r>
        <w:rPr>
          <w:rFonts w:ascii="Arial" w:cs="Arial" w:eastAsia="Arial" w:hAnsi="Arial"/>
          <w:b/>
          <w:bCs/>
          <w:color w:val="0D7A7A"/>
          <w:sz w:val="34"/>
          <w:szCs w:val="34"/>
        </w:rPr>
        <w:t xml:space="preserve">16.1 DD Client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New Clients</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Full FSA onboarding: client profile creation, MFA, T&amp;C acceptance, DD fee proposal signed, payment authority completed.</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DD Questionnaire Only</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DD-specific questionnaire at onboarding. Standard advisory questionnaire NOT presented at this stage — deferred to post-acquisition.</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Acquisition Target Tab</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Dedicated tab in client profile — all target business documents and analysis separate from buyer's own data.</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Conflict of Interest</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Mandatory declaration before DD engagement begins.</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Business Plan Builder</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Available during DD engagement — DD findings auto-populate relevant plan sections as workstreams complete.</w:t>
            </w:r>
          </w:p>
        </w:tc>
      </w:tr>
    </w:tbl>
    <w:p>
      <w:pPr>
        <w:spacing w:after="0" w:before="0"/>
      </w:pPr>
      <w:r>
        <w:t xml:space="preserve"/>
      </w:r>
    </w:p>
    <w:p>
      <w:pPr>
        <w:pStyle w:val="Heading2"/>
        <w:spacing w:after="160" w:before="360"/>
      </w:pPr>
      <w:r>
        <w:rPr>
          <w:rFonts w:ascii="Arial" w:cs="Arial" w:eastAsia="Arial" w:hAnsi="Arial"/>
          <w:b/>
          <w:bCs/>
          <w:color w:val="0D7A7A"/>
          <w:sz w:val="34"/>
          <w:szCs w:val="34"/>
        </w:rPr>
        <w:t xml:space="preserve">16.2 Eight DD Workstreams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3600"/>
      </w:tblGrid>
      <w:tr>
        <w:tc>
          <w:tcPr>
            <w:tcW w:type="dxa" w:w="1800"/>
            <w:tcBorders>
              <w:top w:val="single" w:color="1C2B45" w:sz="1"/>
              <w:left w:val="single" w:color="1C2B45" w:sz="1"/>
              <w:bottom w:val="single" w:color="1C2B45" w:sz="1"/>
              <w:right w:val="single" w:color="1C2B45" w:sz="1"/>
            </w:tcBorders>
            <w:shd w:fill="1C2B45" w:val="clear"/>
            <w:tcMar>
              <w:top w:type="dxa" w:w="100"/>
              <w:left w:type="dxa" w:w="140"/>
              <w:bottom w:type="dxa" w:w="100"/>
              <w:right w:type="dxa" w:w="140"/>
            </w:tcMar>
          </w:tcPr>
          <w:p>
            <w:r>
              <w:rPr>
                <w:rFonts w:ascii="Arial" w:cs="Arial" w:eastAsia="Arial" w:hAnsi="Arial"/>
                <w:b/>
                <w:bCs/>
                <w:color w:val="FFFFFF"/>
                <w:sz w:val="19"/>
                <w:szCs w:val="19"/>
              </w:rPr>
              <w:t xml:space="preserve">Workstream</w:t>
            </w:r>
          </w:p>
        </w:tc>
        <w:tc>
          <w:tcPr>
            <w:tcW w:type="dxa" w:w="3960"/>
            <w:tcBorders>
              <w:top w:val="single" w:color="1C2B45" w:sz="1"/>
              <w:left w:val="single" w:color="1C2B45" w:sz="1"/>
              <w:bottom w:val="single" w:color="1C2B45" w:sz="1"/>
              <w:right w:val="single" w:color="1C2B45" w:sz="1"/>
            </w:tcBorders>
            <w:shd w:fill="1C2B45" w:val="clear"/>
            <w:tcMar>
              <w:top w:type="dxa" w:w="100"/>
              <w:left w:type="dxa" w:w="140"/>
              <w:bottom w:type="dxa" w:w="100"/>
              <w:right w:type="dxa" w:w="140"/>
            </w:tcMar>
          </w:tcPr>
          <w:p>
            <w:r>
              <w:rPr>
                <w:rFonts w:ascii="Arial" w:cs="Arial" w:eastAsia="Arial" w:hAnsi="Arial"/>
                <w:b/>
                <w:bCs/>
                <w:color w:val="FFFFFF"/>
                <w:sz w:val="19"/>
                <w:szCs w:val="19"/>
              </w:rPr>
              <w:t xml:space="preserve">Key Scope</w:t>
            </w:r>
          </w:p>
        </w:tc>
        <w:tc>
          <w:tcPr>
            <w:tcW w:type="dxa" w:w="3600"/>
            <w:tcBorders>
              <w:top w:val="single" w:color="1C2B45" w:sz="1"/>
              <w:left w:val="single" w:color="1C2B45" w:sz="1"/>
              <w:bottom w:val="single" w:color="1C2B45" w:sz="1"/>
              <w:right w:val="single" w:color="1C2B45" w:sz="1"/>
            </w:tcBorders>
            <w:shd w:fill="1C2B45" w:val="clear"/>
            <w:tcMar>
              <w:top w:type="dxa" w:w="100"/>
              <w:left w:type="dxa" w:w="140"/>
              <w:bottom w:type="dxa" w:w="100"/>
              <w:right w:type="dxa" w:w="140"/>
            </w:tcMar>
          </w:tcPr>
          <w:p>
            <w:r>
              <w:rPr>
                <w:rFonts w:ascii="Arial" w:cs="Arial" w:eastAsia="Arial" w:hAnsi="Arial"/>
                <w:b/>
                <w:bCs/>
                <w:color w:val="FFFFFF"/>
                <w:sz w:val="19"/>
                <w:szCs w:val="19"/>
              </w:rPr>
              <w:t xml:space="preserve">NZ-Specific</w:t>
            </w:r>
          </w:p>
        </w:tc>
      </w:tr>
      <w:tr>
        <w:tc>
          <w:tcPr>
            <w:tcW w:type="dxa" w:w="18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1 — Financial DD</w:t>
            </w:r>
          </w:p>
        </w:tc>
        <w:tc>
          <w:tcPr>
            <w:tcW w:type="dxa" w:w="396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3-5 years financials, QoE analysis, working capital, debt, revenue quality</w:t>
            </w:r>
          </w:p>
        </w:tc>
        <w:tc>
          <w:tcPr>
            <w:tcW w:type="dxa" w:w="36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IRD tax position, GST, PAYE obligations</w:t>
            </w:r>
          </w:p>
        </w:tc>
      </w:tr>
      <w:tr>
        <w:tc>
          <w:tcPr>
            <w:tcW w:type="dxa" w:w="18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2 — Business Valuation</w:t>
            </w:r>
          </w:p>
        </w:tc>
        <w:tc>
          <w:tcPr>
            <w:tcW w:type="dxa" w:w="39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SDE, EBITDA multiple, DCF+PV — all 3 side by side. Reconciled range. Buyer negotiating position.</w:t>
            </w:r>
          </w:p>
        </w:tc>
        <w:tc>
          <w:tcPr>
            <w:tcW w:type="dxa" w:w="36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NZ-benchmarked multiples. MBIE and NZ Business Brokers data.</w:t>
            </w:r>
          </w:p>
        </w:tc>
      </w:tr>
      <w:tr>
        <w:tc>
          <w:tcPr>
            <w:tcW w:type="dxa" w:w="18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3 — Legal DD</w:t>
            </w:r>
          </w:p>
        </w:tc>
        <w:tc>
          <w:tcPr>
            <w:tcW w:type="dxa" w:w="396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Company registration, director history, PPSR charges, leases, contracts, change-of-control clauses, IP</w:t>
            </w:r>
          </w:p>
        </w:tc>
        <w:tc>
          <w:tcPr>
            <w:tcW w:type="dxa" w:w="36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PPSR check, LINZ property interests, IPONZ IP registrations</w:t>
            </w:r>
          </w:p>
        </w:tc>
      </w:tr>
      <w:tr>
        <w:tc>
          <w:tcPr>
            <w:tcW w:type="dxa" w:w="18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4 — Tax DD</w:t>
            </w:r>
          </w:p>
        </w:tc>
        <w:tc>
          <w:tcPr>
            <w:tcW w:type="dxa" w:w="39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IRD compliance, GST, PAYE, income tax, depreciation, aggressive positions</w:t>
            </w:r>
          </w:p>
        </w:tc>
        <w:tc>
          <w:tcPr>
            <w:tcW w:type="dxa" w:w="36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Asset vs share purchase tax liability flag</w:t>
            </w:r>
          </w:p>
        </w:tc>
      </w:tr>
      <w:tr>
        <w:tc>
          <w:tcPr>
            <w:tcW w:type="dxa" w:w="18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5 — Commercial and Market DD</w:t>
            </w:r>
          </w:p>
        </w:tc>
        <w:tc>
          <w:tcPr>
            <w:tcW w:type="dxa" w:w="396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Customer analysis, supplier dependencies, competitive position, market growth</w:t>
            </w:r>
          </w:p>
        </w:tc>
        <w:tc>
          <w:tcPr>
            <w:tcW w:type="dxa" w:w="36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NZ economic overlay: OCR, CPI, MBIE sector data</w:t>
            </w:r>
          </w:p>
        </w:tc>
      </w:tr>
      <w:tr>
        <w:tc>
          <w:tcPr>
            <w:tcW w:type="dxa" w:w="18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6 — Operational DD</w:t>
            </w:r>
          </w:p>
        </w:tc>
        <w:tc>
          <w:tcPr>
            <w:tcW w:type="dxa" w:w="39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Processes, SOPs, systems, equipment condition, supply chain</w:t>
            </w:r>
          </w:p>
        </w:tc>
        <w:tc>
          <w:tcPr>
            <w:tcW w:type="dxa" w:w="36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Owner-dependency score (1-10) as standalone risk factor</w:t>
            </w:r>
          </w:p>
        </w:tc>
      </w:tr>
      <w:tr>
        <w:tc>
          <w:tcPr>
            <w:tcW w:type="dxa" w:w="18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7 — HR and People DD</w:t>
            </w:r>
          </w:p>
        </w:tc>
        <w:tc>
          <w:tcPr>
            <w:tcW w:type="dxa" w:w="396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Employment agreements, Holidays Act liability, H&amp;S, key person retention, grievance history</w:t>
            </w:r>
          </w:p>
        </w:tc>
        <w:tc>
          <w:tcPr>
            <w:tcW w:type="dxa" w:w="36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Holidays Act underpayment liability automatically quantified</w:t>
            </w:r>
          </w:p>
        </w:tc>
      </w:tr>
      <w:tr>
        <w:tc>
          <w:tcPr>
            <w:tcW w:type="dxa" w:w="18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8 — NZ Regulatory DD</w:t>
            </w:r>
          </w:p>
        </w:tc>
        <w:tc>
          <w:tcPr>
            <w:tcW w:type="dxa" w:w="39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RMA consents, FSPR, liquor licensing, building consents, food safety, industry licensing</w:t>
            </w:r>
          </w:p>
        </w:tc>
        <w:tc>
          <w:tcPr>
            <w:tcW w:type="dxa" w:w="36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NZ-specific risks absent from offshore DD frameworks</w:t>
            </w:r>
          </w:p>
        </w:tc>
      </w:tr>
    </w:tbl>
    <w:p>
      <w:pPr>
        <w:spacing w:after="0" w:before="0"/>
      </w:pPr>
      <w:r>
        <w:t xml:space="preserve"/>
      </w:r>
    </w:p>
    <w:p>
      <w:pPr>
        <w:pStyle w:val="Heading2"/>
        <w:spacing w:after="160" w:before="360"/>
      </w:pPr>
      <w:r>
        <w:rPr>
          <w:rFonts w:ascii="Arial" w:cs="Arial" w:eastAsia="Arial" w:hAnsi="Arial"/>
          <w:b/>
          <w:bCs/>
          <w:color w:val="0D7A7A"/>
          <w:sz w:val="34"/>
          <w:szCs w:val="34"/>
        </w:rPr>
        <w:t xml:space="preserve">16.3 Virtual Data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Structure</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Organised by workstream. Separate from standard filing cabinet.</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Guest Upload</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Time-limited upload-only link for target business. Cannot view anything. Virus-scanned. Audit-logged. Revocable instantly.</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Foreign Currency</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RBNZ rate applied to normalise foreign revenues to NZD. Rate timestamped. Plus/minus 10% sensitivity analysis.</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Business Plan Builder</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Available during DD — DD findings auto-populate plan sections as workstreams complete. See Section 17.13.</w:t>
            </w:r>
          </w:p>
        </w:tc>
      </w:tr>
    </w:tbl>
    <w:p>
      <w:pPr>
        <w:spacing w:after="0" w:before="0"/>
      </w:pPr>
      <w:r>
        <w:t xml:space="preserve"/>
      </w:r>
    </w:p>
    <w:p>
      <w:pPr>
        <w:pStyle w:val="Heading2"/>
        <w:spacing w:after="160" w:before="360"/>
      </w:pPr>
      <w:r>
        <w:rPr>
          <w:rFonts w:ascii="Arial" w:cs="Arial" w:eastAsia="Arial" w:hAnsi="Arial"/>
          <w:b/>
          <w:bCs/>
          <w:color w:val="0D7A7A"/>
          <w:sz w:val="34"/>
          <w:szCs w:val="34"/>
        </w:rPr>
        <w:t xml:space="preserve">16.4 DD Outputs and Post-Acquisition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DD Report</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Separate branded PDF: Executive Summary, Valuation (all 3 methods plus PV), Workstream Findings, Risk Register (Deal Killer/Major/Minor/Informational), Price Adjustment Schedule, 100-Day Integration Plan, Buyer Readiness Assessment.</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Three-Outcome Recommendation</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Proceed, Renegotiate (with specific renegotiation points), Abandon (with rationale).</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Post-Acquisition Trigger</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Advisor marks DD status as "Acquisition Proceeding."</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New Advisory Profile</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Acquired business becomes its own FSA advisory client. All DD documents migrated with "Sourced from DD" labelling.</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Intelligent Gap Questionnaire</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Standard advisory questionnaire cross-referenced against DD data. Client completes outstanding gaps only.</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Auto-Generated Proposal</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Post-acquisition proposal pre-populated from DD intelligence. Outcome-based fee unusually precise.</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DD Business Plan</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If built during DD, becomes founding business plan for new advisory engagement.</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B45" w:val="clear"/>
            <w:tcMar>
              <w:top w:type="dxa" w:w="260"/>
              <w:left w:type="dxa" w:w="360"/>
              <w:bottom w:type="dxa" w:w="260"/>
              <w:right w:type="dxa" w:w="360"/>
            </w:tcMar>
          </w:tcPr>
          <w:p>
            <w:pPr>
              <w:spacing w:after="80" w:before="0"/>
            </w:pPr>
            <w:r>
              <w:rPr>
                <w:rFonts w:ascii="Arial" w:cs="Arial" w:eastAsia="Arial" w:hAnsi="Arial"/>
                <w:b/>
                <w:bCs/>
                <w:color w:val="FFFFFF"/>
                <w:sz w:val="40"/>
                <w:szCs w:val="40"/>
              </w:rPr>
              <w:t xml:space="preserve">SECTION 17</w:t>
            </w:r>
          </w:p>
          <w:p>
            <w:pPr>
              <w:spacing w:after="0" w:before="0"/>
            </w:pPr>
            <w:r>
              <w:rPr>
                <w:rFonts w:ascii="Arial" w:cs="Arial" w:eastAsia="Arial" w:hAnsi="Arial"/>
                <w:i/>
                <w:iCs/>
                <w:color w:val="E8D5A0"/>
                <w:sz w:val="22"/>
                <w:szCs w:val="22"/>
              </w:rPr>
              <w:t xml:space="preserve">Entrepreneur Module — New in Version 2.4</w:t>
            </w:r>
          </w:p>
        </w:tc>
      </w:tr>
    </w:tbl>
    <w:p>
      <w:pPr>
        <w:spacing w:after="0" w:before="0"/>
      </w:pPr>
      <w:r>
        <w:t xml:space="preserve"/>
      </w:r>
    </w:p>
    <w:p>
      <w:pPr>
        <w:pStyle w:val="Heading1"/>
        <w:pBdr>
          <w:bottom w:val="single" w:color="B8860B" w:sz="8" w:space="6"/>
        </w:pBdr>
        <w:spacing w:after="200" w:before="480"/>
      </w:pPr>
      <w:r>
        <w:rPr>
          <w:rFonts w:ascii="Arial" w:cs="Arial" w:eastAsia="Arial" w:hAnsi="Arial"/>
          <w:b/>
          <w:bCs/>
          <w:color w:val="1C2B45"/>
          <w:sz w:val="44"/>
          <w:szCs w:val="44"/>
        </w:rPr>
        <w:t xml:space="preserve">17. Entrepreneur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20" w:sz="1"/>
              <w:left w:val="single" w:color="D4A020" w:sz="1"/>
              <w:bottom w:val="single" w:color="D4A020" w:sz="1"/>
              <w:right w:val="single" w:color="D4A020" w:sz="1"/>
            </w:tcBorders>
            <w:shd w:fill="E8D5A0" w:val="clear"/>
            <w:tcMar>
              <w:top w:type="dxa" w:w="80"/>
              <w:left w:type="dxa" w:w="200"/>
              <w:bottom w:type="dxa" w:w="80"/>
              <w:right w:type="dxa" w:w="200"/>
            </w:tcMar>
          </w:tcPr>
          <w:p>
            <w:pPr>
              <w:spacing w:after="0" w:before="0"/>
            </w:pPr>
            <w:r>
              <w:rPr>
                <w:rFonts w:ascii="Arial" w:cs="Arial" w:eastAsia="Arial" w:hAnsi="Arial"/>
                <w:b/>
                <w:bCs/>
                <w:color w:val="B8860B"/>
                <w:sz w:val="20"/>
                <w:szCs w:val="20"/>
              </w:rPr>
              <w:t xml:space="preserve">★  New in Version 2.4</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
              <w:left w:val="single" w:color="8B1A1A" w:sz="1"/>
              <w:bottom w:val="single" w:color="8B1A1A" w:sz="1"/>
              <w:right w:val="single" w:color="8B1A1A" w:sz="1"/>
            </w:tcBorders>
            <w:shd w:fill="FDF0F0" w:val="clear"/>
            <w:tcMar>
              <w:top w:type="dxa" w:w="180"/>
              <w:left w:type="dxa" w:w="260"/>
              <w:bottom w:type="dxa" w:w="180"/>
              <w:right w:type="dxa" w:w="260"/>
            </w:tcMar>
          </w:tcPr>
          <w:p>
            <w:pPr>
              <w:spacing w:after="40" w:before="40"/>
            </w:pPr>
            <w:r>
              <w:rPr>
                <w:rFonts w:ascii="Arial" w:cs="Arial" w:eastAsia="Arial" w:hAnsi="Arial"/>
                <w:b w:val="false"/>
                <w:bCs w:val="false"/>
                <w:i w:val="false"/>
                <w:iCs w:val="false"/>
                <w:color w:val="8B1A1A"/>
                <w:sz w:val="21"/>
                <w:szCs w:val="21"/>
              </w:rPr>
              <w:t xml:space="preserve">AI INTEGRITY PRINCIPLE APPLIES WITH HEIGHTENED IMPORTANCE.</w:t>
            </w:r>
          </w:p>
          <w:p>
            <w:pPr>
              <w:spacing w:after="40" w:before="40"/>
            </w:pPr>
            <w:r>
              <w:rPr>
                <w:rFonts w:ascii="Arial" w:cs="Arial" w:eastAsia="Arial" w:hAnsi="Arial"/>
                <w:b w:val="false"/>
                <w:bCs w:val="false"/>
                <w:i w:val="false"/>
                <w:iCs w:val="false"/>
                <w:color w:val="8B1A1A"/>
                <w:sz w:val="21"/>
                <w:szCs w:val="21"/>
              </w:rPr>
              <w:t xml:space="preserve">Entrepreneurs are often making life-defining decisions. The platform is honest, evidence-based,</w:t>
            </w:r>
          </w:p>
          <w:p>
            <w:pPr>
              <w:spacing w:after="40" w:before="40"/>
            </w:pPr>
            <w:r>
              <w:rPr>
                <w:rFonts w:ascii="Arial" w:cs="Arial" w:eastAsia="Arial" w:hAnsi="Arial"/>
                <w:b w:val="false"/>
                <w:bCs w:val="false"/>
                <w:i w:val="false"/>
                <w:iCs w:val="false"/>
                <w:color w:val="8B1A1A"/>
                <w:sz w:val="21"/>
                <w:szCs w:val="21"/>
              </w:rPr>
              <w:t xml:space="preserve">accurate, free from bias, and truthful at all times.</w:t>
            </w:r>
          </w:p>
          <w:p>
            <w:pPr>
              <w:spacing w:after="40" w:before="40"/>
            </w:pPr>
            <w:r>
              <w:rPr>
                <w:rFonts w:ascii="Arial" w:cs="Arial" w:eastAsia="Arial" w:hAnsi="Arial"/>
                <w:b w:val="false"/>
                <w:bCs w:val="false"/>
                <w:i w:val="false"/>
                <w:iCs w:val="false"/>
                <w:color w:val="8B1A1A"/>
                <w:sz w:val="21"/>
                <w:szCs w:val="21"/>
              </w:rPr>
              <w:t xml:space="preserve">Honest assessments are delivered with genuine encouragement to improve. Never one without the other.</w:t>
            </w:r>
          </w:p>
        </w:tc>
      </w:tr>
    </w:tbl>
    <w:p>
      <w:pPr>
        <w:spacing w:after="0" w:before="0"/>
      </w:pPr>
      <w:r>
        <w:t xml:space="preserve"/>
      </w:r>
    </w:p>
    <w:p>
      <w:pPr>
        <w:pStyle w:val="Heading2"/>
        <w:spacing w:after="160" w:before="360"/>
      </w:pPr>
      <w:r>
        <w:rPr>
          <w:rFonts w:ascii="Arial" w:cs="Arial" w:eastAsia="Arial" w:hAnsi="Arial"/>
          <w:b/>
          <w:bCs/>
          <w:color w:val="0D7A7A"/>
          <w:sz w:val="34"/>
          <w:szCs w:val="34"/>
        </w:rPr>
        <w:t xml:space="preserve">17.1 Engagement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1. Onboarding</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Invite-only, MFA, T&amp;C acceptance, entrepreneur fee proposal signed.</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2. Readiness Assessment</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15-20 questions. Outcomes: Ready / Develop First / Not Yet. AI learns which factors predict successful plan completion.</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3. Idea Validation</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Problem statement, target customer, solution, value proposition, demand signal, initial revenue model. AI evaluates against past plan patterns. Concept viability alerts raised. Advisor gate before plan builder opens.</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4. Milestone-Based Plan Builder</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5 phases with logical dependencies. Phase 1: Foundation. Phase 2: Market. Phase 3: Strategy. Phase 4: Legal and Operations. Phase 5: Financial. Dependency warning when jumping ahead.</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5. Assessment</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AI first-pass scoring plus advisor review and finalisation. Mentor notes separate from score.</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6. Assessment Report</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Scored report, section feedback, overall grade (Exceptional/Strong/Developing/Needs Work), improvement recommendations, concept PV projection.</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7. Revision Rounds</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Entrepreneur revises and resubmits. Unlimited rounds. Round-by-round progress comparison shown.</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8. Living Plan</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Post-launch quarterly update prompts. Re-assessed on update. Divergence flags advisory readiness.</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9. Advisory Conversion</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Advisor-initiated or entrepreneur-requested. All data pre-populates new advisory profile.</w:t>
            </w:r>
          </w:p>
        </w:tc>
      </w:tr>
    </w:tbl>
    <w:p>
      <w:pPr>
        <w:spacing w:after="0" w:before="0"/>
      </w:pPr>
      <w:r>
        <w:t xml:space="preserve"/>
      </w:r>
    </w:p>
    <w:p>
      <w:pPr>
        <w:pStyle w:val="Heading2"/>
        <w:spacing w:after="160" w:before="360"/>
      </w:pPr>
      <w:r>
        <w:rPr>
          <w:rFonts w:ascii="Arial" w:cs="Arial" w:eastAsia="Arial" w:hAnsi="Arial"/>
          <w:b/>
          <w:bCs/>
          <w:color w:val="0D7A7A"/>
          <w:sz w:val="34"/>
          <w:szCs w:val="34"/>
        </w:rPr>
        <w:t xml:space="preserve">17.2 AI-Guided Building — Learning from Past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Section-Specific Guidance</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AI guides based on patterns from all previous plans. Industry-specific, evidence-cited. "Based on [X] plans in this industry assessed on this platform."</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Gap Detection</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AI identifies what high-scoring plans in the same industry include that this plan does not yet address.</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Industry Risk Awareness</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Flags section-specific risks based on assessment patterns: "73% of food businesses in past assessments were missing health and safety compliance detail in this section."</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Predictive Score</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Live running score estimate during building — based on patterns from past assessed plans. Enables improvement before formal submission.</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No Flattery</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Predictive score reflects real quality. No inflation. Entrepreneur sees an honest indication of where they stand.</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NZ Resource Layer</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Pre-loaded NZ-specific startup resources. AI recommends specific resources based on industry, business type, and identified plan gaps.</w:t>
            </w:r>
          </w:p>
        </w:tc>
      </w:tr>
    </w:tbl>
    <w:p>
      <w:pPr>
        <w:spacing w:after="0" w:before="0"/>
      </w:pPr>
      <w:r>
        <w:t xml:space="preserve"/>
      </w:r>
    </w:p>
    <w:p>
      <w:pPr>
        <w:pStyle w:val="Heading2"/>
        <w:spacing w:after="160" w:before="360"/>
      </w:pPr>
      <w:r>
        <w:rPr>
          <w:rFonts w:ascii="Arial" w:cs="Arial" w:eastAsia="Arial" w:hAnsi="Arial"/>
          <w:b/>
          <w:bCs/>
          <w:color w:val="0D7A7A"/>
          <w:sz w:val="34"/>
          <w:szCs w:val="34"/>
        </w:rPr>
        <w:t xml:space="preserve">17.3 Document Upload with AI Verification</w:t>
      </w:r>
    </w:p>
    <w:p>
      <w:pPr>
        <w:spacing w:after="100" w:before="80"/>
        <w:jc w:val="left"/>
      </w:pPr>
      <w:r>
        <w:rPr>
          <w:rFonts w:ascii="Arial" w:cs="Arial" w:eastAsia="Arial" w:hAnsi="Arial"/>
          <w:b w:val="false"/>
          <w:bCs w:val="false"/>
          <w:i w:val="false"/>
          <w:iCs w:val="false"/>
          <w:color w:val="4A5568"/>
          <w:sz w:val="22"/>
          <w:szCs w:val="22"/>
        </w:rPr>
        <w:t xml:space="preserve">Entrepreneurs attach supporting documents to specific business plan sections. The platform-wide AI relevance and accuracy verification applies in full. Document support affects criterion score — evidence-backed claims score higher than unsupported assertions. Claims contradicted by the entrepreneur's own documents trigger an accuracy discrepancy that must be resolved before scoring.</w:t>
      </w:r>
    </w:p>
    <w:p>
      <w:pPr>
        <w:spacing w:after="0" w:before="0"/>
      </w:pPr>
      <w:r>
        <w:t xml:space="preserve"/>
      </w:r>
    </w:p>
    <w:p>
      <w:pPr>
        <w:pStyle w:val="Heading2"/>
        <w:spacing w:after="160" w:before="360"/>
      </w:pPr>
      <w:r>
        <w:rPr>
          <w:rFonts w:ascii="Arial" w:cs="Arial" w:eastAsia="Arial" w:hAnsi="Arial"/>
          <w:b/>
          <w:bCs/>
          <w:color w:val="0D7A7A"/>
          <w:sz w:val="34"/>
          <w:szCs w:val="34"/>
        </w:rPr>
        <w:t xml:space="preserve">17.4 Rating Framework — Admin-Managed, Learning-Driven</w:t>
      </w:r>
    </w:p>
    <w:p>
      <w:pPr>
        <w:spacing w:after="100" w:before="80"/>
        <w:jc w:val="left"/>
      </w:pPr>
      <w:r>
        <w:rPr>
          <w:rFonts w:ascii="Arial" w:cs="Arial" w:eastAsia="Arial" w:hAnsi="Arial"/>
          <w:b w:val="false"/>
          <w:bCs w:val="false"/>
          <w:i w:val="false"/>
          <w:iCs w:val="false"/>
          <w:color w:val="4A5568"/>
          <w:sz w:val="22"/>
          <w:szCs w:val="22"/>
        </w:rPr>
        <w:t xml:space="preserve">Entirely admin-managed. The PDFs provided by the principal advisor form the founding template. All eleven criteria, weights, scoring descriptors, and industry variants configurable from admin settings without developer involvement. The framework evolves through three dimensions of AI learning: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Dimension 1 — Criterion Weighting Evolution</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AI detects which criteria best predict real-world business success. Proposes weight adjustments based on outcome data. Admin approves via learning update queue.</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Dimension 2 — Scoring Descriptor Calibration</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AI refines descriptors based on actual advisor scoring patterns. Descriptors become codified collective advisor wisdom. Each calibration update admin-approved.</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Dimension 3 — Industry-Specific Rating Variants</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AI develops industry-specific criterion weightings based on historical outcomes. Hospitality weighted more on legal environment. Technology weighted more on IP and competitive differentiation. Admin approves each variant.</w:t>
            </w:r>
          </w:p>
        </w:tc>
      </w:tr>
    </w:tbl>
    <w:p>
      <w:pPr>
        <w:spacing w:after="0" w:before="0"/>
      </w:pPr>
      <w:r>
        <w:t xml:space="preserve"/>
      </w:r>
    </w:p>
    <w:p>
      <w:pPr>
        <w:pStyle w:val="Heading2"/>
        <w:spacing w:after="160" w:before="360"/>
      </w:pPr>
      <w:r>
        <w:rPr>
          <w:rFonts w:ascii="Arial" w:cs="Arial" w:eastAsia="Arial" w:hAnsi="Arial"/>
          <w:b/>
          <w:bCs/>
          <w:color w:val="0D7A7A"/>
          <w:sz w:val="34"/>
          <w:szCs w:val="34"/>
        </w:rPr>
        <w:t xml:space="preserve">17.5 Assessment Process and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Criteria Visibility</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Hidden during building. Revealed in assessment report appendix after finalisation — prevents gaming, enables informed revision.</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AI First-Pass</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AI scores all 11 criteria automatically on submission using the current learned rating framework.</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Advisor Review</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Advisor reviews and adjusts any criterion score with a mandatory note. Every adjustment teaches the AI.</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Mentor Notes</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Per-section narrative comment (visible to entrepreneur), overall development note (visible to entrepreneur), private advisory potential note (advisor-only).</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Assessment Report — Part 1</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Score per criterion with AI and advisor-adjusted score shown. Document support notation. Data quality indicator.</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Assessment Report — Part 2</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Specific written feedback per criterion: what scored well, what was weak, what specifically to change.</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Assessment Report — Part 3</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Overall grade: Exceptional (90%+), Strong (75-89%), Developing (60-74%), Needs Work (below 60%). Grade with written rationale.</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Assessment Report — Part 4</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Prioritised improvement actions for next revision round. NZ resources linked where relevant.</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Concept PV Projection</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What could this business be worth if the plan is executed? Based on industry benchmarks and plan quality.</w:t>
            </w:r>
          </w:p>
        </w:tc>
      </w:tr>
    </w:tbl>
    <w:p>
      <w:pPr>
        <w:spacing w:after="0" w:before="0"/>
      </w:pPr>
      <w:r>
        <w:t xml:space="preserve"/>
      </w:r>
    </w:p>
    <w:p>
      <w:pPr>
        <w:pStyle w:val="Heading2"/>
        <w:spacing w:after="160" w:before="360"/>
      </w:pPr>
      <w:r>
        <w:rPr>
          <w:rFonts w:ascii="Arial" w:cs="Arial" w:eastAsia="Arial" w:hAnsi="Arial"/>
          <w:b/>
          <w:bCs/>
          <w:color w:val="0D7A7A"/>
          <w:sz w:val="34"/>
          <w:szCs w:val="34"/>
        </w:rPr>
        <w:t xml:space="preserve">17.6 Founding Rating Criteria from PDFs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C2B45" w:sz="1"/>
              <w:left w:val="single" w:color="1C2B45" w:sz="1"/>
              <w:bottom w:val="single" w:color="1C2B45" w:sz="1"/>
              <w:right w:val="single" w:color="1C2B45" w:sz="1"/>
            </w:tcBorders>
            <w:shd w:fill="1C2B45" w:val="clear"/>
            <w:tcMar>
              <w:top w:type="dxa" w:w="100"/>
              <w:left w:type="dxa" w:w="140"/>
              <w:bottom w:type="dxa" w:w="100"/>
              <w:right w:type="dxa" w:w="140"/>
            </w:tcMar>
          </w:tcPr>
          <w:p>
            <w:r>
              <w:rPr>
                <w:rFonts w:ascii="Arial" w:cs="Arial" w:eastAsia="Arial" w:hAnsi="Arial"/>
                <w:b/>
                <w:bCs/>
                <w:color w:val="FFFFFF"/>
                <w:sz w:val="19"/>
                <w:szCs w:val="19"/>
              </w:rPr>
              <w:t xml:space="preserve">No.</w:t>
            </w:r>
          </w:p>
        </w:tc>
        <w:tc>
          <w:tcPr>
            <w:tcW w:type="dxa" w:w="8760"/>
            <w:tcBorders>
              <w:top w:val="single" w:color="1C2B45" w:sz="1"/>
              <w:left w:val="single" w:color="1C2B45" w:sz="1"/>
              <w:bottom w:val="single" w:color="1C2B45" w:sz="1"/>
              <w:right w:val="single" w:color="1C2B45" w:sz="1"/>
            </w:tcBorders>
            <w:shd w:fill="1C2B45" w:val="clear"/>
            <w:tcMar>
              <w:top w:type="dxa" w:w="100"/>
              <w:left w:type="dxa" w:w="140"/>
              <w:bottom w:type="dxa" w:w="100"/>
              <w:right w:type="dxa" w:w="140"/>
            </w:tcMar>
          </w:tcPr>
          <w:p>
            <w:r>
              <w:rPr>
                <w:rFonts w:ascii="Arial" w:cs="Arial" w:eastAsia="Arial" w:hAnsi="Arial"/>
                <w:b/>
                <w:bCs/>
                <w:color w:val="FFFFFF"/>
                <w:sz w:val="19"/>
                <w:szCs w:val="19"/>
              </w:rPr>
              <w:t xml:space="preserve">Criterion</w:t>
            </w:r>
          </w:p>
        </w:tc>
      </w:tr>
      <w:tr>
        <w:tc>
          <w:tcPr>
            <w:tcW w:type="dxa" w:w="6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1</w:t>
            </w:r>
          </w:p>
        </w:tc>
        <w:tc>
          <w:tcPr>
            <w:tcW w:type="dxa" w:w="876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Type of business</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2</w:t>
            </w:r>
          </w:p>
        </w:tc>
        <w:tc>
          <w:tcPr>
            <w:tcW w:type="dxa" w:w="87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Location</w:t>
            </w:r>
          </w:p>
        </w:tc>
      </w:tr>
      <w:tr>
        <w:tc>
          <w:tcPr>
            <w:tcW w:type="dxa" w:w="6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3</w:t>
            </w:r>
          </w:p>
        </w:tc>
        <w:tc>
          <w:tcPr>
            <w:tcW w:type="dxa" w:w="876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Means of doing business</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4</w:t>
            </w:r>
          </w:p>
        </w:tc>
        <w:tc>
          <w:tcPr>
            <w:tcW w:type="dxa" w:w="87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Discuss the industry</w:t>
            </w:r>
          </w:p>
        </w:tc>
      </w:tr>
      <w:tr>
        <w:tc>
          <w:tcPr>
            <w:tcW w:type="dxa" w:w="6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5</w:t>
            </w:r>
          </w:p>
        </w:tc>
        <w:tc>
          <w:tcPr>
            <w:tcW w:type="dxa" w:w="876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What sets the business apart from its competitors</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6</w:t>
            </w:r>
          </w:p>
        </w:tc>
        <w:tc>
          <w:tcPr>
            <w:tcW w:type="dxa" w:w="87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Describe unique success factors</w:t>
            </w:r>
          </w:p>
        </w:tc>
      </w:tr>
      <w:tr>
        <w:tc>
          <w:tcPr>
            <w:tcW w:type="dxa" w:w="6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7</w:t>
            </w:r>
          </w:p>
        </w:tc>
        <w:tc>
          <w:tcPr>
            <w:tcW w:type="dxa" w:w="876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Mission and Vision statement</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8</w:t>
            </w:r>
          </w:p>
        </w:tc>
        <w:tc>
          <w:tcPr>
            <w:tcW w:type="dxa" w:w="87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Intellectual property</w:t>
            </w:r>
          </w:p>
        </w:tc>
      </w:tr>
      <w:tr>
        <w:tc>
          <w:tcPr>
            <w:tcW w:type="dxa" w:w="6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9</w:t>
            </w:r>
          </w:p>
        </w:tc>
        <w:tc>
          <w:tcPr>
            <w:tcW w:type="dxa" w:w="876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Goals and objectives</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10</w:t>
            </w:r>
          </w:p>
        </w:tc>
        <w:tc>
          <w:tcPr>
            <w:tcW w:type="dxa" w:w="87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Culture</w:t>
            </w:r>
          </w:p>
        </w:tc>
      </w:tr>
      <w:tr>
        <w:tc>
          <w:tcPr>
            <w:tcW w:type="dxa" w:w="6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11</w:t>
            </w:r>
          </w:p>
        </w:tc>
        <w:tc>
          <w:tcPr>
            <w:tcW w:type="dxa" w:w="876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Legal Environment — licences, permits, health and environmental regulations, industry-specific regulations, zoning/building requirements, trademarks, copyrights, patents purchased/pending, insurance coverage</w:t>
            </w:r>
          </w:p>
        </w:tc>
      </w:tr>
    </w:tbl>
    <w:p>
      <w:pPr>
        <w:spacing w:after="0" w:before="0"/>
      </w:pPr>
      <w:r>
        <w:t xml:space="preserve"/>
      </w:r>
    </w:p>
    <w:p>
      <w:pPr>
        <w:pBdr>
          <w:left w:val="single" w:color="B8860B" w:sz="14" w:space="8"/>
        </w:pBdr>
        <w:spacing w:after="100" w:before="100"/>
        <w:ind w:left="360"/>
      </w:pPr>
      <w:r>
        <w:rPr>
          <w:rFonts w:ascii="Arial" w:cs="Arial" w:eastAsia="Arial" w:hAnsi="Arial"/>
          <w:b w:val="false"/>
          <w:bCs w:val="false"/>
          <w:i/>
          <w:iCs/>
          <w:color w:val="8B6C42"/>
          <w:sz w:val="20"/>
          <w:szCs w:val="20"/>
        </w:rPr>
        <w:t xml:space="preserve">All criteria are admin-managed. These are the founding configuration from the rating matrix PDFs. They evolve through the governed learning update process.</w:t>
      </w:r>
    </w:p>
    <w:p>
      <w:pPr>
        <w:spacing w:after="0" w:before="0"/>
      </w:pPr>
      <w:r>
        <w:t xml:space="preserve"/>
      </w:r>
    </w:p>
    <w:p>
      <w:pPr>
        <w:pStyle w:val="Heading2"/>
        <w:spacing w:after="160" w:before="360"/>
      </w:pPr>
      <w:r>
        <w:rPr>
          <w:rFonts w:ascii="Arial" w:cs="Arial" w:eastAsia="Arial" w:hAnsi="Arial"/>
          <w:b/>
          <w:bCs/>
          <w:color w:val="0D7A7A"/>
          <w:sz w:val="34"/>
          <w:szCs w:val="34"/>
        </w:rPr>
        <w:t xml:space="preserve">17.7 Additional Entrepreneur Module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Round-by-Round Progress</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Score comparison across all rounds per criterion. Biggest improvements highlighted. Remaining gaps shown. Overall trajectory percentage.</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Anonymous Plan Benchmarking</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How does this plan compare to anonymised aggregate of previous plans in the same industry? Aggregate benchmarks only — no plan content shared.</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Concept Viability Alerts</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AI red flags: market size concern, NZ market saturation, regulatory barrier, financial viability signal, founder-market fit gap. Informational — not blockers.</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Advisory Readiness Indicator</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Systematic signal when entrepreneur approaches advisory readiness. Auto-alert to advisor. Dashboard progress indicator for entrepreneur.</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Living Business Plan</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Post-launch quarterly update prompts. Re-assessed on update. Divergence flags advisory readiness.</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DD Integration</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Business Plan Builder available during DD engagements. DD findings auto-populate plan sections. Completeness check on acquisition proceeding.</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Advisory Conversion</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Both advisor-proactive and entrepreneur-requested. All data pre-populates new advisory profile.</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Separate Fee Structure</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Lower entry pricing for pre-revenue entrepreneurs. Separate fee proposal type.</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Advisor Capacity Management</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Default 30 active entrepreneurs per advisor. Warning at 80%, hard block at 100%. Assessment backlog flag.</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B45" w:val="clear"/>
            <w:tcMar>
              <w:top w:type="dxa" w:w="260"/>
              <w:left w:type="dxa" w:w="360"/>
              <w:bottom w:type="dxa" w:w="260"/>
              <w:right w:type="dxa" w:w="360"/>
            </w:tcMar>
          </w:tcPr>
          <w:p>
            <w:pPr>
              <w:spacing w:after="80" w:before="0"/>
            </w:pPr>
            <w:r>
              <w:rPr>
                <w:rFonts w:ascii="Arial" w:cs="Arial" w:eastAsia="Arial" w:hAnsi="Arial"/>
                <w:b/>
                <w:bCs/>
                <w:color w:val="FFFFFF"/>
                <w:sz w:val="40"/>
                <w:szCs w:val="40"/>
              </w:rPr>
              <w:t xml:space="preserve">SECTION 18</w:t>
            </w:r>
          </w:p>
          <w:p>
            <w:pPr>
              <w:spacing w:after="0" w:before="0"/>
            </w:pPr>
            <w:r>
              <w:rPr>
                <w:rFonts w:ascii="Arial" w:cs="Arial" w:eastAsia="Arial" w:hAnsi="Arial"/>
                <w:i/>
                <w:iCs/>
                <w:color w:val="E8D5A0"/>
                <w:sz w:val="22"/>
                <w:szCs w:val="22"/>
              </w:rPr>
              <w:t xml:space="preserve">Terms and Conditions</w:t>
            </w:r>
          </w:p>
        </w:tc>
      </w:tr>
    </w:tbl>
    <w:p>
      <w:pPr>
        <w:spacing w:after="0" w:before="0"/>
      </w:pPr>
      <w:r>
        <w:t xml:space="preserve"/>
      </w:r>
    </w:p>
    <w:p>
      <w:pPr>
        <w:pStyle w:val="Heading1"/>
        <w:pBdr>
          <w:bottom w:val="single" w:color="B8860B" w:sz="8" w:space="6"/>
        </w:pBdr>
        <w:spacing w:after="200" w:before="480"/>
      </w:pPr>
      <w:r>
        <w:rPr>
          <w:rFonts w:ascii="Arial" w:cs="Arial" w:eastAsia="Arial" w:hAnsi="Arial"/>
          <w:b/>
          <w:bCs/>
          <w:color w:val="1C2B45"/>
          <w:sz w:val="44"/>
          <w:szCs w:val="44"/>
        </w:rPr>
        <w:t xml:space="preserve">18. Terms and Conditions</w:t>
      </w:r>
    </w:p>
    <w:p>
      <w:pPr>
        <w:pBdr>
          <w:left w:val="single" w:color="B8860B" w:sz="14" w:space="8"/>
        </w:pBdr>
        <w:spacing w:after="100" w:before="100"/>
        <w:ind w:left="360"/>
      </w:pPr>
      <w:r>
        <w:rPr>
          <w:rFonts w:ascii="Arial" w:cs="Arial" w:eastAsia="Arial" w:hAnsi="Arial"/>
          <w:b w:val="false"/>
          <w:bCs w:val="false"/>
          <w:i/>
          <w:iCs/>
          <w:color w:val="8B6C42"/>
          <w:sz w:val="20"/>
          <w:szCs w:val="20"/>
        </w:rPr>
        <w:t xml:space="preserve">Full 14-clause T&amp;C text, admin version control, and accept/decline gate specified in App Specification Version 2.2 Section 14. All provisions carry forward unchanged into Version 2.4.</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14 Clauses</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1. Acceptance, 2. Nature of advisory service, 3. Client obligations, 4. Scope of services, 5. Limitation of liability with CGA contracting-out, 6. AI disclosure, 7. Intellectual property, 8. Confidentiality, 9. Payment terms, 10. Termination including immediate for fraud/theft/NZ company law breach plus SFO/Police reporting obligation, 11. Platform use, 12. Privacy, 13. Dispute resolution, 14. General.</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Admin Version Control</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Whole document or individual clause updates. Material (30-day notice, re-acceptance) vs non-material (audit trail only). All versions preserved permanently.</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Acceptance Gate</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Mandatory accept/decline for all user types. Accept button disabled until document scrolled. Signed PDF generated.</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On Decline</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Holding screen. Advisor/admin notified immediately. Account suspended — not deleted. User can return to accept at any time.</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B45" w:val="clear"/>
            <w:tcMar>
              <w:top w:type="dxa" w:w="260"/>
              <w:left w:type="dxa" w:w="360"/>
              <w:bottom w:type="dxa" w:w="260"/>
              <w:right w:type="dxa" w:w="360"/>
            </w:tcMar>
          </w:tcPr>
          <w:p>
            <w:pPr>
              <w:spacing w:after="80" w:before="0"/>
            </w:pPr>
            <w:r>
              <w:rPr>
                <w:rFonts w:ascii="Arial" w:cs="Arial" w:eastAsia="Arial" w:hAnsi="Arial"/>
                <w:b/>
                <w:bCs/>
                <w:color w:val="FFFFFF"/>
                <w:sz w:val="40"/>
                <w:szCs w:val="40"/>
              </w:rPr>
              <w:t xml:space="preserve">SECTION 19</w:t>
            </w:r>
          </w:p>
          <w:p>
            <w:pPr>
              <w:spacing w:after="0" w:before="0"/>
            </w:pPr>
            <w:r>
              <w:rPr>
                <w:rFonts w:ascii="Arial" w:cs="Arial" w:eastAsia="Arial" w:hAnsi="Arial"/>
                <w:i/>
                <w:iCs/>
                <w:color w:val="E8D5A0"/>
                <w:sz w:val="22"/>
                <w:szCs w:val="22"/>
              </w:rPr>
              <w:t xml:space="preserve">Reporting and Outputs</w:t>
            </w:r>
          </w:p>
        </w:tc>
      </w:tr>
    </w:tbl>
    <w:p>
      <w:pPr>
        <w:spacing w:after="0" w:before="0"/>
      </w:pPr>
      <w:r>
        <w:t xml:space="preserve"/>
      </w:r>
    </w:p>
    <w:p>
      <w:pPr>
        <w:pStyle w:val="Heading1"/>
        <w:pBdr>
          <w:bottom w:val="single" w:color="B8860B" w:sz="8" w:space="6"/>
        </w:pBdr>
        <w:spacing w:after="200" w:before="480"/>
      </w:pPr>
      <w:r>
        <w:rPr>
          <w:rFonts w:ascii="Arial" w:cs="Arial" w:eastAsia="Arial" w:hAnsi="Arial"/>
          <w:b/>
          <w:bCs/>
          <w:color w:val="1C2B45"/>
          <w:sz w:val="44"/>
          <w:szCs w:val="44"/>
        </w:rPr>
        <w:t xml:space="preserve">19. Reporting and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9F6F0" w:val="clear"/>
            <w:tcMar>
              <w:top w:type="dxa" w:w="180"/>
              <w:left w:type="dxa" w:w="260"/>
              <w:bottom w:type="dxa" w:w="180"/>
              <w:right w:type="dxa" w:w="260"/>
            </w:tcMar>
          </w:tcPr>
          <w:p>
            <w:pPr>
              <w:spacing w:after="40" w:before="40"/>
            </w:pPr>
            <w:r>
              <w:rPr>
                <w:rFonts w:ascii="Arial" w:cs="Arial" w:eastAsia="Arial" w:hAnsi="Arial"/>
                <w:b w:val="false"/>
                <w:bCs w:val="false"/>
                <w:i w:val="false"/>
                <w:iCs w:val="false"/>
                <w:color w:val="1C2B45"/>
                <w:sz w:val="21"/>
                <w:szCs w:val="21"/>
              </w:rPr>
              <w:t xml:space="preserve">FIVE REPORT TYPES:</w:t>
            </w:r>
          </w:p>
          <w:p>
            <w:pPr>
              <w:spacing w:after="40" w:before="40"/>
            </w:pPr>
            <w:r>
              <w:rPr>
                <w:rFonts w:ascii="Arial" w:cs="Arial" w:eastAsia="Arial" w:hAnsi="Arial"/>
                <w:b w:val="false"/>
                <w:bCs w:val="false"/>
                <w:i w:val="false"/>
                <w:iCs w:val="false"/>
                <w:color w:val="1C2B45"/>
                <w:sz w:val="21"/>
                <w:szCs w:val="21"/>
              </w:rPr>
              <w:t xml:space="preserve">CLIENT REPORT: Findings, issues, current business valuation range. No recommendations or fee details.</w:t>
            </w:r>
          </w:p>
          <w:p>
            <w:pPr>
              <w:spacing w:after="40" w:before="40"/>
            </w:pPr>
            <w:r>
              <w:rPr>
                <w:rFonts w:ascii="Arial" w:cs="Arial" w:eastAsia="Arial" w:hAnsi="Arial"/>
                <w:b w:val="false"/>
                <w:bCs w:val="false"/>
                <w:i w:val="false"/>
                <w:iCs w:val="false"/>
                <w:color w:val="1C2B45"/>
                <w:sz w:val="21"/>
                <w:szCs w:val="21"/>
              </w:rPr>
              <w:t xml:space="preserve">ADVISOR REPORT: Full picture — findings, improvements, strategies, PV analysis, implementation plan, fee proposal with ROI.</w:t>
            </w:r>
          </w:p>
          <w:p>
            <w:pPr>
              <w:spacing w:after="40" w:before="40"/>
            </w:pPr>
            <w:r>
              <w:rPr>
                <w:rFonts w:ascii="Arial" w:cs="Arial" w:eastAsia="Arial" w:hAnsi="Arial"/>
                <w:b w:val="false"/>
                <w:bCs w:val="false"/>
                <w:i w:val="false"/>
                <w:iCs w:val="false"/>
                <w:color w:val="1C2B45"/>
                <w:sz w:val="21"/>
                <w:szCs w:val="21"/>
              </w:rPr>
              <w:t xml:space="preserve">DUE DILIGENCE REPORT: Valuation (3 methods plus PV), workstream findings, risk register, price adjustments, 100-day plan, Proceed/Renegotiate/Abandon.</w:t>
            </w:r>
          </w:p>
          <w:p>
            <w:pPr>
              <w:spacing w:after="40" w:before="40"/>
            </w:pPr>
            <w:r>
              <w:rPr>
                <w:rFonts w:ascii="Arial" w:cs="Arial" w:eastAsia="Arial" w:hAnsi="Arial"/>
                <w:b w:val="false"/>
                <w:bCs w:val="false"/>
                <w:i w:val="false"/>
                <w:iCs w:val="false"/>
                <w:color w:val="1C2B45"/>
                <w:sz w:val="21"/>
                <w:szCs w:val="21"/>
              </w:rPr>
              <w:t xml:space="preserve">STAKEHOLDER REPORT: Board/bank/investor ready. No FSA methodology or IP. Professional standalone document.</w:t>
            </w:r>
          </w:p>
          <w:p>
            <w:pPr>
              <w:spacing w:after="40" w:before="40"/>
            </w:pPr>
            <w:r>
              <w:rPr>
                <w:rFonts w:ascii="Arial" w:cs="Arial" w:eastAsia="Arial" w:hAnsi="Arial"/>
                <w:b w:val="false"/>
                <w:bCs w:val="false"/>
                <w:i w:val="false"/>
                <w:iCs w:val="false"/>
                <w:color w:val="1C2B45"/>
                <w:sz w:val="21"/>
                <w:szCs w:val="21"/>
              </w:rPr>
              <w:t xml:space="preserve">ENTREPRENEUR ASSESSMENT REPORT: Scores (AI and advisor-adjusted), section feedback, overall grade, improvement recommendations, concept PV projection.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Brand</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Meridian Warm applied consistently across all five report types.</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PV Waterfall Chart</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Current business value to improvements to target value. In Advisor Report and progress reports.</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AI Source Attribution</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Every AI-generated finding references its evidential basis per AI Integrity Principle.</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Document Verification Notation</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Every finding notes document support status — verified, advisory flag, or unresolved discrepancy.</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Data Quality Disclaimer</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Medium or Low quality data carries a disclaimer on every affected finding.</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Stakeholder Report</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Produced by advisor from advisory data. Executive summary, financial performance, key risks, strategic direction, progress. PDF and PowerPoint export.</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Business Health Trajectory Report</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Complete engagement journey. Key metrics trended from start to current. PV at each milestone. Auto-generated narrative, advisor-reviewed.</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Industry Intelligence Briefings</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Monthly per client. AI-generated, advisor-reviews before sending. NZ sources cited.</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Automated Pre-Meeting Brief</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24 hours before any scheduled meeting. Last actions, completions, red flags, financial changes. One page. Advisor-reviewed before sharing.</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Presentations</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Any report converted to PowerPoint and PDF with one click.</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B45" w:val="clear"/>
            <w:tcMar>
              <w:top w:type="dxa" w:w="260"/>
              <w:left w:type="dxa" w:w="360"/>
              <w:bottom w:type="dxa" w:w="260"/>
              <w:right w:type="dxa" w:w="360"/>
            </w:tcMar>
          </w:tcPr>
          <w:p>
            <w:pPr>
              <w:spacing w:after="80" w:before="0"/>
            </w:pPr>
            <w:r>
              <w:rPr>
                <w:rFonts w:ascii="Arial" w:cs="Arial" w:eastAsia="Arial" w:hAnsi="Arial"/>
                <w:b/>
                <w:bCs/>
                <w:color w:val="FFFFFF"/>
                <w:sz w:val="40"/>
                <w:szCs w:val="40"/>
              </w:rPr>
              <w:t xml:space="preserve">SECTION 20</w:t>
            </w:r>
          </w:p>
          <w:p>
            <w:pPr>
              <w:spacing w:after="0" w:before="0"/>
            </w:pPr>
            <w:r>
              <w:rPr>
                <w:rFonts w:ascii="Arial" w:cs="Arial" w:eastAsia="Arial" w:hAnsi="Arial"/>
                <w:i/>
                <w:iCs/>
                <w:color w:val="E8D5A0"/>
                <w:sz w:val="22"/>
                <w:szCs w:val="22"/>
              </w:rPr>
              <w:t xml:space="preserve">Implementation Tracking</w:t>
            </w:r>
          </w:p>
        </w:tc>
      </w:tr>
    </w:tbl>
    <w:p>
      <w:pPr>
        <w:spacing w:after="0" w:before="0"/>
      </w:pPr>
      <w:r>
        <w:t xml:space="preserve"/>
      </w:r>
    </w:p>
    <w:p>
      <w:pPr>
        <w:pStyle w:val="Heading1"/>
        <w:pBdr>
          <w:bottom w:val="single" w:color="B8860B" w:sz="8" w:space="6"/>
        </w:pBdr>
        <w:spacing w:after="200" w:before="480"/>
      </w:pPr>
      <w:r>
        <w:rPr>
          <w:rFonts w:ascii="Arial" w:cs="Arial" w:eastAsia="Arial" w:hAnsi="Arial"/>
          <w:b/>
          <w:bCs/>
          <w:color w:val="1C2B45"/>
          <w:sz w:val="44"/>
          <w:szCs w:val="44"/>
        </w:rPr>
        <w:t xml:space="preserve">20. Implementation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Goals</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High-level outcomes with PV targets. Anchors all analysis and reporting.</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Milestones</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Significant waypoints per goal. Each linked to recommendation and its PV of impact.</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Actions</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Specific tasks. Assigned owner, due date, priority.</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PV Progress</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Running total of improvement PV realised. Displayed on client dashboard and in all progress reports.</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Proof of Completion</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Client uploads evidence. AI reviews document for relevance to the milestone — platform-wide verification applies.</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Scenario Planning</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Up to 5 named scenarios side-by-side. Best/expected/worst case. PV impact per scenario.</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Succession Planning</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Exit readiness, options assessment, owner dependency plan, PV target, DD integration for sale.</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Regulatory Impact Actions</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Compliance milestones generated automatically when regulatory change affects a client.</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B45" w:val="clear"/>
            <w:tcMar>
              <w:top w:type="dxa" w:w="260"/>
              <w:left w:type="dxa" w:w="360"/>
              <w:bottom w:type="dxa" w:w="260"/>
              <w:right w:type="dxa" w:w="360"/>
            </w:tcMar>
          </w:tcPr>
          <w:p>
            <w:pPr>
              <w:spacing w:after="80" w:before="0"/>
            </w:pPr>
            <w:r>
              <w:rPr>
                <w:rFonts w:ascii="Arial" w:cs="Arial" w:eastAsia="Arial" w:hAnsi="Arial"/>
                <w:b/>
                <w:bCs/>
                <w:color w:val="FFFFFF"/>
                <w:sz w:val="40"/>
                <w:szCs w:val="40"/>
              </w:rPr>
              <w:t xml:space="preserve">SECTION 21</w:t>
            </w:r>
          </w:p>
          <w:p>
            <w:pPr>
              <w:spacing w:after="0" w:before="0"/>
            </w:pPr>
            <w:r>
              <w:rPr>
                <w:rFonts w:ascii="Arial" w:cs="Arial" w:eastAsia="Arial" w:hAnsi="Arial"/>
                <w:i/>
                <w:iCs/>
                <w:color w:val="E8D5A0"/>
                <w:sz w:val="22"/>
                <w:szCs w:val="22"/>
              </w:rPr>
              <w:t xml:space="preserve">Communication and Collaboration</w:t>
            </w:r>
          </w:p>
        </w:tc>
      </w:tr>
    </w:tbl>
    <w:p>
      <w:pPr>
        <w:spacing w:after="0" w:before="0"/>
      </w:pPr>
      <w:r>
        <w:t xml:space="preserve"/>
      </w:r>
    </w:p>
    <w:p>
      <w:pPr>
        <w:pStyle w:val="Heading1"/>
        <w:pBdr>
          <w:bottom w:val="single" w:color="B8860B" w:sz="8" w:space="6"/>
        </w:pBdr>
        <w:spacing w:after="200" w:before="480"/>
      </w:pPr>
      <w:r>
        <w:rPr>
          <w:rFonts w:ascii="Arial" w:cs="Arial" w:eastAsia="Arial" w:hAnsi="Arial"/>
          <w:b/>
          <w:bCs/>
          <w:color w:val="1C2B45"/>
          <w:sz w:val="44"/>
          <w:szCs w:val="44"/>
        </w:rPr>
        <w:t xml:space="preserve">21. Communication and Collaboration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In-App Messaging</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Advisor, client, entrepreneur. Threaded. Channel preference respected.</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Broker and Coach Messaging</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Per referral. Stored against both profiles.</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Meeting Notes</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Structured: attendees, agenda, decisions, action items linked to milestones.</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Phone Call Logs</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Date, time, duration, participants, summary, action items.</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Voice-to-Text</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Record in-app. Auto-transcribed. AI summarises key points, decisions, and actions.</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Email from App</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Respects channel preference. Auto-saved to communication log.</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Bulk Communications</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Branded templates. Selected clients or all. Scheduling. Open rate tracking.</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Calendar Sync</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Two-way Google Calendar and Microsoft Outlook.</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Website Integration</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"Start Your Business Journey" and "Request Advisory Conversation" forms on FSA website feed as prospect records to advisor dashboard. Invite-only model preserved — no automatic platform access granted from website form.</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Voice Assistant</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Phase 4. Siri and Google Assistant for advisor mobile use — hands-free notes, action capture, client status queries.</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B45" w:val="clear"/>
            <w:tcMar>
              <w:top w:type="dxa" w:w="260"/>
              <w:left w:type="dxa" w:w="360"/>
              <w:bottom w:type="dxa" w:w="260"/>
              <w:right w:type="dxa" w:w="360"/>
            </w:tcMar>
          </w:tcPr>
          <w:p>
            <w:pPr>
              <w:spacing w:after="80" w:before="0"/>
            </w:pPr>
            <w:r>
              <w:rPr>
                <w:rFonts w:ascii="Arial" w:cs="Arial" w:eastAsia="Arial" w:hAnsi="Arial"/>
                <w:b/>
                <w:bCs/>
                <w:color w:val="FFFFFF"/>
                <w:sz w:val="40"/>
                <w:szCs w:val="40"/>
              </w:rPr>
              <w:t xml:space="preserve">SECTION 22</w:t>
            </w:r>
          </w:p>
          <w:p>
            <w:pPr>
              <w:spacing w:after="0" w:before="0"/>
            </w:pPr>
            <w:r>
              <w:rPr>
                <w:rFonts w:ascii="Arial" w:cs="Arial" w:eastAsia="Arial" w:hAnsi="Arial"/>
                <w:i/>
                <w:iCs/>
                <w:color w:val="E8D5A0"/>
                <w:sz w:val="22"/>
                <w:szCs w:val="22"/>
              </w:rPr>
              <w:t xml:space="preserve">Advisor Dashboard and Practice Management</w:t>
            </w:r>
          </w:p>
        </w:tc>
      </w:tr>
    </w:tbl>
    <w:p>
      <w:pPr>
        <w:spacing w:after="0" w:before="0"/>
      </w:pPr>
      <w:r>
        <w:t xml:space="preserve"/>
      </w:r>
    </w:p>
    <w:p>
      <w:pPr>
        <w:pStyle w:val="Heading1"/>
        <w:pBdr>
          <w:bottom w:val="single" w:color="B8860B" w:sz="8" w:space="6"/>
        </w:pBdr>
        <w:spacing w:after="200" w:before="480"/>
      </w:pPr>
      <w:r>
        <w:rPr>
          <w:rFonts w:ascii="Arial" w:cs="Arial" w:eastAsia="Arial" w:hAnsi="Arial"/>
          <w:b/>
          <w:bCs/>
          <w:color w:val="1C2B45"/>
          <w:sz w:val="44"/>
          <w:szCs w:val="44"/>
        </w:rPr>
        <w:t xml:space="preserve">22. Advisor Dashboard and Practice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Client and Entrepreneur Health</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All active clients and entrepreneurs with engagement score and data quality indicator. Sorted by urgency.</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Proposal Status Panel</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All proposals by stage. Expiry alerts highlighted.</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Payment Status Panel</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Active schedules, upcoming and failed payments.</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Broker Referral Panel</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Active referrals with status. Reverse referrals inbox.</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Coach Referral Panel</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Active coaching referrals. Coaching signals awaiting advisor review. Reverse referrals.</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DD Engagement Panel</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Active DD engagements with workstream progress. Post-acquisition conversions tracked.</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Entrepreneur Panel</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Active entrepreneurs by stage: Readiness, Idea Validation, Building Phase 1-5, Submitted, Assessment, Revising, Launched, Advisory-Ready.</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Learning Update Queue</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Pending approvals with urgency badge. Scheduled updates. Rollback history.</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Document Verification Flags</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Outstanding accuracy discrepancies across all active clients requiring resolution.</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Red Flag Alerts</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Critical risk alerts across all clients.</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Economic Indicators</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Live: OCR, CPI, Minimum Wage, Living Wage, Unemployment, GDP. Change alerts.</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API Health</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Real-time status per integration: Green/Amber/Red.</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Testimonial Library</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Approved testimonials with consent status.</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Practice Health Report</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On demand or monthly. Full practice metrics, revenue under management, PV portfolio view, DD pipeline, entrepreneur conversion rates.</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B45" w:val="clear"/>
            <w:tcMar>
              <w:top w:type="dxa" w:w="260"/>
              <w:left w:type="dxa" w:w="360"/>
              <w:bottom w:type="dxa" w:w="260"/>
              <w:right w:type="dxa" w:w="360"/>
            </w:tcMar>
          </w:tcPr>
          <w:p>
            <w:pPr>
              <w:spacing w:after="80" w:before="0"/>
            </w:pPr>
            <w:r>
              <w:rPr>
                <w:rFonts w:ascii="Arial" w:cs="Arial" w:eastAsia="Arial" w:hAnsi="Arial"/>
                <w:b/>
                <w:bCs/>
                <w:color w:val="FFFFFF"/>
                <w:sz w:val="40"/>
                <w:szCs w:val="40"/>
              </w:rPr>
              <w:t xml:space="preserve">SECTION 23</w:t>
            </w:r>
          </w:p>
          <w:p>
            <w:pPr>
              <w:spacing w:after="0" w:before="0"/>
            </w:pPr>
            <w:r>
              <w:rPr>
                <w:rFonts w:ascii="Arial" w:cs="Arial" w:eastAsia="Arial" w:hAnsi="Arial"/>
                <w:i/>
                <w:iCs/>
                <w:color w:val="E8D5A0"/>
                <w:sz w:val="22"/>
                <w:szCs w:val="22"/>
              </w:rPr>
              <w:t xml:space="preserve">Learning Architecture and Governance — 32 Layers</w:t>
            </w:r>
          </w:p>
        </w:tc>
      </w:tr>
    </w:tbl>
    <w:p>
      <w:pPr>
        <w:spacing w:after="0" w:before="0"/>
      </w:pPr>
      <w:r>
        <w:t xml:space="preserve"/>
      </w:r>
    </w:p>
    <w:p>
      <w:pPr>
        <w:pStyle w:val="Heading1"/>
        <w:pBdr>
          <w:bottom w:val="single" w:color="B8860B" w:sz="8" w:space="6"/>
        </w:pBdr>
        <w:spacing w:after="200" w:before="480"/>
      </w:pPr>
      <w:r>
        <w:rPr>
          <w:rFonts w:ascii="Arial" w:cs="Arial" w:eastAsia="Arial" w:hAnsi="Arial"/>
          <w:b/>
          <w:bCs/>
          <w:color w:val="1C2B45"/>
          <w:sz w:val="44"/>
          <w:szCs w:val="44"/>
        </w:rPr>
        <w:t xml:space="preserve">23. Learning Architecture and Governance</w:t>
      </w:r>
    </w:p>
    <w:p>
      <w:pPr>
        <w:pBdr>
          <w:left w:val="single" w:color="B8860B" w:sz="14" w:space="8"/>
        </w:pBdr>
        <w:spacing w:after="100" w:before="100"/>
        <w:ind w:left="360"/>
      </w:pPr>
      <w:r>
        <w:rPr>
          <w:rFonts w:ascii="Arial" w:cs="Arial" w:eastAsia="Arial" w:hAnsi="Arial"/>
          <w:b w:val="false"/>
          <w:bCs w:val="false"/>
          <w:i/>
          <w:iCs/>
          <w:color w:val="8B6C42"/>
          <w:sz w:val="20"/>
          <w:szCs w:val="20"/>
        </w:rPr>
        <w:t xml:space="preserve">The governed update process, rollback capability, audit trail, and admin approval workflow are specified in full in App Specification Version 2.3 Section 16 and carried forward unchanged. Every learning update goes through: Detection and Staging, Update Summary Card (Update ID, type, source, what changes, impact scope, clients affected, magnitude, confidence score, evidence, effective date, before/after preview), Admin Decision (Approve/Approve with Modified Date/Defer/Reject), 7-Day Pre-Implementation Notification, Implementation, 30-Day Post-Implementation Review, Rollback if needed.</w:t>
      </w:r>
    </w:p>
    <w:p>
      <w:pPr>
        <w:spacing w:after="0" w:before="0"/>
      </w:pPr>
      <w:r>
        <w:t xml:space="preserve"/>
      </w:r>
    </w:p>
    <w:p>
      <w:pPr>
        <w:pStyle w:val="Heading2"/>
        <w:spacing w:after="160" w:before="360"/>
      </w:pPr>
      <w:r>
        <w:rPr>
          <w:rFonts w:ascii="Arial" w:cs="Arial" w:eastAsia="Arial" w:hAnsi="Arial"/>
          <w:b/>
          <w:bCs/>
          <w:color w:val="0D7A7A"/>
          <w:sz w:val="34"/>
          <w:szCs w:val="34"/>
        </w:rPr>
        <w:t xml:space="preserve">23.1 Complete 32-Layer Learning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2460"/>
        <w:gridCol w:w="1200"/>
      </w:tblGrid>
      <w:tr>
        <w:tc>
          <w:tcPr>
            <w:tcW w:type="dxa" w:w="4200"/>
            <w:tcBorders>
              <w:top w:val="single" w:color="1C2B45" w:sz="1"/>
              <w:left w:val="single" w:color="1C2B45" w:sz="1"/>
              <w:bottom w:val="single" w:color="1C2B45" w:sz="1"/>
              <w:right w:val="single" w:color="1C2B45" w:sz="1"/>
            </w:tcBorders>
            <w:shd w:fill="1C2B45" w:val="clear"/>
            <w:tcMar>
              <w:top w:type="dxa" w:w="100"/>
              <w:left w:type="dxa" w:w="140"/>
              <w:bottom w:type="dxa" w:w="100"/>
              <w:right w:type="dxa" w:w="140"/>
            </w:tcMar>
          </w:tcPr>
          <w:p>
            <w:r>
              <w:rPr>
                <w:rFonts w:ascii="Arial" w:cs="Arial" w:eastAsia="Arial" w:hAnsi="Arial"/>
                <w:b/>
                <w:bCs/>
                <w:color w:val="FFFFFF"/>
                <w:sz w:val="19"/>
                <w:szCs w:val="19"/>
              </w:rPr>
              <w:t xml:space="preserve">Layer</w:t>
            </w:r>
          </w:p>
        </w:tc>
        <w:tc>
          <w:tcPr>
            <w:tcW w:type="dxa" w:w="1500"/>
            <w:tcBorders>
              <w:top w:val="single" w:color="1C2B45" w:sz="1"/>
              <w:left w:val="single" w:color="1C2B45" w:sz="1"/>
              <w:bottom w:val="single" w:color="1C2B45" w:sz="1"/>
              <w:right w:val="single" w:color="1C2B45" w:sz="1"/>
            </w:tcBorders>
            <w:shd w:fill="1C2B45" w:val="clear"/>
            <w:tcMar>
              <w:top w:type="dxa" w:w="100"/>
              <w:left w:type="dxa" w:w="140"/>
              <w:bottom w:type="dxa" w:w="100"/>
              <w:right w:type="dxa" w:w="140"/>
            </w:tcMar>
          </w:tcPr>
          <w:p>
            <w:r>
              <w:rPr>
                <w:rFonts w:ascii="Arial" w:cs="Arial" w:eastAsia="Arial" w:hAnsi="Arial"/>
                <w:b/>
                <w:bCs/>
                <w:color w:val="FFFFFF"/>
                <w:sz w:val="19"/>
                <w:szCs w:val="19"/>
              </w:rPr>
              <w:t xml:space="preserve">Type</w:t>
            </w:r>
          </w:p>
        </w:tc>
        <w:tc>
          <w:tcPr>
            <w:tcW w:type="dxa" w:w="2460"/>
            <w:tcBorders>
              <w:top w:val="single" w:color="1C2B45" w:sz="1"/>
              <w:left w:val="single" w:color="1C2B45" w:sz="1"/>
              <w:bottom w:val="single" w:color="1C2B45" w:sz="1"/>
              <w:right w:val="single" w:color="1C2B45" w:sz="1"/>
            </w:tcBorders>
            <w:shd w:fill="1C2B45" w:val="clear"/>
            <w:tcMar>
              <w:top w:type="dxa" w:w="100"/>
              <w:left w:type="dxa" w:w="140"/>
              <w:bottom w:type="dxa" w:w="100"/>
              <w:right w:type="dxa" w:w="140"/>
            </w:tcMar>
          </w:tcPr>
          <w:p>
            <w:r>
              <w:rPr>
                <w:rFonts w:ascii="Arial" w:cs="Arial" w:eastAsia="Arial" w:hAnsi="Arial"/>
                <w:b/>
                <w:bCs/>
                <w:color w:val="FFFFFF"/>
                <w:sz w:val="19"/>
                <w:szCs w:val="19"/>
              </w:rPr>
              <w:t xml:space="preserve">Cadence</w:t>
            </w:r>
          </w:p>
        </w:tc>
        <w:tc>
          <w:tcPr>
            <w:tcW w:type="dxa" w:w="1200"/>
            <w:tcBorders>
              <w:top w:val="single" w:color="1C2B45" w:sz="1"/>
              <w:left w:val="single" w:color="1C2B45" w:sz="1"/>
              <w:bottom w:val="single" w:color="1C2B45" w:sz="1"/>
              <w:right w:val="single" w:color="1C2B45" w:sz="1"/>
            </w:tcBorders>
            <w:shd w:fill="1C2B45" w:val="clear"/>
            <w:tcMar>
              <w:top w:type="dxa" w:w="100"/>
              <w:left w:type="dxa" w:w="140"/>
              <w:bottom w:type="dxa" w:w="100"/>
              <w:right w:type="dxa" w:w="140"/>
            </w:tcMar>
          </w:tcPr>
          <w:p>
            <w:r>
              <w:rPr>
                <w:rFonts w:ascii="Arial" w:cs="Arial" w:eastAsia="Arial" w:hAnsi="Arial"/>
                <w:b/>
                <w:bCs/>
                <w:color w:val="FFFFFF"/>
                <w:sz w:val="19"/>
                <w:szCs w:val="19"/>
              </w:rPr>
              <w:t xml:space="preserve">Phase</w:t>
            </w:r>
          </w:p>
        </w:tc>
      </w:tr>
      <w:tr>
        <w:tc>
          <w:tcPr>
            <w:tcW w:type="dxa" w:w="42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Questionnaire optimisation AI suggestions</w:t>
            </w:r>
          </w:p>
        </w:tc>
        <w:tc>
          <w:tcPr>
            <w:tcW w:type="dxa" w:w="15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1+3</w:t>
            </w:r>
          </w:p>
        </w:tc>
        <w:tc>
          <w:tcPr>
            <w:tcW w:type="dxa" w:w="246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Quarterly (min 10 engagements)</w:t>
            </w:r>
          </w:p>
        </w:tc>
        <w:tc>
          <w:tcPr>
            <w:tcW w:type="dxa" w:w="12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2</w:t>
            </w:r>
          </w:p>
        </w:tc>
      </w:tr>
      <w:tr>
        <w:tc>
          <w:tcPr>
            <w:tcW w:type="dxa" w:w="4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AI feedback capture on every analysis output</w:t>
            </w:r>
          </w:p>
        </w:tc>
        <w:tc>
          <w:tcPr>
            <w:tcW w:type="dxa" w:w="15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1</w:t>
            </w:r>
          </w:p>
        </w:tc>
        <w:tc>
          <w:tcPr>
            <w:tcW w:type="dxa" w:w="24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After every analysis</w:t>
            </w:r>
          </w:p>
        </w:tc>
        <w:tc>
          <w:tcPr>
            <w:tcW w:type="dxa" w:w="1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2</w:t>
            </w:r>
          </w:p>
        </w:tc>
      </w:tr>
      <w:tr>
        <w:tc>
          <w:tcPr>
            <w:tcW w:type="dxa" w:w="42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NZ legislative currency monitoring</w:t>
            </w:r>
          </w:p>
        </w:tc>
        <w:tc>
          <w:tcPr>
            <w:tcW w:type="dxa" w:w="15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2</w:t>
            </w:r>
          </w:p>
        </w:tc>
        <w:tc>
          <w:tcPr>
            <w:tcW w:type="dxa" w:w="246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As detected</w:t>
            </w:r>
          </w:p>
        </w:tc>
        <w:tc>
          <w:tcPr>
            <w:tcW w:type="dxa" w:w="12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2</w:t>
            </w:r>
          </w:p>
        </w:tc>
      </w:tr>
      <w:tr>
        <w:tc>
          <w:tcPr>
            <w:tcW w:type="dxa" w:w="4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Economic indicator auto-update</w:t>
            </w:r>
          </w:p>
        </w:tc>
        <w:tc>
          <w:tcPr>
            <w:tcW w:type="dxa" w:w="15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2</w:t>
            </w:r>
          </w:p>
        </w:tc>
        <w:tc>
          <w:tcPr>
            <w:tcW w:type="dxa" w:w="24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As published by RBNZ/Stats NZ</w:t>
            </w:r>
          </w:p>
        </w:tc>
        <w:tc>
          <w:tcPr>
            <w:tcW w:type="dxa" w:w="1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2</w:t>
            </w:r>
          </w:p>
        </w:tc>
      </w:tr>
      <w:tr>
        <w:tc>
          <w:tcPr>
            <w:tcW w:type="dxa" w:w="42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Valuation multiple refresh (EBITDA, SDE)</w:t>
            </w:r>
          </w:p>
        </w:tc>
        <w:tc>
          <w:tcPr>
            <w:tcW w:type="dxa" w:w="15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2</w:t>
            </w:r>
          </w:p>
        </w:tc>
        <w:tc>
          <w:tcPr>
            <w:tcW w:type="dxa" w:w="246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Quarterly</w:t>
            </w:r>
          </w:p>
        </w:tc>
        <w:tc>
          <w:tcPr>
            <w:tcW w:type="dxa" w:w="12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3</w:t>
            </w:r>
          </w:p>
        </w:tc>
      </w:tr>
      <w:tr>
        <w:tc>
          <w:tcPr>
            <w:tcW w:type="dxa" w:w="4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Discount rate — OCR component auto-update</w:t>
            </w:r>
          </w:p>
        </w:tc>
        <w:tc>
          <w:tcPr>
            <w:tcW w:type="dxa" w:w="15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2</w:t>
            </w:r>
          </w:p>
        </w:tc>
        <w:tc>
          <w:tcPr>
            <w:tcW w:type="dxa" w:w="24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On RBNZ publication</w:t>
            </w:r>
          </w:p>
        </w:tc>
        <w:tc>
          <w:tcPr>
            <w:tcW w:type="dxa" w:w="1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3</w:t>
            </w:r>
          </w:p>
        </w:tc>
      </w:tr>
      <w:tr>
        <w:tc>
          <w:tcPr>
            <w:tcW w:type="dxa" w:w="42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Discount rate — WACC and risk premiums</w:t>
            </w:r>
          </w:p>
        </w:tc>
        <w:tc>
          <w:tcPr>
            <w:tcW w:type="dxa" w:w="15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2</w:t>
            </w:r>
          </w:p>
        </w:tc>
        <w:tc>
          <w:tcPr>
            <w:tcW w:type="dxa" w:w="246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Quarterly</w:t>
            </w:r>
          </w:p>
        </w:tc>
        <w:tc>
          <w:tcPr>
            <w:tcW w:type="dxa" w:w="12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3</w:t>
            </w:r>
          </w:p>
        </w:tc>
      </w:tr>
      <w:tr>
        <w:tc>
          <w:tcPr>
            <w:tcW w:type="dxa" w:w="4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Insurance risk flag criteria update</w:t>
            </w:r>
          </w:p>
        </w:tc>
        <w:tc>
          <w:tcPr>
            <w:tcW w:type="dxa" w:w="15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2+3</w:t>
            </w:r>
          </w:p>
        </w:tc>
        <w:tc>
          <w:tcPr>
            <w:tcW w:type="dxa" w:w="24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Annual plus as flagged</w:t>
            </w:r>
          </w:p>
        </w:tc>
        <w:tc>
          <w:tcPr>
            <w:tcW w:type="dxa" w:w="1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3</w:t>
            </w:r>
          </w:p>
        </w:tc>
      </w:tr>
      <w:tr>
        <w:tc>
          <w:tcPr>
            <w:tcW w:type="dxa" w:w="42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DD workstream checklist legislative update</w:t>
            </w:r>
          </w:p>
        </w:tc>
        <w:tc>
          <w:tcPr>
            <w:tcW w:type="dxa" w:w="15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2+3</w:t>
            </w:r>
          </w:p>
        </w:tc>
        <w:tc>
          <w:tcPr>
            <w:tcW w:type="dxa" w:w="246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As detected plus quarterly</w:t>
            </w:r>
          </w:p>
        </w:tc>
        <w:tc>
          <w:tcPr>
            <w:tcW w:type="dxa" w:w="12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3</w:t>
            </w:r>
          </w:p>
        </w:tc>
      </w:tr>
      <w:tr>
        <w:tc>
          <w:tcPr>
            <w:tcW w:type="dxa" w:w="4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DD finding pattern learning</w:t>
            </w:r>
          </w:p>
        </w:tc>
        <w:tc>
          <w:tcPr>
            <w:tcW w:type="dxa" w:w="15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1+4</w:t>
            </w:r>
          </w:p>
        </w:tc>
        <w:tc>
          <w:tcPr>
            <w:tcW w:type="dxa" w:w="24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After each DD engagement</w:t>
            </w:r>
          </w:p>
        </w:tc>
        <w:tc>
          <w:tcPr>
            <w:tcW w:type="dxa" w:w="1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4</w:t>
            </w:r>
          </w:p>
        </w:tc>
      </w:tr>
      <w:tr>
        <w:tc>
          <w:tcPr>
            <w:tcW w:type="dxa" w:w="42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DD valuation accuracy learning</w:t>
            </w:r>
          </w:p>
        </w:tc>
        <w:tc>
          <w:tcPr>
            <w:tcW w:type="dxa" w:w="15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1+4</w:t>
            </w:r>
          </w:p>
        </w:tc>
        <w:tc>
          <w:tcPr>
            <w:tcW w:type="dxa" w:w="246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After acquisition price recorded</w:t>
            </w:r>
          </w:p>
        </w:tc>
        <w:tc>
          <w:tcPr>
            <w:tcW w:type="dxa" w:w="12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4</w:t>
            </w:r>
          </w:p>
        </w:tc>
      </w:tr>
      <w:tr>
        <w:tc>
          <w:tcPr>
            <w:tcW w:type="dxa" w:w="4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DD questionnaire adaptive improvement</w:t>
            </w:r>
          </w:p>
        </w:tc>
        <w:tc>
          <w:tcPr>
            <w:tcW w:type="dxa" w:w="15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1+3</w:t>
            </w:r>
          </w:p>
        </w:tc>
        <w:tc>
          <w:tcPr>
            <w:tcW w:type="dxa" w:w="24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After each DD engagement</w:t>
            </w:r>
          </w:p>
        </w:tc>
        <w:tc>
          <w:tcPr>
            <w:tcW w:type="dxa" w:w="1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3</w:t>
            </w:r>
          </w:p>
        </w:tc>
      </w:tr>
      <w:tr>
        <w:tc>
          <w:tcPr>
            <w:tcW w:type="dxa" w:w="42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Post-acquisition gap questionnaire learning</w:t>
            </w:r>
          </w:p>
        </w:tc>
        <w:tc>
          <w:tcPr>
            <w:tcW w:type="dxa" w:w="15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1+3</w:t>
            </w:r>
          </w:p>
        </w:tc>
        <w:tc>
          <w:tcPr>
            <w:tcW w:type="dxa" w:w="246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After each post-acquisition engagement</w:t>
            </w:r>
          </w:p>
        </w:tc>
        <w:tc>
          <w:tcPr>
            <w:tcW w:type="dxa" w:w="12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3</w:t>
            </w:r>
          </w:p>
        </w:tc>
      </w:tr>
      <w:tr>
        <w:tc>
          <w:tcPr>
            <w:tcW w:type="dxa" w:w="4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Fee calculator outcome learning</w:t>
            </w:r>
          </w:p>
        </w:tc>
        <w:tc>
          <w:tcPr>
            <w:tcW w:type="dxa" w:w="15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1+4</w:t>
            </w:r>
          </w:p>
        </w:tc>
        <w:tc>
          <w:tcPr>
            <w:tcW w:type="dxa" w:w="24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Quarterly (min 5 outcomes)</w:t>
            </w:r>
          </w:p>
        </w:tc>
        <w:tc>
          <w:tcPr>
            <w:tcW w:type="dxa" w:w="1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3</w:t>
            </w:r>
          </w:p>
        </w:tc>
      </w:tr>
      <w:tr>
        <w:tc>
          <w:tcPr>
            <w:tcW w:type="dxa" w:w="42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Cross-client competitive intelligence</w:t>
            </w:r>
          </w:p>
        </w:tc>
        <w:tc>
          <w:tcPr>
            <w:tcW w:type="dxa" w:w="15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4</w:t>
            </w:r>
          </w:p>
        </w:tc>
        <w:tc>
          <w:tcPr>
            <w:tcW w:type="dxa" w:w="246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Monthly</w:t>
            </w:r>
          </w:p>
        </w:tc>
        <w:tc>
          <w:tcPr>
            <w:tcW w:type="dxa" w:w="12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4</w:t>
            </w:r>
          </w:p>
        </w:tc>
      </w:tr>
      <w:tr>
        <w:tc>
          <w:tcPr>
            <w:tcW w:type="dxa" w:w="4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Knowledge base AI-assisted capture</w:t>
            </w:r>
          </w:p>
        </w:tc>
        <w:tc>
          <w:tcPr>
            <w:tcW w:type="dxa" w:w="15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1+3</w:t>
            </w:r>
          </w:p>
        </w:tc>
        <w:tc>
          <w:tcPr>
            <w:tcW w:type="dxa" w:w="24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After each engagement</w:t>
            </w:r>
          </w:p>
        </w:tc>
        <w:tc>
          <w:tcPr>
            <w:tcW w:type="dxa" w:w="1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3</w:t>
            </w:r>
          </w:p>
        </w:tc>
      </w:tr>
      <w:tr>
        <w:tc>
          <w:tcPr>
            <w:tcW w:type="dxa" w:w="42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Template library AI-suggested capture</w:t>
            </w:r>
          </w:p>
        </w:tc>
        <w:tc>
          <w:tcPr>
            <w:tcW w:type="dxa" w:w="15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1+3</w:t>
            </w:r>
          </w:p>
        </w:tc>
        <w:tc>
          <w:tcPr>
            <w:tcW w:type="dxa" w:w="246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After each engagement</w:t>
            </w:r>
          </w:p>
        </w:tc>
        <w:tc>
          <w:tcPr>
            <w:tcW w:type="dxa" w:w="12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3</w:t>
            </w:r>
          </w:p>
        </w:tc>
      </w:tr>
      <w:tr>
        <w:tc>
          <w:tcPr>
            <w:tcW w:type="dxa" w:w="4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Funnel analytics UX improvement suggestions</w:t>
            </w:r>
          </w:p>
        </w:tc>
        <w:tc>
          <w:tcPr>
            <w:tcW w:type="dxa" w:w="15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1+3</w:t>
            </w:r>
          </w:p>
        </w:tc>
        <w:tc>
          <w:tcPr>
            <w:tcW w:type="dxa" w:w="24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Monthly</w:t>
            </w:r>
          </w:p>
        </w:tc>
        <w:tc>
          <w:tcPr>
            <w:tcW w:type="dxa" w:w="1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3</w:t>
            </w:r>
          </w:p>
        </w:tc>
      </w:tr>
      <w:tr>
        <w:tc>
          <w:tcPr>
            <w:tcW w:type="dxa" w:w="42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PV discount rate calibration</w:t>
            </w:r>
          </w:p>
        </w:tc>
        <w:tc>
          <w:tcPr>
            <w:tcW w:type="dxa" w:w="15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1+2</w:t>
            </w:r>
          </w:p>
        </w:tc>
        <w:tc>
          <w:tcPr>
            <w:tcW w:type="dxa" w:w="246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Quarterly plus on OCR change</w:t>
            </w:r>
          </w:p>
        </w:tc>
        <w:tc>
          <w:tcPr>
            <w:tcW w:type="dxa" w:w="12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3</w:t>
            </w:r>
          </w:p>
        </w:tc>
      </w:tr>
      <w:tr>
        <w:tc>
          <w:tcPr>
            <w:tcW w:type="dxa" w:w="4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Anonymous NZ SME benchmarking dataset</w:t>
            </w:r>
          </w:p>
        </w:tc>
        <w:tc>
          <w:tcPr>
            <w:tcW w:type="dxa" w:w="15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4</w:t>
            </w:r>
          </w:p>
        </w:tc>
        <w:tc>
          <w:tcPr>
            <w:tcW w:type="dxa" w:w="24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Quarterly (min cohort enforced)</w:t>
            </w:r>
          </w:p>
        </w:tc>
        <w:tc>
          <w:tcPr>
            <w:tcW w:type="dxa" w:w="1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4</w:t>
            </w:r>
          </w:p>
        </w:tc>
      </w:tr>
      <w:tr>
        <w:tc>
          <w:tcPr>
            <w:tcW w:type="dxa" w:w="42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Business plan section guidance learning</w:t>
            </w:r>
          </w:p>
        </w:tc>
        <w:tc>
          <w:tcPr>
            <w:tcW w:type="dxa" w:w="15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1+4</w:t>
            </w:r>
          </w:p>
        </w:tc>
        <w:tc>
          <w:tcPr>
            <w:tcW w:type="dxa" w:w="246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After each completed assessment</w:t>
            </w:r>
          </w:p>
        </w:tc>
        <w:tc>
          <w:tcPr>
            <w:tcW w:type="dxa" w:w="12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3</w:t>
            </w:r>
          </w:p>
        </w:tc>
      </w:tr>
      <w:tr>
        <w:tc>
          <w:tcPr>
            <w:tcW w:type="dxa" w:w="4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Predictive scoring model calibration</w:t>
            </w:r>
          </w:p>
        </w:tc>
        <w:tc>
          <w:tcPr>
            <w:tcW w:type="dxa" w:w="15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1+4</w:t>
            </w:r>
          </w:p>
        </w:tc>
        <w:tc>
          <w:tcPr>
            <w:tcW w:type="dxa" w:w="24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Monthly (min 10 assessments)</w:t>
            </w:r>
          </w:p>
        </w:tc>
        <w:tc>
          <w:tcPr>
            <w:tcW w:type="dxa" w:w="1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3</w:t>
            </w:r>
          </w:p>
        </w:tc>
      </w:tr>
      <w:tr>
        <w:tc>
          <w:tcPr>
            <w:tcW w:type="dxa" w:w="42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Advisor scoring adjustment learning</w:t>
            </w:r>
          </w:p>
        </w:tc>
        <w:tc>
          <w:tcPr>
            <w:tcW w:type="dxa" w:w="15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1</w:t>
            </w:r>
          </w:p>
        </w:tc>
        <w:tc>
          <w:tcPr>
            <w:tcW w:type="dxa" w:w="246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After each finalised assessment</w:t>
            </w:r>
          </w:p>
        </w:tc>
        <w:tc>
          <w:tcPr>
            <w:tcW w:type="dxa" w:w="12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3</w:t>
            </w:r>
          </w:p>
        </w:tc>
      </w:tr>
      <w:tr>
        <w:tc>
          <w:tcPr>
            <w:tcW w:type="dxa" w:w="4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Revision improvement pattern learning</w:t>
            </w:r>
          </w:p>
        </w:tc>
        <w:tc>
          <w:tcPr>
            <w:tcW w:type="dxa" w:w="15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1+4</w:t>
            </w:r>
          </w:p>
        </w:tc>
        <w:tc>
          <w:tcPr>
            <w:tcW w:type="dxa" w:w="24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After each resubmission cycle</w:t>
            </w:r>
          </w:p>
        </w:tc>
        <w:tc>
          <w:tcPr>
            <w:tcW w:type="dxa" w:w="1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3</w:t>
            </w:r>
          </w:p>
        </w:tc>
      </w:tr>
      <w:tr>
        <w:tc>
          <w:tcPr>
            <w:tcW w:type="dxa" w:w="42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Industry-specific plan quality benchmarks</w:t>
            </w:r>
          </w:p>
        </w:tc>
        <w:tc>
          <w:tcPr>
            <w:tcW w:type="dxa" w:w="15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4</w:t>
            </w:r>
          </w:p>
        </w:tc>
        <w:tc>
          <w:tcPr>
            <w:tcW w:type="dxa" w:w="246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Quarterly (min industry cohort)</w:t>
            </w:r>
          </w:p>
        </w:tc>
        <w:tc>
          <w:tcPr>
            <w:tcW w:type="dxa" w:w="12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4</w:t>
            </w:r>
          </w:p>
        </w:tc>
      </w:tr>
      <w:tr>
        <w:tc>
          <w:tcPr>
            <w:tcW w:type="dxa" w:w="4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Conversion outcome learning — plan to business success</w:t>
            </w:r>
          </w:p>
        </w:tc>
        <w:tc>
          <w:tcPr>
            <w:tcW w:type="dxa" w:w="15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1+4</w:t>
            </w:r>
          </w:p>
        </w:tc>
        <w:tc>
          <w:tcPr>
            <w:tcW w:type="dxa" w:w="24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Ongoing long-term signal</w:t>
            </w:r>
          </w:p>
        </w:tc>
        <w:tc>
          <w:tcPr>
            <w:tcW w:type="dxa" w:w="1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4</w:t>
            </w:r>
          </w:p>
        </w:tc>
      </w:tr>
      <w:tr>
        <w:tc>
          <w:tcPr>
            <w:tcW w:type="dxa" w:w="42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Criterion weighting evolution</w:t>
            </w:r>
          </w:p>
        </w:tc>
        <w:tc>
          <w:tcPr>
            <w:tcW w:type="dxa" w:w="15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1+4</w:t>
            </w:r>
          </w:p>
        </w:tc>
        <w:tc>
          <w:tcPr>
            <w:tcW w:type="dxa" w:w="246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Quarterly (min cohort enforced)</w:t>
            </w:r>
          </w:p>
        </w:tc>
        <w:tc>
          <w:tcPr>
            <w:tcW w:type="dxa" w:w="12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3</w:t>
            </w:r>
          </w:p>
        </w:tc>
      </w:tr>
      <w:tr>
        <w:tc>
          <w:tcPr>
            <w:tcW w:type="dxa" w:w="4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Scoring descriptor calibration</w:t>
            </w:r>
          </w:p>
        </w:tc>
        <w:tc>
          <w:tcPr>
            <w:tcW w:type="dxa" w:w="15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1</w:t>
            </w:r>
          </w:p>
        </w:tc>
        <w:tc>
          <w:tcPr>
            <w:tcW w:type="dxa" w:w="24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Monthly (min 10 advisor adjustments per criterion)</w:t>
            </w:r>
          </w:p>
        </w:tc>
        <w:tc>
          <w:tcPr>
            <w:tcW w:type="dxa" w:w="1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3</w:t>
            </w:r>
          </w:p>
        </w:tc>
      </w:tr>
      <w:tr>
        <w:tc>
          <w:tcPr>
            <w:tcW w:type="dxa" w:w="42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Industry-specific rating variant development</w:t>
            </w:r>
          </w:p>
        </w:tc>
        <w:tc>
          <w:tcPr>
            <w:tcW w:type="dxa" w:w="15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1+4</w:t>
            </w:r>
          </w:p>
        </w:tc>
        <w:tc>
          <w:tcPr>
            <w:tcW w:type="dxa" w:w="246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Quarterly (min industry cohort)</w:t>
            </w:r>
          </w:p>
        </w:tc>
        <w:tc>
          <w:tcPr>
            <w:tcW w:type="dxa" w:w="12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4</w:t>
            </w:r>
          </w:p>
        </w:tc>
      </w:tr>
      <w:tr>
        <w:tc>
          <w:tcPr>
            <w:tcW w:type="dxa" w:w="4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Rating predictive validity testing</w:t>
            </w:r>
          </w:p>
        </w:tc>
        <w:tc>
          <w:tcPr>
            <w:tcW w:type="dxa" w:w="15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1+4</w:t>
            </w:r>
          </w:p>
        </w:tc>
        <w:tc>
          <w:tcPr>
            <w:tcW w:type="dxa" w:w="24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Semi-annual</w:t>
            </w:r>
          </w:p>
        </w:tc>
        <w:tc>
          <w:tcPr>
            <w:tcW w:type="dxa" w:w="1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4</w:t>
            </w:r>
          </w:p>
        </w:tc>
      </w:tr>
      <w:tr>
        <w:tc>
          <w:tcPr>
            <w:tcW w:type="dxa" w:w="42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New criterion suggestion engine</w:t>
            </w:r>
          </w:p>
        </w:tc>
        <w:tc>
          <w:tcPr>
            <w:tcW w:type="dxa" w:w="15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1+3</w:t>
            </w:r>
          </w:p>
        </w:tc>
        <w:tc>
          <w:tcPr>
            <w:tcW w:type="dxa" w:w="246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Quarterly</w:t>
            </w:r>
          </w:p>
        </w:tc>
        <w:tc>
          <w:tcPr>
            <w:tcW w:type="dxa" w:w="12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3</w:t>
            </w:r>
          </w:p>
        </w:tc>
      </w:tr>
      <w:tr>
        <w:tc>
          <w:tcPr>
            <w:tcW w:type="dxa" w:w="4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Coach referral signal calibration</w:t>
            </w:r>
          </w:p>
        </w:tc>
        <w:tc>
          <w:tcPr>
            <w:tcW w:type="dxa" w:w="15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1+3</w:t>
            </w:r>
          </w:p>
        </w:tc>
        <w:tc>
          <w:tcPr>
            <w:tcW w:type="dxa" w:w="24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Quarterly</w:t>
            </w:r>
          </w:p>
        </w:tc>
        <w:tc>
          <w:tcPr>
            <w:tcW w:type="dxa" w:w="1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3</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B45" w:val="clear"/>
            <w:tcMar>
              <w:top w:type="dxa" w:w="260"/>
              <w:left w:type="dxa" w:w="360"/>
              <w:bottom w:type="dxa" w:w="260"/>
              <w:right w:type="dxa" w:w="360"/>
            </w:tcMar>
          </w:tcPr>
          <w:p>
            <w:pPr>
              <w:spacing w:after="80" w:before="0"/>
            </w:pPr>
            <w:r>
              <w:rPr>
                <w:rFonts w:ascii="Arial" w:cs="Arial" w:eastAsia="Arial" w:hAnsi="Arial"/>
                <w:b/>
                <w:bCs/>
                <w:color w:val="FFFFFF"/>
                <w:sz w:val="40"/>
                <w:szCs w:val="40"/>
              </w:rPr>
              <w:t xml:space="preserve">SECTION 24</w:t>
            </w:r>
          </w:p>
          <w:p>
            <w:pPr>
              <w:spacing w:after="0" w:before="0"/>
            </w:pPr>
            <w:r>
              <w:rPr>
                <w:rFonts w:ascii="Arial" w:cs="Arial" w:eastAsia="Arial" w:hAnsi="Arial"/>
                <w:i/>
                <w:iCs/>
                <w:color w:val="E8D5A0"/>
                <w:sz w:val="22"/>
                <w:szCs w:val="22"/>
              </w:rPr>
              <w:t xml:space="preserve">Economic and Market Intelligence</w:t>
            </w:r>
          </w:p>
        </w:tc>
      </w:tr>
    </w:tbl>
    <w:p>
      <w:pPr>
        <w:spacing w:after="0" w:before="0"/>
      </w:pPr>
      <w:r>
        <w:t xml:space="preserve"/>
      </w:r>
    </w:p>
    <w:p>
      <w:pPr>
        <w:pStyle w:val="Heading1"/>
        <w:pBdr>
          <w:bottom w:val="single" w:color="B8860B" w:sz="8" w:space="6"/>
        </w:pBdr>
        <w:spacing w:after="200" w:before="480"/>
      </w:pPr>
      <w:r>
        <w:rPr>
          <w:rFonts w:ascii="Arial" w:cs="Arial" w:eastAsia="Arial" w:hAnsi="Arial"/>
          <w:b/>
          <w:bCs/>
          <w:color w:val="1C2B45"/>
          <w:sz w:val="44"/>
          <w:szCs w:val="44"/>
        </w:rPr>
        <w:t xml:space="preserve">24. Economic and Market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OCR</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RBNZ. Every MPS publication. Financial projections, PV discount rate Method 1, loan servicing analysis.</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CPI</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Stats NZ quarterly. Financial analysis, pricing, cost review, PV calculations.</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Minimum Wage</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Updated annually April. Wage compliance, payroll analysis, risk PV calculations.</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Living Wage</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NZ Living Wage Movement. HR analysis, wage benchmarking.</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Unemployment</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Stats NZ quarterly HLFS. HR planning, talent availability.</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GDP</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Stats NZ quarterly. Strategic planning context.</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Industry Indices</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MBIE sector-specific data. DD commercial workstream. Entrepreneur idea validation context.</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RBNZ Exchange Rates</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DD foreign currency normalisation. Sourced and timestamped on analysis date.</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NZ Transaction Data</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MBIE and NZ Business Brokers. EBITDA/SDE multiple benchmarking. Updated quarterly.</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Regulatory Change Monitoring</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NZ Parliament, MBIE, IRD, WorkSafe feeds. Per-client impact assessment when significant changes detected.</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B45" w:val="clear"/>
            <w:tcMar>
              <w:top w:type="dxa" w:w="260"/>
              <w:left w:type="dxa" w:w="360"/>
              <w:bottom w:type="dxa" w:w="260"/>
              <w:right w:type="dxa" w:w="360"/>
            </w:tcMar>
          </w:tcPr>
          <w:p>
            <w:pPr>
              <w:spacing w:after="80" w:before="0"/>
            </w:pPr>
            <w:r>
              <w:rPr>
                <w:rFonts w:ascii="Arial" w:cs="Arial" w:eastAsia="Arial" w:hAnsi="Arial"/>
                <w:b/>
                <w:bCs/>
                <w:color w:val="FFFFFF"/>
                <w:sz w:val="40"/>
                <w:szCs w:val="40"/>
              </w:rPr>
              <w:t xml:space="preserve">SECTION 25</w:t>
            </w:r>
          </w:p>
          <w:p>
            <w:pPr>
              <w:spacing w:after="0" w:before="0"/>
            </w:pPr>
            <w:r>
              <w:rPr>
                <w:rFonts w:ascii="Arial" w:cs="Arial" w:eastAsia="Arial" w:hAnsi="Arial"/>
                <w:i/>
                <w:iCs/>
                <w:color w:val="E8D5A0"/>
                <w:sz w:val="22"/>
                <w:szCs w:val="22"/>
              </w:rPr>
              <w:t xml:space="preserve">Integrations and APIs</w:t>
            </w:r>
          </w:p>
        </w:tc>
      </w:tr>
    </w:tbl>
    <w:p>
      <w:pPr>
        <w:spacing w:after="0" w:before="0"/>
      </w:pPr>
      <w:r>
        <w:t xml:space="preserve"/>
      </w:r>
    </w:p>
    <w:p>
      <w:pPr>
        <w:pStyle w:val="Heading1"/>
        <w:pBdr>
          <w:bottom w:val="single" w:color="B8860B" w:sz="8" w:space="6"/>
        </w:pBdr>
        <w:spacing w:after="200" w:before="480"/>
      </w:pPr>
      <w:r>
        <w:rPr>
          <w:rFonts w:ascii="Arial" w:cs="Arial" w:eastAsia="Arial" w:hAnsi="Arial"/>
          <w:b/>
          <w:bCs/>
          <w:color w:val="1C2B45"/>
          <w:sz w:val="44"/>
          <w:szCs w:val="44"/>
        </w:rPr>
        <w:t xml:space="preserve">25. Integrations and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NZBN Register</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Auto-populate business details at client creation.</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Companies Office</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Director details, filing status, PPSR checks for DD legal workstream.</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IRD</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GST registration, tax status verification.</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LINZ</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Land Information NZ — DD property interests.</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FSP Register</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Broker FSP validation and ongoing currency monitoring.</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IPONZ</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IP registration status — entrepreneur module and DD legal workstream.</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Stats NZ / RBNZ</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Economic indicators, industry data, OCR, exchange rates.</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MBIE</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Industry benchmarks, employment data, business demography.</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NZ Parliament / WorkSafe / IRD Feeds</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Legislative currency monitoring for compliance checker and DD checklists.</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Accounting (API-First)</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Xero, MYOB, QuickBooks, Sage, Figured, Workflowmax. Open layer for future platforms.</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Stripe / Windcave</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Primary and secondary payment gateways. API resilience layer manages automatic failover.</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Google Calendar / Outlook</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Two-way meeting scheduling synchronisation.</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Website Integration</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FSA website prospect capture forms feed to advisor dashboard as prospect records.</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Advisor API Layer</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Phase 4. Read-only, limited write (meeting notes and actions only). Super Admin approval per integration.</w:t>
            </w:r>
          </w:p>
        </w:tc>
      </w:tr>
    </w:tbl>
    <w:p>
      <w:pPr>
        <w:pBdr>
          <w:left w:val="single" w:color="B8860B" w:sz="14" w:space="8"/>
        </w:pBdr>
        <w:spacing w:after="100" w:before="100"/>
        <w:ind w:left="360"/>
      </w:pPr>
      <w:r>
        <w:rPr>
          <w:rFonts w:ascii="Arial" w:cs="Arial" w:eastAsia="Arial" w:hAnsi="Arial"/>
          <w:b w:val="false"/>
          <w:bCs w:val="false"/>
          <w:i/>
          <w:iCs/>
          <w:color w:val="8B6C42"/>
          <w:sz w:val="20"/>
          <w:szCs w:val="20"/>
        </w:rPr>
        <w:t xml:space="preserve">All integrations managed via the API Resilience Layer — retry logic, graceful degradation, cached data fallback, health monitoring, admin notification on failure.</w:t>
      </w:r>
    </w:p>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B45" w:val="clear"/>
            <w:tcMar>
              <w:top w:type="dxa" w:w="260"/>
              <w:left w:type="dxa" w:w="360"/>
              <w:bottom w:type="dxa" w:w="260"/>
              <w:right w:type="dxa" w:w="360"/>
            </w:tcMar>
          </w:tcPr>
          <w:p>
            <w:pPr>
              <w:spacing w:after="80" w:before="0"/>
            </w:pPr>
            <w:r>
              <w:rPr>
                <w:rFonts w:ascii="Arial" w:cs="Arial" w:eastAsia="Arial" w:hAnsi="Arial"/>
                <w:b/>
                <w:bCs/>
                <w:color w:val="FFFFFF"/>
                <w:sz w:val="40"/>
                <w:szCs w:val="40"/>
              </w:rPr>
              <w:t xml:space="preserve">SECTION 26</w:t>
            </w:r>
          </w:p>
          <w:p>
            <w:pPr>
              <w:spacing w:after="0" w:before="0"/>
            </w:pPr>
            <w:r>
              <w:rPr>
                <w:rFonts w:ascii="Arial" w:cs="Arial" w:eastAsia="Arial" w:hAnsi="Arial"/>
                <w:i/>
                <w:iCs/>
                <w:color w:val="E8D5A0"/>
                <w:sz w:val="22"/>
                <w:szCs w:val="22"/>
              </w:rPr>
              <w:t xml:space="preserve">Development Roadmap</w:t>
            </w:r>
          </w:p>
        </w:tc>
      </w:tr>
    </w:tbl>
    <w:p>
      <w:pPr>
        <w:spacing w:after="0" w:before="0"/>
      </w:pPr>
      <w:r>
        <w:t xml:space="preserve"/>
      </w:r>
    </w:p>
    <w:p>
      <w:pPr>
        <w:pStyle w:val="Heading1"/>
        <w:pBdr>
          <w:bottom w:val="single" w:color="B8860B" w:sz="8" w:space="6"/>
        </w:pBdr>
        <w:spacing w:after="200" w:before="480"/>
      </w:pPr>
      <w:r>
        <w:rPr>
          <w:rFonts w:ascii="Arial" w:cs="Arial" w:eastAsia="Arial" w:hAnsi="Arial"/>
          <w:b/>
          <w:bCs/>
          <w:color w:val="1C2B45"/>
          <w:sz w:val="44"/>
          <w:szCs w:val="44"/>
        </w:rPr>
        <w:t xml:space="preserve">26. Development Roadmap</w:t>
      </w:r>
    </w:p>
    <w:p>
      <w:pPr>
        <w:pStyle w:val="Heading2"/>
        <w:spacing w:after="160" w:before="360"/>
      </w:pPr>
      <w:r>
        <w:rPr>
          <w:rFonts w:ascii="Arial" w:cs="Arial" w:eastAsia="Arial" w:hAnsi="Arial"/>
          <w:b/>
          <w:bCs/>
          <w:color w:val="0D7A7A"/>
          <w:sz w:val="34"/>
          <w:szCs w:val="34"/>
        </w:rPr>
        <w:t xml:space="preserve">Phase 1 — Foundation (Months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980"/>
        <w:gridCol w:w="1980"/>
      </w:tblGrid>
      <w:tr>
        <w:tc>
          <w:tcPr>
            <w:tcW w:type="dxa" w:w="5400"/>
            <w:tcBorders>
              <w:top w:val="single" w:color="1C2B45" w:sz="1"/>
              <w:left w:val="single" w:color="1C2B45" w:sz="1"/>
              <w:bottom w:val="single" w:color="1C2B45" w:sz="1"/>
              <w:right w:val="single" w:color="1C2B45" w:sz="1"/>
            </w:tcBorders>
            <w:shd w:fill="1C2B45" w:val="clear"/>
            <w:tcMar>
              <w:top w:type="dxa" w:w="100"/>
              <w:left w:type="dxa" w:w="140"/>
              <w:bottom w:type="dxa" w:w="100"/>
              <w:right w:type="dxa" w:w="140"/>
            </w:tcMar>
          </w:tcPr>
          <w:p>
            <w:r>
              <w:rPr>
                <w:rFonts w:ascii="Arial" w:cs="Arial" w:eastAsia="Arial" w:hAnsi="Arial"/>
                <w:b/>
                <w:bCs/>
                <w:color w:val="FFFFFF"/>
                <w:sz w:val="19"/>
                <w:szCs w:val="19"/>
              </w:rPr>
              <w:t xml:space="preserve">Feature / Module</w:t>
            </w:r>
          </w:p>
        </w:tc>
        <w:tc>
          <w:tcPr>
            <w:tcW w:type="dxa" w:w="1980"/>
            <w:tcBorders>
              <w:top w:val="single" w:color="1C2B45" w:sz="1"/>
              <w:left w:val="single" w:color="1C2B45" w:sz="1"/>
              <w:bottom w:val="single" w:color="1C2B45" w:sz="1"/>
              <w:right w:val="single" w:color="1C2B45" w:sz="1"/>
            </w:tcBorders>
            <w:shd w:fill="1C2B45" w:val="clear"/>
            <w:tcMar>
              <w:top w:type="dxa" w:w="100"/>
              <w:left w:type="dxa" w:w="140"/>
              <w:bottom w:type="dxa" w:w="100"/>
              <w:right w:type="dxa" w:w="140"/>
            </w:tcMar>
          </w:tcPr>
          <w:p>
            <w:r>
              <w:rPr>
                <w:rFonts w:ascii="Arial" w:cs="Arial" w:eastAsia="Arial" w:hAnsi="Arial"/>
                <w:b/>
                <w:bCs/>
                <w:color w:val="FFFFFF"/>
                <w:sz w:val="19"/>
                <w:szCs w:val="19"/>
              </w:rPr>
              <w:t xml:space="preserve">Priority</w:t>
            </w:r>
          </w:p>
        </w:tc>
        <w:tc>
          <w:tcPr>
            <w:tcW w:type="dxa" w:w="1980"/>
            <w:tcBorders>
              <w:top w:val="single" w:color="1C2B45" w:sz="1"/>
              <w:left w:val="single" w:color="1C2B45" w:sz="1"/>
              <w:bottom w:val="single" w:color="1C2B45" w:sz="1"/>
              <w:right w:val="single" w:color="1C2B45" w:sz="1"/>
            </w:tcBorders>
            <w:shd w:fill="1C2B45" w:val="clear"/>
            <w:tcMar>
              <w:top w:type="dxa" w:w="100"/>
              <w:left w:type="dxa" w:w="140"/>
              <w:bottom w:type="dxa" w:w="100"/>
              <w:right w:type="dxa" w:w="140"/>
            </w:tcMar>
          </w:tcPr>
          <w:p>
            <w:r>
              <w:rPr>
                <w:rFonts w:ascii="Arial" w:cs="Arial" w:eastAsia="Arial" w:hAnsi="Arial"/>
                <w:b/>
                <w:bCs/>
                <w:color w:val="FFFFFF"/>
                <w:sz w:val="19"/>
                <w:szCs w:val="19"/>
              </w:rPr>
              <w:t xml:space="preserve">Complexity</w:t>
            </w:r>
          </w:p>
        </w:tc>
      </w:tr>
      <w:tr>
        <w:tc>
          <w:tcPr>
            <w:tcW w:type="dxa" w:w="5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CLAUDE.md — critical rules block at very top, project context, all absolute constraints</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Critical</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Low</w:t>
            </w:r>
          </w:p>
        </w:tc>
      </w:tr>
      <w:tr>
        <w:tc>
          <w:tcPr>
            <w:tcW w:type="dxa" w:w="5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Quantum-resilient security infrastructure and MFA — all 9 user types</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Critical</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Very High</w:t>
            </w:r>
          </w:p>
        </w:tc>
      </w:tr>
      <w:tr>
        <w:tc>
          <w:tcPr>
            <w:tcW w:type="dxa" w:w="5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Role-based access control — all roles including Entrepreneur and Entrepreneur Mentor</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Critical</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Medium</w:t>
            </w:r>
          </w:p>
        </w:tc>
      </w:tr>
      <w:tr>
        <w:tc>
          <w:tcPr>
            <w:tcW w:type="dxa" w:w="5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T&amp;C acceptance gate — all user types, signed PDF generation</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Critical</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High</w:t>
            </w:r>
          </w:p>
        </w:tc>
      </w:tr>
      <w:tr>
        <w:tc>
          <w:tcPr>
            <w:tcW w:type="dxa" w:w="5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T&amp;C version control and audit trail</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Critical</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High</w:t>
            </w:r>
          </w:p>
        </w:tc>
      </w:tr>
      <w:tr>
        <w:tc>
          <w:tcPr>
            <w:tcW w:type="dxa" w:w="5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Add New Client and Entrepreneur — engagement type selection, NZBN/Companies Office/IRD APIs</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Critical</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Medium</w:t>
            </w:r>
          </w:p>
        </w:tc>
      </w:tr>
      <w:tr>
        <w:tc>
          <w:tcPr>
            <w:tcW w:type="dxa" w:w="5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Client portal — basic with wellbeing check-in and communication preferences</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Critical</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High</w:t>
            </w:r>
          </w:p>
        </w:tc>
      </w:tr>
      <w:tr>
        <w:tc>
          <w:tcPr>
            <w:tcW w:type="dxa" w:w="5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Client onboarding wizard — engagement-type aware</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Critical</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Medium</w:t>
            </w:r>
          </w:p>
        </w:tc>
      </w:tr>
      <w:tr>
        <w:tc>
          <w:tcPr>
            <w:tcW w:type="dxa" w:w="5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Standard advisory questionnaire system and builder</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Critical</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High</w:t>
            </w:r>
          </w:p>
        </w:tc>
      </w:tr>
      <w:tr>
        <w:tc>
          <w:tcPr>
            <w:tcW w:type="dxa" w:w="5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Document upload and virus scanning</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Critical</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High</w:t>
            </w:r>
          </w:p>
        </w:tc>
      </w:tr>
      <w:tr>
        <w:tc>
          <w:tcPr>
            <w:tcW w:type="dxa" w:w="5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Data quality gate — pre-analysis validation</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Critical</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High</w:t>
            </w:r>
          </w:p>
        </w:tc>
      </w:tr>
      <w:tr>
        <w:tc>
          <w:tcPr>
            <w:tcW w:type="dxa" w:w="5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Document AI relevance and accuracy verification — platform-wide, all features</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Critical</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Very High</w:t>
            </w:r>
          </w:p>
        </w:tc>
      </w:tr>
      <w:tr>
        <w:tc>
          <w:tcPr>
            <w:tcW w:type="dxa" w:w="5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AI Integrity Principle — embedded in all AI prompt instructions, bias detection layer setup</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Critical</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High</w:t>
            </w:r>
          </w:p>
        </w:tc>
      </w:tr>
      <w:tr>
        <w:tc>
          <w:tcPr>
            <w:tcW w:type="dxa" w:w="5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Client lifecycle management, conflict of interest declaration, offboarding structure</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High</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Medium</w:t>
            </w:r>
          </w:p>
        </w:tc>
      </w:tr>
      <w:tr>
        <w:tc>
          <w:tcPr>
            <w:tcW w:type="dxa" w:w="5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Client communication preferences</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High</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Low</w:t>
            </w:r>
          </w:p>
        </w:tc>
      </w:tr>
      <w:tr>
        <w:tc>
          <w:tcPr>
            <w:tcW w:type="dxa" w:w="5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Centralised notifications centre — channel-preference aware</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High</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Medium</w:t>
            </w:r>
          </w:p>
        </w:tc>
      </w:tr>
      <w:tr>
        <w:tc>
          <w:tcPr>
            <w:tcW w:type="dxa" w:w="5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Immutable audit trail and activity log — document verification events included</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Critical</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Medium</w:t>
            </w:r>
          </w:p>
        </w:tc>
      </w:tr>
      <w:tr>
        <w:tc>
          <w:tcPr>
            <w:tcW w:type="dxa" w:w="5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Basic advisor dashboard with document verification flag panel</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High</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Medium</w:t>
            </w:r>
          </w:p>
        </w:tc>
      </w:tr>
      <w:tr>
        <w:tc>
          <w:tcPr>
            <w:tcW w:type="dxa" w:w="5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In-app messaging — channel-preference aware</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High</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Medium</w:t>
            </w:r>
          </w:p>
        </w:tc>
      </w:tr>
      <w:tr>
        <w:tc>
          <w:tcPr>
            <w:tcW w:type="dxa" w:w="5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Email from app — channel-preference aware</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High</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Medium</w:t>
            </w:r>
          </w:p>
        </w:tc>
      </w:tr>
      <w:tr>
        <w:tc>
          <w:tcPr>
            <w:tcW w:type="dxa" w:w="5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API resilience layer — retry, graceful degradation, health dashboard, payment fallback</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Critical</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High</w:t>
            </w:r>
          </w:p>
        </w:tc>
      </w:tr>
      <w:tr>
        <w:tc>
          <w:tcPr>
            <w:tcW w:type="dxa" w:w="5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Advisor knowledge base — manual entry</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High</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Low</w:t>
            </w:r>
          </w:p>
        </w:tc>
      </w:tr>
      <w:tr>
        <w:tc>
          <w:tcPr>
            <w:tcW w:type="dxa" w:w="5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Website integration layer — prospect capture to advisor dashboard</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High</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Medium</w:t>
            </w:r>
          </w:p>
        </w:tc>
      </w:tr>
    </w:tbl>
    <w:p>
      <w:pPr>
        <w:spacing w:after="0" w:before="0"/>
      </w:pPr>
      <w:r>
        <w:t xml:space="preserve"/>
      </w:r>
    </w:p>
    <w:p>
      <w:pPr>
        <w:pStyle w:val="Heading2"/>
        <w:spacing w:after="160" w:before="360"/>
      </w:pPr>
      <w:r>
        <w:rPr>
          <w:rFonts w:ascii="Arial" w:cs="Arial" w:eastAsia="Arial" w:hAnsi="Arial"/>
          <w:b/>
          <w:bCs/>
          <w:color w:val="0D7A7A"/>
          <w:sz w:val="34"/>
          <w:szCs w:val="34"/>
        </w:rPr>
        <w:t xml:space="preserve">Phase 2 — Intelligence (Months 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980"/>
        <w:gridCol w:w="1980"/>
      </w:tblGrid>
      <w:tr>
        <w:tc>
          <w:tcPr>
            <w:tcW w:type="dxa" w:w="5400"/>
            <w:tcBorders>
              <w:top w:val="single" w:color="1C2B45" w:sz="1"/>
              <w:left w:val="single" w:color="1C2B45" w:sz="1"/>
              <w:bottom w:val="single" w:color="1C2B45" w:sz="1"/>
              <w:right w:val="single" w:color="1C2B45" w:sz="1"/>
            </w:tcBorders>
            <w:shd w:fill="1C2B45" w:val="clear"/>
            <w:tcMar>
              <w:top w:type="dxa" w:w="100"/>
              <w:left w:type="dxa" w:w="140"/>
              <w:bottom w:type="dxa" w:w="100"/>
              <w:right w:type="dxa" w:w="140"/>
            </w:tcMar>
          </w:tcPr>
          <w:p>
            <w:r>
              <w:rPr>
                <w:rFonts w:ascii="Arial" w:cs="Arial" w:eastAsia="Arial" w:hAnsi="Arial"/>
                <w:b/>
                <w:bCs/>
                <w:color w:val="FFFFFF"/>
                <w:sz w:val="19"/>
                <w:szCs w:val="19"/>
              </w:rPr>
              <w:t xml:space="preserve">Feature / Module</w:t>
            </w:r>
          </w:p>
        </w:tc>
        <w:tc>
          <w:tcPr>
            <w:tcW w:type="dxa" w:w="1980"/>
            <w:tcBorders>
              <w:top w:val="single" w:color="1C2B45" w:sz="1"/>
              <w:left w:val="single" w:color="1C2B45" w:sz="1"/>
              <w:bottom w:val="single" w:color="1C2B45" w:sz="1"/>
              <w:right w:val="single" w:color="1C2B45" w:sz="1"/>
            </w:tcBorders>
            <w:shd w:fill="1C2B45" w:val="clear"/>
            <w:tcMar>
              <w:top w:type="dxa" w:w="100"/>
              <w:left w:type="dxa" w:w="140"/>
              <w:bottom w:type="dxa" w:w="100"/>
              <w:right w:type="dxa" w:w="140"/>
            </w:tcMar>
          </w:tcPr>
          <w:p>
            <w:r>
              <w:rPr>
                <w:rFonts w:ascii="Arial" w:cs="Arial" w:eastAsia="Arial" w:hAnsi="Arial"/>
                <w:b/>
                <w:bCs/>
                <w:color w:val="FFFFFF"/>
                <w:sz w:val="19"/>
                <w:szCs w:val="19"/>
              </w:rPr>
              <w:t xml:space="preserve">Priority</w:t>
            </w:r>
          </w:p>
        </w:tc>
        <w:tc>
          <w:tcPr>
            <w:tcW w:type="dxa" w:w="1980"/>
            <w:tcBorders>
              <w:top w:val="single" w:color="1C2B45" w:sz="1"/>
              <w:left w:val="single" w:color="1C2B45" w:sz="1"/>
              <w:bottom w:val="single" w:color="1C2B45" w:sz="1"/>
              <w:right w:val="single" w:color="1C2B45" w:sz="1"/>
            </w:tcBorders>
            <w:shd w:fill="1C2B45" w:val="clear"/>
            <w:tcMar>
              <w:top w:type="dxa" w:w="100"/>
              <w:left w:type="dxa" w:w="140"/>
              <w:bottom w:type="dxa" w:w="100"/>
              <w:right w:type="dxa" w:w="140"/>
            </w:tcMar>
          </w:tcPr>
          <w:p>
            <w:r>
              <w:rPr>
                <w:rFonts w:ascii="Arial" w:cs="Arial" w:eastAsia="Arial" w:hAnsi="Arial"/>
                <w:b/>
                <w:bCs/>
                <w:color w:val="FFFFFF"/>
                <w:sz w:val="19"/>
                <w:szCs w:val="19"/>
              </w:rPr>
              <w:t xml:space="preserve">Complexity</w:t>
            </w:r>
          </w:p>
        </w:tc>
      </w:tr>
      <w:tr>
        <w:tc>
          <w:tcPr>
            <w:tcW w:type="dxa" w:w="5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AI analysis engine core with feedback capture layer and source attribution on all outputs</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Critical</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Very High</w:t>
            </w:r>
          </w:p>
        </w:tc>
      </w:tr>
      <w:tr>
        <w:tc>
          <w:tcPr>
            <w:tcW w:type="dxa" w:w="5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Bias detection layer — monitors all AI outputs for systematic patterns</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Critical</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High</w:t>
            </w:r>
          </w:p>
        </w:tc>
      </w:tr>
      <w:tr>
        <w:tc>
          <w:tcPr>
            <w:tcW w:type="dxa" w:w="5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Financial analysis module and continuous financial health monitoring for connected accounting</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Critical</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High</w:t>
            </w:r>
          </w:p>
        </w:tc>
      </w:tr>
      <w:tr>
        <w:tc>
          <w:tcPr>
            <w:tcW w:type="dxa" w:w="5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PV module — all 3 calculation types, all 4 discount rate methods</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Critical</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High</w:t>
            </w:r>
          </w:p>
        </w:tc>
      </w:tr>
      <w:tr>
        <w:tc>
          <w:tcPr>
            <w:tcW w:type="dxa" w:w="5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PV integration into reports, proposals, milestones, and client dashboard</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Critical</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High</w:t>
            </w:r>
          </w:p>
        </w:tc>
      </w:tr>
      <w:tr>
        <w:tc>
          <w:tcPr>
            <w:tcW w:type="dxa" w:w="5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PV waterfall chart visualisation</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High</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High</w:t>
            </w:r>
          </w:p>
        </w:tc>
      </w:tr>
      <w:tr>
        <w:tc>
          <w:tcPr>
            <w:tcW w:type="dxa" w:w="5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Website audit, competitor analysis, SWOT/TOWS/MAPS modules</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High</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High</w:t>
            </w:r>
          </w:p>
        </w:tc>
      </w:tr>
      <w:tr>
        <w:tc>
          <w:tcPr>
            <w:tcW w:type="dxa" w:w="5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NZ regulatory compliance checker and legislative currency monitoring setup</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High</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High</w:t>
            </w:r>
          </w:p>
        </w:tc>
      </w:tr>
      <w:tr>
        <w:tc>
          <w:tcPr>
            <w:tcW w:type="dxa" w:w="5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Regulatory change impact assessment — per-client financial impact and compliance actions</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High</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High</w:t>
            </w:r>
          </w:p>
        </w:tc>
      </w:tr>
      <w:tr>
        <w:tc>
          <w:tcPr>
            <w:tcW w:type="dxa" w:w="5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Insurance risk flag detection</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High</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Medium</w:t>
            </w:r>
          </w:p>
        </w:tc>
      </w:tr>
      <w:tr>
        <w:tc>
          <w:tcPr>
            <w:tcW w:type="dxa" w:w="5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HR and people analysis, operational analysis, systems review</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High</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Medium</w:t>
            </w:r>
          </w:p>
        </w:tc>
      </w:tr>
      <w:tr>
        <w:tc>
          <w:tcPr>
            <w:tcW w:type="dxa" w:w="5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AI red flag alerts and client knowledge assessment</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High</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High</w:t>
            </w:r>
          </w:p>
        </w:tc>
      </w:tr>
      <w:tr>
        <w:tc>
          <w:tcPr>
            <w:tcW w:type="dxa" w:w="5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Scenario planning tool — 5 scenarios, PV impact, NZ economic overlay</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High</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High</w:t>
            </w:r>
          </w:p>
        </w:tc>
      </w:tr>
      <w:tr>
        <w:tc>
          <w:tcPr>
            <w:tcW w:type="dxa" w:w="5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Succession planning module — exit readiness, options, PV target, owner dependency plan</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High</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High</w:t>
            </w:r>
          </w:p>
        </w:tc>
      </w:tr>
      <w:tr>
        <w:tc>
          <w:tcPr>
            <w:tcW w:type="dxa" w:w="5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Fee calculator — hours-based, outcome-based (PV-integrated), entrepreneur fee structure</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High</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High</w:t>
            </w:r>
          </w:p>
        </w:tc>
      </w:tr>
      <w:tr>
        <w:tc>
          <w:tcPr>
            <w:tcW w:type="dxa" w:w="5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Five-report system — all five report types</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Critical</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Very High</w:t>
            </w:r>
          </w:p>
        </w:tc>
      </w:tr>
      <w:tr>
        <w:tc>
          <w:tcPr>
            <w:tcW w:type="dxa" w:w="5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Stakeholder report generation</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High</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High</w:t>
            </w:r>
          </w:p>
        </w:tc>
      </w:tr>
      <w:tr>
        <w:tc>
          <w:tcPr>
            <w:tcW w:type="dxa" w:w="5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Business health trajectory report</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High</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High</w:t>
            </w:r>
          </w:p>
        </w:tc>
      </w:tr>
      <w:tr>
        <w:tc>
          <w:tcPr>
            <w:tcW w:type="dxa" w:w="5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Fee proposal generation, release control, and proposal expiry</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Critical</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High</w:t>
            </w:r>
          </w:p>
        </w:tc>
      </w:tr>
      <w:tr>
        <w:tc>
          <w:tcPr>
            <w:tcW w:type="dxa" w:w="5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Industry intelligence briefings — monthly AI-generated, advisor-reviewed</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High</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Medium</w:t>
            </w:r>
          </w:p>
        </w:tc>
      </w:tr>
      <w:tr>
        <w:tc>
          <w:tcPr>
            <w:tcW w:type="dxa" w:w="5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Automated pre-meeting brief — 24 hours before meetings</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High</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Medium</w:t>
            </w:r>
          </w:p>
        </w:tc>
      </w:tr>
      <w:tr>
        <w:tc>
          <w:tcPr>
            <w:tcW w:type="dxa" w:w="5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NZ economic indicators feed — all sources</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High</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Medium</w:t>
            </w:r>
          </w:p>
        </w:tc>
      </w:tr>
      <w:tr>
        <w:tc>
          <w:tcPr>
            <w:tcW w:type="dxa" w:w="5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Accounting API integration — Xero, MYOB, QuickBooks</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High</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High</w:t>
            </w:r>
          </w:p>
        </w:tc>
      </w:tr>
      <w:tr>
        <w:tc>
          <w:tcPr>
            <w:tcW w:type="dxa" w:w="5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Valuation multiple data feed — quarterly update mechanism</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High</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Medium</w:t>
            </w:r>
          </w:p>
        </w:tc>
      </w:tr>
      <w:tr>
        <w:tc>
          <w:tcPr>
            <w:tcW w:type="dxa" w:w="5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Funnel analytics — all key multi-step flows</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High</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Medium</w:t>
            </w:r>
          </w:p>
        </w:tc>
      </w:tr>
      <w:tr>
        <w:tc>
          <w:tcPr>
            <w:tcW w:type="dxa" w:w="5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Practice health report with PV portfolio view</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Medium</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Medium</w:t>
            </w:r>
          </w:p>
        </w:tc>
      </w:tr>
      <w:tr>
        <w:tc>
          <w:tcPr>
            <w:tcW w:type="dxa" w:w="5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Client wellbeing check-in — monthly optional pulse</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High</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Low</w:t>
            </w:r>
          </w:p>
        </w:tc>
      </w:tr>
    </w:tbl>
    <w:p>
      <w:pPr>
        <w:spacing w:after="0" w:before="0"/>
      </w:pPr>
      <w:r>
        <w:t xml:space="preserve"/>
      </w:r>
    </w:p>
    <w:p>
      <w:pPr>
        <w:pStyle w:val="Heading2"/>
        <w:spacing w:after="160" w:before="360"/>
      </w:pPr>
      <w:r>
        <w:rPr>
          <w:rFonts w:ascii="Arial" w:cs="Arial" w:eastAsia="Arial" w:hAnsi="Arial"/>
          <w:b/>
          <w:bCs/>
          <w:color w:val="0D7A7A"/>
          <w:sz w:val="34"/>
          <w:szCs w:val="34"/>
        </w:rPr>
        <w:t xml:space="preserve">Phase 3 — Engagement, Commerce, DD, Entrepreneur, Broker and Coach (Months 6-9)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980"/>
        <w:gridCol w:w="1980"/>
      </w:tblGrid>
      <w:tr>
        <w:tc>
          <w:tcPr>
            <w:tcW w:type="dxa" w:w="5400"/>
            <w:tcBorders>
              <w:top w:val="single" w:color="1C2B45" w:sz="1"/>
              <w:left w:val="single" w:color="1C2B45" w:sz="1"/>
              <w:bottom w:val="single" w:color="1C2B45" w:sz="1"/>
              <w:right w:val="single" w:color="1C2B45" w:sz="1"/>
            </w:tcBorders>
            <w:shd w:fill="1C2B45" w:val="clear"/>
            <w:tcMar>
              <w:top w:type="dxa" w:w="100"/>
              <w:left w:type="dxa" w:w="140"/>
              <w:bottom w:type="dxa" w:w="100"/>
              <w:right w:type="dxa" w:w="140"/>
            </w:tcMar>
          </w:tcPr>
          <w:p>
            <w:r>
              <w:rPr>
                <w:rFonts w:ascii="Arial" w:cs="Arial" w:eastAsia="Arial" w:hAnsi="Arial"/>
                <w:b/>
                <w:bCs/>
                <w:color w:val="FFFFFF"/>
                <w:sz w:val="19"/>
                <w:szCs w:val="19"/>
              </w:rPr>
              <w:t xml:space="preserve">Feature / Module</w:t>
            </w:r>
          </w:p>
        </w:tc>
        <w:tc>
          <w:tcPr>
            <w:tcW w:type="dxa" w:w="1980"/>
            <w:tcBorders>
              <w:top w:val="single" w:color="1C2B45" w:sz="1"/>
              <w:left w:val="single" w:color="1C2B45" w:sz="1"/>
              <w:bottom w:val="single" w:color="1C2B45" w:sz="1"/>
              <w:right w:val="single" w:color="1C2B45" w:sz="1"/>
            </w:tcBorders>
            <w:shd w:fill="1C2B45" w:val="clear"/>
            <w:tcMar>
              <w:top w:type="dxa" w:w="100"/>
              <w:left w:type="dxa" w:w="140"/>
              <w:bottom w:type="dxa" w:w="100"/>
              <w:right w:type="dxa" w:w="140"/>
            </w:tcMar>
          </w:tcPr>
          <w:p>
            <w:r>
              <w:rPr>
                <w:rFonts w:ascii="Arial" w:cs="Arial" w:eastAsia="Arial" w:hAnsi="Arial"/>
                <w:b/>
                <w:bCs/>
                <w:color w:val="FFFFFF"/>
                <w:sz w:val="19"/>
                <w:szCs w:val="19"/>
              </w:rPr>
              <w:t xml:space="preserve">Priority</w:t>
            </w:r>
          </w:p>
        </w:tc>
        <w:tc>
          <w:tcPr>
            <w:tcW w:type="dxa" w:w="1980"/>
            <w:tcBorders>
              <w:top w:val="single" w:color="1C2B45" w:sz="1"/>
              <w:left w:val="single" w:color="1C2B45" w:sz="1"/>
              <w:bottom w:val="single" w:color="1C2B45" w:sz="1"/>
              <w:right w:val="single" w:color="1C2B45" w:sz="1"/>
            </w:tcBorders>
            <w:shd w:fill="1C2B45" w:val="clear"/>
            <w:tcMar>
              <w:top w:type="dxa" w:w="100"/>
              <w:left w:type="dxa" w:w="140"/>
              <w:bottom w:type="dxa" w:w="100"/>
              <w:right w:type="dxa" w:w="140"/>
            </w:tcMar>
          </w:tcPr>
          <w:p>
            <w:r>
              <w:rPr>
                <w:rFonts w:ascii="Arial" w:cs="Arial" w:eastAsia="Arial" w:hAnsi="Arial"/>
                <w:b/>
                <w:bCs/>
                <w:color w:val="FFFFFF"/>
                <w:sz w:val="19"/>
                <w:szCs w:val="19"/>
              </w:rPr>
              <w:t xml:space="preserve">Complexity</w:t>
            </w:r>
          </w:p>
        </w:tc>
      </w:tr>
      <w:tr>
        <w:tc>
          <w:tcPr>
            <w:tcW w:type="dxa" w:w="5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Goals and milestones tracker — PV-linked with proof of completion and document AI review</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Critical</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High</w:t>
            </w:r>
          </w:p>
        </w:tc>
      </w:tr>
      <w:tr>
        <w:tc>
          <w:tcPr>
            <w:tcW w:type="dxa" w:w="5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Digital proposal sign-off flow — full 7-step</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Critical</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Very High</w:t>
            </w:r>
          </w:p>
        </w:tc>
      </w:tr>
      <w:tr>
        <w:tc>
          <w:tcPr>
            <w:tcW w:type="dxa" w:w="5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Insurance and coach consent in proposal — mandatory election</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Critical</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Medium</w:t>
            </w:r>
          </w:p>
        </w:tc>
      </w:tr>
      <w:tr>
        <w:tc>
          <w:tcPr>
            <w:tcW w:type="dxa" w:w="5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Credit card and direct debit authority schedules</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Critical</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High</w:t>
            </w:r>
          </w:p>
        </w:tc>
      </w:tr>
      <w:tr>
        <w:tc>
          <w:tcPr>
            <w:tcW w:type="dxa" w:w="5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Stripe and Windcave integration with API resilience failover</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Critical</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Very High</w:t>
            </w:r>
          </w:p>
        </w:tc>
      </w:tr>
      <w:tr>
        <w:tc>
          <w:tcPr>
            <w:tcW w:type="dxa" w:w="5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Monthly payment processing and receipts</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Critical</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High</w:t>
            </w:r>
          </w:p>
        </w:tc>
      </w:tr>
      <w:tr>
        <w:tc>
          <w:tcPr>
            <w:tcW w:type="dxa" w:w="5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Proposal expiry — countdown, alert, renewal flow, audit trail</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High</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Medium</w:t>
            </w:r>
          </w:p>
        </w:tc>
      </w:tr>
      <w:tr>
        <w:tc>
          <w:tcPr>
            <w:tcW w:type="dxa" w:w="5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Broker portal — full build: onboarding, agreement, referrals, reverse referrals</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Critical</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Very High</w:t>
            </w:r>
          </w:p>
        </w:tc>
      </w:tr>
      <w:tr>
        <w:tc>
          <w:tcPr>
            <w:tcW w:type="dxa" w:w="5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Coach portal — full build: 5 specialisations, admin-managed vetting, agreement, referrals</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Critical</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Very High</w:t>
            </w:r>
          </w:p>
        </w:tc>
      </w:tr>
      <w:tr>
        <w:tc>
          <w:tcPr>
            <w:tcW w:type="dxa" w:w="5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Coach panel agreement — generation, digital signing, T&amp;C gate</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Critical</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High</w:t>
            </w:r>
          </w:p>
        </w:tc>
      </w:tr>
      <w:tr>
        <w:tc>
          <w:tcPr>
            <w:tcW w:type="dxa" w:w="5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Coaching referral signal detection — informs advisor only, not automatic</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Critical</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Medium</w:t>
            </w:r>
          </w:p>
        </w:tc>
      </w:tr>
      <w:tr>
        <w:tc>
          <w:tcPr>
            <w:tcW w:type="dxa" w:w="5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Conflict of interest declaration — broker and coach referrals</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Critical</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Low</w:t>
            </w:r>
          </w:p>
        </w:tc>
      </w:tr>
      <w:tr>
        <w:tc>
          <w:tcPr>
            <w:tcW w:type="dxa" w:w="5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DD questionnaire system with adaptive learning setup</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Critical</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High</w:t>
            </w:r>
          </w:p>
        </w:tc>
      </w:tr>
      <w:tr>
        <w:tc>
          <w:tcPr>
            <w:tcW w:type="dxa" w:w="5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DD virtual data room — workstream organisation</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Critical</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High</w:t>
            </w:r>
          </w:p>
        </w:tc>
      </w:tr>
      <w:tr>
        <w:tc>
          <w:tcPr>
            <w:tcW w:type="dxa" w:w="5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DD target business guest upload link — virus-scanned, audit-logged, revocable</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High</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Medium</w:t>
            </w:r>
          </w:p>
        </w:tc>
      </w:tr>
      <w:tr>
        <w:tc>
          <w:tcPr>
            <w:tcW w:type="dxa" w:w="5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DD eight workstreams — AI analysis with document verification</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Critical</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Very High</w:t>
            </w:r>
          </w:p>
        </w:tc>
      </w:tr>
      <w:tr>
        <w:tc>
          <w:tcPr>
            <w:tcW w:type="dxa" w:w="5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DD business valuation — all 3 methods plus PV integration</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Critical</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High</w:t>
            </w:r>
          </w:p>
        </w:tc>
      </w:tr>
      <w:tr>
        <w:tc>
          <w:tcPr>
            <w:tcW w:type="dxa" w:w="5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DD foreign currency normalisation with RBNZ rate and sensitivity analysis</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Medium</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Medium</w:t>
            </w:r>
          </w:p>
        </w:tc>
      </w:tr>
      <w:tr>
        <w:tc>
          <w:tcPr>
            <w:tcW w:type="dxa" w:w="5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DD business plan builder — auto-population from workstreams, completeness check</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Critical</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High</w:t>
            </w:r>
          </w:p>
        </w:tc>
      </w:tr>
      <w:tr>
        <w:tc>
          <w:tcPr>
            <w:tcW w:type="dxa" w:w="5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DD report generation — separate branded PDF</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Critical</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High</w:t>
            </w:r>
          </w:p>
        </w:tc>
      </w:tr>
      <w:tr>
        <w:tc>
          <w:tcPr>
            <w:tcW w:type="dxa" w:w="5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Post-acquisition advisory pipeline — trigger, migration, intelligent gap questionnaire</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Critical</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Very High</w:t>
            </w:r>
          </w:p>
        </w:tc>
      </w:tr>
      <w:tr>
        <w:tc>
          <w:tcPr>
            <w:tcW w:type="dxa" w:w="5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Post-acquisition proposal auto-generation with PV baseline</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Critical</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High</w:t>
            </w:r>
          </w:p>
        </w:tc>
      </w:tr>
      <w:tr>
        <w:tc>
          <w:tcPr>
            <w:tcW w:type="dxa" w:w="5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Entrepreneur module — full build: readiness assessment, idea validation, 5-phase plan builder</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Critical</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Very High</w:t>
            </w:r>
          </w:p>
        </w:tc>
      </w:tr>
      <w:tr>
        <w:tc>
          <w:tcPr>
            <w:tcW w:type="dxa" w:w="5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Entrepreneur module — AI-guided building with learning from past events, predictive score</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Critical</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Very High</w:t>
            </w:r>
          </w:p>
        </w:tc>
      </w:tr>
      <w:tr>
        <w:tc>
          <w:tcPr>
            <w:tcW w:type="dxa" w:w="5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Entrepreneur module — document upload with section-attached AI relevance and accuracy verification</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Critical</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High</w:t>
            </w:r>
          </w:p>
        </w:tc>
      </w:tr>
      <w:tr>
        <w:tc>
          <w:tcPr>
            <w:tcW w:type="dxa" w:w="5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Entrepreneur module — admin-managed rating framework with founding PDF criteria</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Critical</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High</w:t>
            </w:r>
          </w:p>
        </w:tc>
      </w:tr>
      <w:tr>
        <w:tc>
          <w:tcPr>
            <w:tcW w:type="dxa" w:w="5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Entrepreneur module — AI first-pass scoring and advisor assessment with mentor notes</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Critical</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Very High</w:t>
            </w:r>
          </w:p>
        </w:tc>
      </w:tr>
      <w:tr>
        <w:tc>
          <w:tcPr>
            <w:tcW w:type="dxa" w:w="5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Entrepreneur module — iterative resubmission with round-by-round progress</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High</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Medium</w:t>
            </w:r>
          </w:p>
        </w:tc>
      </w:tr>
      <w:tr>
        <w:tc>
          <w:tcPr>
            <w:tcW w:type="dxa" w:w="5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Entrepreneur module — assessment report (4-part plus concept PV projection)</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Critical</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High</w:t>
            </w:r>
          </w:p>
        </w:tc>
      </w:tr>
      <w:tr>
        <w:tc>
          <w:tcPr>
            <w:tcW w:type="dxa" w:w="5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Entrepreneur module — NZ resource layer, anonymous benchmarking, viability alerts</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High</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Medium</w:t>
            </w:r>
          </w:p>
        </w:tc>
      </w:tr>
      <w:tr>
        <w:tc>
          <w:tcPr>
            <w:tcW w:type="dxa" w:w="5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Entrepreneur module — advisory readiness indicator and conversion pipeline</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Critical</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High</w:t>
            </w:r>
          </w:p>
        </w:tc>
      </w:tr>
      <w:tr>
        <w:tc>
          <w:tcPr>
            <w:tcW w:type="dxa" w:w="5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Entrepreneur module — living business plan post-launch</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High</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Medium</w:t>
            </w:r>
          </w:p>
        </w:tc>
      </w:tr>
      <w:tr>
        <w:tc>
          <w:tcPr>
            <w:tcW w:type="dxa" w:w="5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Entrepreneur module — advisor capacity management</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High</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Low</w:t>
            </w:r>
          </w:p>
        </w:tc>
      </w:tr>
      <w:tr>
        <w:tc>
          <w:tcPr>
            <w:tcW w:type="dxa" w:w="5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Entrepreneur module — DD integration: plan builder during acquisition</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Critical</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High</w:t>
            </w:r>
          </w:p>
        </w:tc>
      </w:tr>
      <w:tr>
        <w:tc>
          <w:tcPr>
            <w:tcW w:type="dxa" w:w="5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T&amp;C version manager — admin UI, clause editing, material vs non-material classification</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Critical</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High</w:t>
            </w:r>
          </w:p>
        </w:tc>
      </w:tr>
      <w:tr>
        <w:tc>
          <w:tcPr>
            <w:tcW w:type="dxa" w:w="5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Learning update queue — admin UI, summary cards, 4-decision approval flow</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Critical</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High</w:t>
            </w:r>
          </w:p>
        </w:tc>
      </w:tr>
      <w:tr>
        <w:tc>
          <w:tcPr>
            <w:tcW w:type="dxa" w:w="5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Learning update audit trail and rollback capability</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Critical</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High</w:t>
            </w:r>
          </w:p>
        </w:tc>
      </w:tr>
      <w:tr>
        <w:tc>
          <w:tcPr>
            <w:tcW w:type="dxa" w:w="5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All 32 learning layers — scheduled cadence setup and monitoring</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High</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High</w:t>
            </w:r>
          </w:p>
        </w:tc>
      </w:tr>
      <w:tr>
        <w:tc>
          <w:tcPr>
            <w:tcW w:type="dxa" w:w="5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Testimonial capture — offboarding and milestone NPS trigger</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High</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Medium</w:t>
            </w:r>
          </w:p>
        </w:tc>
      </w:tr>
      <w:tr>
        <w:tc>
          <w:tcPr>
            <w:tcW w:type="dxa" w:w="5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Voice-to-text notes</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Medium</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High</w:t>
            </w:r>
          </w:p>
        </w:tc>
      </w:tr>
      <w:tr>
        <w:tc>
          <w:tcPr>
            <w:tcW w:type="dxa" w:w="5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Bulk communications — channel-preference aware</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High</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Medium</w:t>
            </w:r>
          </w:p>
        </w:tc>
      </w:tr>
      <w:tr>
        <w:tc>
          <w:tcPr>
            <w:tcW w:type="dxa" w:w="5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Document expiry tracking</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Medium</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Low</w:t>
            </w:r>
          </w:p>
        </w:tc>
      </w:tr>
      <w:tr>
        <w:tc>
          <w:tcPr>
            <w:tcW w:type="dxa" w:w="5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Offline mode for client portal — PWA architecture, encrypted local storage</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Medium</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High</w:t>
            </w:r>
          </w:p>
        </w:tc>
      </w:tr>
    </w:tbl>
    <w:p>
      <w:pPr>
        <w:spacing w:after="0" w:before="0"/>
      </w:pPr>
      <w:r>
        <w:t xml:space="preserve"/>
      </w:r>
    </w:p>
    <w:p>
      <w:pPr>
        <w:pStyle w:val="Heading2"/>
        <w:spacing w:after="160" w:before="360"/>
      </w:pPr>
      <w:r>
        <w:rPr>
          <w:rFonts w:ascii="Arial" w:cs="Arial" w:eastAsia="Arial" w:hAnsi="Arial"/>
          <w:b/>
          <w:bCs/>
          <w:color w:val="0D7A7A"/>
          <w:sz w:val="34"/>
          <w:szCs w:val="34"/>
        </w:rPr>
        <w:t xml:space="preserve">Phase 4 — Intelligence Expansion (Months 9-12)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980"/>
        <w:gridCol w:w="1980"/>
      </w:tblGrid>
      <w:tr>
        <w:tc>
          <w:tcPr>
            <w:tcW w:type="dxa" w:w="5400"/>
            <w:tcBorders>
              <w:top w:val="single" w:color="1C2B45" w:sz="1"/>
              <w:left w:val="single" w:color="1C2B45" w:sz="1"/>
              <w:bottom w:val="single" w:color="1C2B45" w:sz="1"/>
              <w:right w:val="single" w:color="1C2B45" w:sz="1"/>
            </w:tcBorders>
            <w:shd w:fill="1C2B45" w:val="clear"/>
            <w:tcMar>
              <w:top w:type="dxa" w:w="100"/>
              <w:left w:type="dxa" w:w="140"/>
              <w:bottom w:type="dxa" w:w="100"/>
              <w:right w:type="dxa" w:w="140"/>
            </w:tcMar>
          </w:tcPr>
          <w:p>
            <w:r>
              <w:rPr>
                <w:rFonts w:ascii="Arial" w:cs="Arial" w:eastAsia="Arial" w:hAnsi="Arial"/>
                <w:b/>
                <w:bCs/>
                <w:color w:val="FFFFFF"/>
                <w:sz w:val="19"/>
                <w:szCs w:val="19"/>
              </w:rPr>
              <w:t xml:space="preserve">Feature / Module</w:t>
            </w:r>
          </w:p>
        </w:tc>
        <w:tc>
          <w:tcPr>
            <w:tcW w:type="dxa" w:w="1980"/>
            <w:tcBorders>
              <w:top w:val="single" w:color="1C2B45" w:sz="1"/>
              <w:left w:val="single" w:color="1C2B45" w:sz="1"/>
              <w:bottom w:val="single" w:color="1C2B45" w:sz="1"/>
              <w:right w:val="single" w:color="1C2B45" w:sz="1"/>
            </w:tcBorders>
            <w:shd w:fill="1C2B45" w:val="clear"/>
            <w:tcMar>
              <w:top w:type="dxa" w:w="100"/>
              <w:left w:type="dxa" w:w="140"/>
              <w:bottom w:type="dxa" w:w="100"/>
              <w:right w:type="dxa" w:w="140"/>
            </w:tcMar>
          </w:tcPr>
          <w:p>
            <w:r>
              <w:rPr>
                <w:rFonts w:ascii="Arial" w:cs="Arial" w:eastAsia="Arial" w:hAnsi="Arial"/>
                <w:b/>
                <w:bCs/>
                <w:color w:val="FFFFFF"/>
                <w:sz w:val="19"/>
                <w:szCs w:val="19"/>
              </w:rPr>
              <w:t xml:space="preserve">Priority</w:t>
            </w:r>
          </w:p>
        </w:tc>
        <w:tc>
          <w:tcPr>
            <w:tcW w:type="dxa" w:w="1980"/>
            <w:tcBorders>
              <w:top w:val="single" w:color="1C2B45" w:sz="1"/>
              <w:left w:val="single" w:color="1C2B45" w:sz="1"/>
              <w:bottom w:val="single" w:color="1C2B45" w:sz="1"/>
              <w:right w:val="single" w:color="1C2B45" w:sz="1"/>
            </w:tcBorders>
            <w:shd w:fill="1C2B45" w:val="clear"/>
            <w:tcMar>
              <w:top w:type="dxa" w:w="100"/>
              <w:left w:type="dxa" w:w="140"/>
              <w:bottom w:type="dxa" w:w="100"/>
              <w:right w:type="dxa" w:w="140"/>
            </w:tcMar>
          </w:tcPr>
          <w:p>
            <w:r>
              <w:rPr>
                <w:rFonts w:ascii="Arial" w:cs="Arial" w:eastAsia="Arial" w:hAnsi="Arial"/>
                <w:b/>
                <w:bCs/>
                <w:color w:val="FFFFFF"/>
                <w:sz w:val="19"/>
                <w:szCs w:val="19"/>
              </w:rPr>
              <w:t xml:space="preserve">Complexity</w:t>
            </w:r>
          </w:p>
        </w:tc>
      </w:tr>
      <w:tr>
        <w:tc>
          <w:tcPr>
            <w:tcW w:type="dxa" w:w="5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Full AI continuous learning engine — all 32 layers active</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High</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Very High</w:t>
            </w:r>
          </w:p>
        </w:tc>
      </w:tr>
      <w:tr>
        <w:tc>
          <w:tcPr>
            <w:tcW w:type="dxa" w:w="5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Bias detection — full automated calibration from accumulated feedback data</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High</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High</w:t>
            </w:r>
          </w:p>
        </w:tc>
      </w:tr>
      <w:tr>
        <w:tc>
          <w:tcPr>
            <w:tcW w:type="dxa" w:w="5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DD finding pattern learning and valuation accuracy learning</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High</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High</w:t>
            </w:r>
          </w:p>
        </w:tc>
      </w:tr>
      <w:tr>
        <w:tc>
          <w:tcPr>
            <w:tcW w:type="dxa" w:w="5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Industry-specific plan quality benchmarks — entrepreneur module</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High</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High</w:t>
            </w:r>
          </w:p>
        </w:tc>
      </w:tr>
      <w:tr>
        <w:tc>
          <w:tcPr>
            <w:tcW w:type="dxa" w:w="5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Conversion outcome learning — plan quality to business success tracking (long-term signal)</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High</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Very High</w:t>
            </w:r>
          </w:p>
        </w:tc>
      </w:tr>
      <w:tr>
        <w:tc>
          <w:tcPr>
            <w:tcW w:type="dxa" w:w="5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Rating predictive validity testing — semi-annual correlation assessment</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High</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Medium</w:t>
            </w:r>
          </w:p>
        </w:tc>
      </w:tr>
      <w:tr>
        <w:tc>
          <w:tcPr>
            <w:tcW w:type="dxa" w:w="5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Cross-client competitive intelligence — industry pattern detection</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Medium</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High</w:t>
            </w:r>
          </w:p>
        </w:tc>
      </w:tr>
      <w:tr>
        <w:tc>
          <w:tcPr>
            <w:tcW w:type="dxa" w:w="5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Shared intelligence layer — entrepreneur and advisory modules</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High</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High</w:t>
            </w:r>
          </w:p>
        </w:tc>
      </w:tr>
      <w:tr>
        <w:tc>
          <w:tcPr>
            <w:tcW w:type="dxa" w:w="5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Anonymous NZ SME benchmarking community — minimum cohort enforced</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Medium</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High</w:t>
            </w:r>
          </w:p>
        </w:tc>
      </w:tr>
      <w:tr>
        <w:tc>
          <w:tcPr>
            <w:tcW w:type="dxa" w:w="5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Anonymous peer network — SME and entrepreneur separate communities, moderated</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Medium</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High</w:t>
            </w:r>
          </w:p>
        </w:tc>
      </w:tr>
      <w:tr>
        <w:tc>
          <w:tcPr>
            <w:tcW w:type="dxa" w:w="5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Voice assistant integration — Siri and Google Assistant for advisor mobile</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Medium</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High</w:t>
            </w:r>
          </w:p>
        </w:tc>
      </w:tr>
      <w:tr>
        <w:tc>
          <w:tcPr>
            <w:tcW w:type="dxa" w:w="5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Advisor API layer — read-only, limited write, Super Admin approval per integration</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Medium</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High</w:t>
            </w:r>
          </w:p>
        </w:tc>
      </w:tr>
      <w:tr>
        <w:tc>
          <w:tcPr>
            <w:tcW w:type="dxa" w:w="5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NZ business tool integrations — Employment Hero, Cin7, Tradify, and others</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Medium</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High</w:t>
            </w:r>
          </w:p>
        </w:tc>
      </w:tr>
      <w:tr>
        <w:tc>
          <w:tcPr>
            <w:tcW w:type="dxa" w:w="5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Multi-advisor scaling and team management</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High</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Medium</w:t>
            </w:r>
          </w:p>
        </w:tc>
      </w:tr>
      <w:tr>
        <w:tc>
          <w:tcPr>
            <w:tcW w:type="dxa" w:w="5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Mobile app foundation — iOS and Android</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Medium</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Very High</w:t>
            </w:r>
          </w:p>
        </w:tc>
      </w:tr>
      <w:tr>
        <w:tc>
          <w:tcPr>
            <w:tcW w:type="dxa" w:w="5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Industry WACC data feed — full automation</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Medium</w:t>
            </w:r>
          </w:p>
        </w:tc>
        <w:tc>
          <w:tcPr>
            <w:tcW w:type="dxa" w:w="19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High</w:t>
            </w:r>
          </w:p>
        </w:tc>
      </w:tr>
      <w:tr>
        <w:tc>
          <w:tcPr>
            <w:tcW w:type="dxa" w:w="5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Annual third-party security and legal audit framework</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High</w:t>
            </w:r>
          </w:p>
        </w:tc>
        <w:tc>
          <w:tcPr>
            <w:tcW w:type="dxa" w:w="19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Medium</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B45" w:val="clear"/>
            <w:tcMar>
              <w:top w:type="dxa" w:w="260"/>
              <w:left w:type="dxa" w:w="360"/>
              <w:bottom w:type="dxa" w:w="260"/>
              <w:right w:type="dxa" w:w="360"/>
            </w:tcMar>
          </w:tcPr>
          <w:p>
            <w:pPr>
              <w:spacing w:after="80" w:before="0"/>
            </w:pPr>
            <w:r>
              <w:rPr>
                <w:rFonts w:ascii="Arial" w:cs="Arial" w:eastAsia="Arial" w:hAnsi="Arial"/>
                <w:b/>
                <w:bCs/>
                <w:color w:val="FFFFFF"/>
                <w:sz w:val="40"/>
                <w:szCs w:val="40"/>
              </w:rPr>
              <w:t xml:space="preserve">SECTION 27</w:t>
            </w:r>
          </w:p>
          <w:p>
            <w:pPr>
              <w:spacing w:after="0" w:before="0"/>
            </w:pPr>
            <w:r>
              <w:rPr>
                <w:rFonts w:ascii="Arial" w:cs="Arial" w:eastAsia="Arial" w:hAnsi="Arial"/>
                <w:i/>
                <w:iCs/>
                <w:color w:val="E8D5A0"/>
                <w:sz w:val="22"/>
                <w:szCs w:val="22"/>
              </w:rPr>
              <w:t xml:space="preserve">Technical Stack Recommendations</w:t>
            </w:r>
          </w:p>
        </w:tc>
      </w:tr>
    </w:tbl>
    <w:p>
      <w:pPr>
        <w:spacing w:after="0" w:before="0"/>
      </w:pPr>
      <w:r>
        <w:t xml:space="preserve"/>
      </w:r>
    </w:p>
    <w:p>
      <w:pPr>
        <w:pStyle w:val="Heading1"/>
        <w:pBdr>
          <w:bottom w:val="single" w:color="B8860B" w:sz="8" w:space="6"/>
        </w:pBdr>
        <w:spacing w:after="200" w:before="480"/>
      </w:pPr>
      <w:r>
        <w:rPr>
          <w:rFonts w:ascii="Arial" w:cs="Arial" w:eastAsia="Arial" w:hAnsi="Arial"/>
          <w:b/>
          <w:bCs/>
          <w:color w:val="1C2B45"/>
          <w:sz w:val="44"/>
          <w:szCs w:val="44"/>
        </w:rPr>
        <w:t xml:space="preserve">27. Technical Stack Recommendations</w:t>
      </w:r>
    </w:p>
    <w:p>
      <w:pPr>
        <w:pBdr>
          <w:left w:val="single" w:color="B8860B" w:sz="14" w:space="8"/>
        </w:pBdr>
        <w:spacing w:after="100" w:before="100"/>
        <w:ind w:left="360"/>
      </w:pPr>
      <w:r>
        <w:rPr>
          <w:rFonts w:ascii="Arial" w:cs="Arial" w:eastAsia="Arial" w:hAnsi="Arial"/>
          <w:b w:val="false"/>
          <w:bCs w:val="false"/>
          <w:i/>
          <w:iCs/>
          <w:color w:val="8B6C42"/>
          <w:sz w:val="20"/>
          <w:szCs w:val="20"/>
        </w:rPr>
        <w:t xml:space="preserve">Final selections validated against developer expertise before build. Payment and security selections require NZ-qualified developer review.</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Frontend</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React.js / Next.js. Tailwind CSS. Meridian Warm design tokens as CSS variables. PWA architecture for offline mode.</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Backend</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Node.js with Express or Python with FastAPI.</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Database</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PostgreSQL with row-level security. Separate schema segments per engagement type. Learning update history tables — immutable append-only. Entrepreneur plan versioning tables. Rating framework version and criteria tables. Document verification event tables.</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File Storage</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AWS S3 or Azure Blob Storage — NZ/AU region only. AES-256. Separate buckets: standard documents, DD virtual data room, entrepreneur section-attached documents.</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AI Engine</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Anthropic Claude API — analysis, fee suggestions, document verification (relevance and accuracy), rating scoring, plan guidance, gap questionnaire cross-reference, learning suggestions, bias detection, source attribution on all outputs.</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PQC Cryptography</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liboqs (Open Quantum Safe) — CRYSTALS-Kyber FIPS 203 and Dilithium FIPS 204.</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Key Management</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AWS CloudHSM or Azure Dedicated HSM. Keys never in software memory.</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Authentication</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Auth0 or AWS Cognito — MFA, adaptive authentication, anomaly detection. Separate auth flows per portal type. DD guest upload: tokenised link, no account creation.</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Payment Gateways</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Stripe (primary) plus Windcave (automatic fallback). Both integrated from Phase 3. PCI DSS certified.</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File Scanning</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ClamAV or VirusTotal API. Every upload from every source including DD guest uploads.</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Email</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SendGrid or AWS SES. DKIM/DMARC/SPF. Channel preference routing logic.</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PDF Generation</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Puppeteer or WeasyPrint — all five report types, entrepreneur assessment report, signed T&amp;C and proposal documents.</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Presentation Generation</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PptxGenJS or python-pptx. All report types convertible.</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Voice-to-Text</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OpenAI Whisper API or AWS Transcribe.</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Calendar</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Google Calendar API plus Microsoft Graph API. Two-way sync.</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NZ APIs</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FSP Register, PPSR, LINZ, IPONZ, NZBN, Companies Office, IRD, Stats NZ, RBNZ, MBIE, NZ Parliament.</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SIEM</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AWS CloudWatch or Datadog. Real-time monitoring, API health, bias detection alerting, security events.</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Hosting</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AWS, Azure, or GCP — NZ/AU region. Auto-scaling. 99.9% SLA target.</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Build Tool</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Claude Code. CLAUDE.md dropped into repo root before first session. Critical rules block at very top of CLAUDE.md.</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B45" w:val="clear"/>
            <w:tcMar>
              <w:top w:type="dxa" w:w="260"/>
              <w:left w:type="dxa" w:w="360"/>
              <w:bottom w:type="dxa" w:w="260"/>
              <w:right w:type="dxa" w:w="360"/>
            </w:tcMar>
          </w:tcPr>
          <w:p>
            <w:pPr>
              <w:spacing w:after="80" w:before="0"/>
            </w:pPr>
            <w:r>
              <w:rPr>
                <w:rFonts w:ascii="Arial" w:cs="Arial" w:eastAsia="Arial" w:hAnsi="Arial"/>
                <w:b/>
                <w:bCs/>
                <w:color w:val="FFFFFF"/>
                <w:sz w:val="40"/>
                <w:szCs w:val="40"/>
              </w:rPr>
              <w:t xml:space="preserve">SECTION 28</w:t>
            </w:r>
          </w:p>
          <w:p>
            <w:pPr>
              <w:spacing w:after="0" w:before="0"/>
            </w:pPr>
            <w:r>
              <w:rPr>
                <w:rFonts w:ascii="Arial" w:cs="Arial" w:eastAsia="Arial" w:hAnsi="Arial"/>
                <w:i/>
                <w:iCs/>
                <w:color w:val="E8D5A0"/>
                <w:sz w:val="22"/>
                <w:szCs w:val="22"/>
              </w:rPr>
              <w:t xml:space="preserve">Appendices</w:t>
            </w:r>
          </w:p>
        </w:tc>
      </w:tr>
    </w:tbl>
    <w:p>
      <w:pPr>
        <w:spacing w:after="0" w:before="0"/>
      </w:pPr>
      <w:r>
        <w:t xml:space="preserve"/>
      </w:r>
    </w:p>
    <w:p>
      <w:pPr>
        <w:pStyle w:val="Heading1"/>
        <w:pBdr>
          <w:bottom w:val="single" w:color="B8860B" w:sz="8" w:space="6"/>
        </w:pBdr>
        <w:spacing w:after="200" w:before="480"/>
      </w:pPr>
      <w:r>
        <w:rPr>
          <w:rFonts w:ascii="Arial" w:cs="Arial" w:eastAsia="Arial" w:hAnsi="Arial"/>
          <w:b/>
          <w:bCs/>
          <w:color w:val="1C2B45"/>
          <w:sz w:val="44"/>
          <w:szCs w:val="44"/>
        </w:rPr>
        <w:t xml:space="preserve">28. Appendices</w:t>
      </w:r>
    </w:p>
    <w:p>
      <w:pPr>
        <w:pStyle w:val="Heading2"/>
        <w:spacing w:after="160" w:before="360"/>
      </w:pPr>
      <w:r>
        <w:rPr>
          <w:rFonts w:ascii="Arial" w:cs="Arial" w:eastAsia="Arial" w:hAnsi="Arial"/>
          <w:b/>
          <w:bCs/>
          <w:color w:val="0D7A7A"/>
          <w:sz w:val="34"/>
          <w:szCs w:val="34"/>
        </w:rPr>
        <w:t xml:space="preserve">Appendix A — NZ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Stats NZ</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www.stats.govt.nz — CPI, GDP, unemployment, industry statistics, business demography</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Reserve Bank NZ</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www.rbnz.govt.nz — OCR, monetary policy, banking statistics, exchange rates</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MBIE</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www.mbie.govt.nz — Industry reports, employment, business support, benchmarks, startup support</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Companies Office</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www.companiesoffice.govt.nz — Company register, directors, filing status</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NZBN Register</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www.nzbn.govt.nz — NZ Business Number registry</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FSP Register</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www.fsp.govt.nz — Financial Service Providers Register</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PPSR</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www.ppsr.govt.nz — Personal Property Securities Register</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LINZ</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www.linz.govt.nz — Land Information NZ</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IPONZ</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www.iponz.govt.nz — Intellectual property registrations</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IRD</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www.ird.govt.nz — GST registration, tax status</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NZ Parliament</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www.legislation.govt.nz — Legislative currency monitoring</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WorkSafe NZ</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www.worksafe.govt.nz — H&amp;S guidance, compliance resources</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Employment NZ</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www.employment.govt.nz — ERA guidance, minimum standards</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NZ Living Wage</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www.livingwage.org.nz — Annual living wage rate</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NZ Business Brokers</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NZ transaction data for valuation multiples — updated quarterly via learning update process</w:t>
            </w:r>
          </w:p>
        </w:tc>
      </w:tr>
    </w:tbl>
    <w:p>
      <w:pPr>
        <w:spacing w:after="0" w:before="0"/>
      </w:pPr>
      <w:r>
        <w:t xml:space="preserve"/>
      </w:r>
    </w:p>
    <w:p>
      <w:pPr>
        <w:pStyle w:val="Heading2"/>
        <w:spacing w:after="160" w:before="360"/>
      </w:pPr>
      <w:r>
        <w:rPr>
          <w:rFonts w:ascii="Arial" w:cs="Arial" w:eastAsia="Arial" w:hAnsi="Arial"/>
          <w:b/>
          <w:bCs/>
          <w:color w:val="0D7A7A"/>
          <w:sz w:val="34"/>
          <w:szCs w:val="34"/>
        </w:rPr>
        <w:t xml:space="preserve">Appendix B — NZ Legal and Compliance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Privacy Act 2020</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Personal information — collection, storage, use, breach notification.</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Consumer Guarantees Act 1993</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T&amp;C contracts out under s.43 — both parties operating in trade.</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Fair Trading Act 1986</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Prohibits misleading conduct — AI Integrity Principle and conflict of interest framework aligned.</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Contract and Commercial Law Act 2017</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Electronic signature validity — all digital signing on platform.</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Employment Relations Act 2000</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Employment agreements, good faith, personal grievances.</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Health and Safety at Work Act 2015</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PCBU obligations — compliance checker and DD regulatory workstream.</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Financial Markets Conduct Act 2013</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FSP licensing framework — broker regulation.</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Companies Act 1993</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Director duties — immediate termination clause and DD legal workstream.</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Resource Management Act 1991</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Consents — DD NZ regulatory workstream.</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Holidays Act 2003</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Leave entitlements — Holidays Act liability quantification in DD and compliance checker.</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Minimum Wage Act 1983</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Minimum wage compliance — compliance checker and DD HR workstream.</w:t>
            </w:r>
          </w:p>
        </w:tc>
      </w:tr>
      <w:tr>
        <w:tc>
          <w:tcPr>
            <w:tcW w:type="dxa" w:w="280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Serious Fraud Office Act 1990</w:t>
            </w:r>
          </w:p>
        </w:tc>
        <w:tc>
          <w:tcPr>
            <w:tcW w:type="dxa" w:w="6560"/>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color w:val="4A5568"/>
                <w:sz w:val="21"/>
                <w:szCs w:val="21"/>
              </w:rPr>
              <w:t xml:space="preserve">Context for fraud reporting obligations in T&amp;C termination clause.</w:t>
            </w:r>
          </w:p>
        </w:tc>
      </w:tr>
      <w:tr>
        <w:tc>
          <w:tcPr>
            <w:tcW w:type="dxa" w:w="280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NIST PQC Standards</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color w:val="4A5568"/>
                <w:sz w:val="21"/>
                <w:szCs w:val="21"/>
              </w:rPr>
              <w:t xml:space="preserve">CRYSTALS-Kyber FIPS 203 and Dilithium FIPS 204 — cryptographic implementation standards.</w:t>
            </w:r>
          </w:p>
        </w:tc>
      </w:tr>
    </w:tbl>
    <w:p>
      <w:pPr>
        <w:spacing w:after="0" w:before="0"/>
      </w:pPr>
      <w:r>
        <w:t xml:space="preserve"/>
      </w:r>
    </w:p>
    <w:p>
      <w:pPr>
        <w:pStyle w:val="Heading2"/>
        <w:spacing w:after="160" w:before="360"/>
      </w:pPr>
      <w:r>
        <w:rPr>
          <w:rFonts w:ascii="Arial" w:cs="Arial" w:eastAsia="Arial" w:hAnsi="Arial"/>
          <w:b/>
          <w:bCs/>
          <w:color w:val="0D7A7A"/>
          <w:sz w:val="34"/>
          <w:szCs w:val="34"/>
        </w:rPr>
        <w:t xml:space="preserve">Appendix C — Entrepreneur Module Rating Criteria (Founding Template from PDFs)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3600"/>
      </w:tblGrid>
      <w:tr>
        <w:tc>
          <w:tcPr>
            <w:tcW w:type="dxa" w:w="600"/>
            <w:tcBorders>
              <w:top w:val="single" w:color="1C2B45" w:sz="1"/>
              <w:left w:val="single" w:color="1C2B45" w:sz="1"/>
              <w:bottom w:val="single" w:color="1C2B45" w:sz="1"/>
              <w:right w:val="single" w:color="1C2B45" w:sz="1"/>
            </w:tcBorders>
            <w:shd w:fill="1C2B45" w:val="clear"/>
            <w:tcMar>
              <w:top w:type="dxa" w:w="100"/>
              <w:left w:type="dxa" w:w="140"/>
              <w:bottom w:type="dxa" w:w="100"/>
              <w:right w:type="dxa" w:w="140"/>
            </w:tcMar>
          </w:tcPr>
          <w:p>
            <w:r>
              <w:rPr>
                <w:rFonts w:ascii="Arial" w:cs="Arial" w:eastAsia="Arial" w:hAnsi="Arial"/>
                <w:b/>
                <w:bCs/>
                <w:color w:val="FFFFFF"/>
                <w:sz w:val="19"/>
                <w:szCs w:val="19"/>
              </w:rPr>
              <w:t xml:space="preserve">No.</w:t>
            </w:r>
          </w:p>
        </w:tc>
        <w:tc>
          <w:tcPr>
            <w:tcW w:type="dxa" w:w="5160"/>
            <w:tcBorders>
              <w:top w:val="single" w:color="1C2B45" w:sz="1"/>
              <w:left w:val="single" w:color="1C2B45" w:sz="1"/>
              <w:bottom w:val="single" w:color="1C2B45" w:sz="1"/>
              <w:right w:val="single" w:color="1C2B45" w:sz="1"/>
            </w:tcBorders>
            <w:shd w:fill="1C2B45" w:val="clear"/>
            <w:tcMar>
              <w:top w:type="dxa" w:w="100"/>
              <w:left w:type="dxa" w:w="140"/>
              <w:bottom w:type="dxa" w:w="100"/>
              <w:right w:type="dxa" w:w="140"/>
            </w:tcMar>
          </w:tcPr>
          <w:p>
            <w:r>
              <w:rPr>
                <w:rFonts w:ascii="Arial" w:cs="Arial" w:eastAsia="Arial" w:hAnsi="Arial"/>
                <w:b/>
                <w:bCs/>
                <w:color w:val="FFFFFF"/>
                <w:sz w:val="19"/>
                <w:szCs w:val="19"/>
              </w:rPr>
              <w:t xml:space="preserve">Criterion</w:t>
            </w:r>
          </w:p>
        </w:tc>
        <w:tc>
          <w:tcPr>
            <w:tcW w:type="dxa" w:w="3600"/>
            <w:tcBorders>
              <w:top w:val="single" w:color="1C2B45" w:sz="1"/>
              <w:left w:val="single" w:color="1C2B45" w:sz="1"/>
              <w:bottom w:val="single" w:color="1C2B45" w:sz="1"/>
              <w:right w:val="single" w:color="1C2B45" w:sz="1"/>
            </w:tcBorders>
            <w:shd w:fill="1C2B45" w:val="clear"/>
            <w:tcMar>
              <w:top w:type="dxa" w:w="100"/>
              <w:left w:type="dxa" w:w="140"/>
              <w:bottom w:type="dxa" w:w="100"/>
              <w:right w:type="dxa" w:w="140"/>
            </w:tcMar>
          </w:tcPr>
          <w:p>
            <w:r>
              <w:rPr>
                <w:rFonts w:ascii="Arial" w:cs="Arial" w:eastAsia="Arial" w:hAnsi="Arial"/>
                <w:b/>
                <w:bCs/>
                <w:color w:val="FFFFFF"/>
                <w:sz w:val="19"/>
                <w:szCs w:val="19"/>
              </w:rPr>
              <w:t xml:space="preserve">Source</w:t>
            </w:r>
          </w:p>
        </w:tc>
      </w:tr>
      <w:tr>
        <w:tc>
          <w:tcPr>
            <w:tcW w:type="dxa" w:w="6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1</w:t>
            </w:r>
          </w:p>
        </w:tc>
        <w:tc>
          <w:tcPr>
            <w:tcW w:type="dxa" w:w="516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Type of business</w:t>
            </w:r>
          </w:p>
        </w:tc>
        <w:tc>
          <w:tcPr>
            <w:tcW w:type="dxa" w:w="36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Business_Plan_Rating_Matrix.pdf</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2</w:t>
            </w:r>
          </w:p>
        </w:tc>
        <w:tc>
          <w:tcPr>
            <w:tcW w:type="dxa" w:w="51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Location</w:t>
            </w:r>
          </w:p>
        </w:tc>
        <w:tc>
          <w:tcPr>
            <w:tcW w:type="dxa" w:w="36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Business_Plan_Rating_Matrix.pdf</w:t>
            </w:r>
          </w:p>
        </w:tc>
      </w:tr>
      <w:tr>
        <w:tc>
          <w:tcPr>
            <w:tcW w:type="dxa" w:w="6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3</w:t>
            </w:r>
          </w:p>
        </w:tc>
        <w:tc>
          <w:tcPr>
            <w:tcW w:type="dxa" w:w="516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Means of doing business</w:t>
            </w:r>
          </w:p>
        </w:tc>
        <w:tc>
          <w:tcPr>
            <w:tcW w:type="dxa" w:w="36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Business_Plan_Rating_Matrix.pdf</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4</w:t>
            </w:r>
          </w:p>
        </w:tc>
        <w:tc>
          <w:tcPr>
            <w:tcW w:type="dxa" w:w="51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Discuss the industry</w:t>
            </w:r>
          </w:p>
        </w:tc>
        <w:tc>
          <w:tcPr>
            <w:tcW w:type="dxa" w:w="36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Business_Plan_Rating_Matrix.pdf</w:t>
            </w:r>
          </w:p>
        </w:tc>
      </w:tr>
      <w:tr>
        <w:tc>
          <w:tcPr>
            <w:tcW w:type="dxa" w:w="6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5</w:t>
            </w:r>
          </w:p>
        </w:tc>
        <w:tc>
          <w:tcPr>
            <w:tcW w:type="dxa" w:w="516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What sets the business apart from its competitors</w:t>
            </w:r>
          </w:p>
        </w:tc>
        <w:tc>
          <w:tcPr>
            <w:tcW w:type="dxa" w:w="36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Business_Plan_Rating_Matrix.pdf</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6</w:t>
            </w:r>
          </w:p>
        </w:tc>
        <w:tc>
          <w:tcPr>
            <w:tcW w:type="dxa" w:w="51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Describe unique success factors</w:t>
            </w:r>
          </w:p>
        </w:tc>
        <w:tc>
          <w:tcPr>
            <w:tcW w:type="dxa" w:w="36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Business_Plan_Rating_Matrix.pdf</w:t>
            </w:r>
          </w:p>
        </w:tc>
      </w:tr>
      <w:tr>
        <w:tc>
          <w:tcPr>
            <w:tcW w:type="dxa" w:w="6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7</w:t>
            </w:r>
          </w:p>
        </w:tc>
        <w:tc>
          <w:tcPr>
            <w:tcW w:type="dxa" w:w="516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Mission and Vision statement</w:t>
            </w:r>
          </w:p>
        </w:tc>
        <w:tc>
          <w:tcPr>
            <w:tcW w:type="dxa" w:w="36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Business_Plan_Rating_Matrix.pdf</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8</w:t>
            </w:r>
          </w:p>
        </w:tc>
        <w:tc>
          <w:tcPr>
            <w:tcW w:type="dxa" w:w="51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Intellectual property</w:t>
            </w:r>
          </w:p>
        </w:tc>
        <w:tc>
          <w:tcPr>
            <w:tcW w:type="dxa" w:w="36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Business_Plan_Rating_Matrix.pdf</w:t>
            </w:r>
          </w:p>
        </w:tc>
      </w:tr>
      <w:tr>
        <w:tc>
          <w:tcPr>
            <w:tcW w:type="dxa" w:w="6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9</w:t>
            </w:r>
          </w:p>
        </w:tc>
        <w:tc>
          <w:tcPr>
            <w:tcW w:type="dxa" w:w="516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Goals and objectives</w:t>
            </w:r>
          </w:p>
        </w:tc>
        <w:tc>
          <w:tcPr>
            <w:tcW w:type="dxa" w:w="36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Business_Plan_Rating_Matrix.pdf</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10</w:t>
            </w:r>
          </w:p>
        </w:tc>
        <w:tc>
          <w:tcPr>
            <w:tcW w:type="dxa" w:w="51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Culture</w:t>
            </w:r>
          </w:p>
        </w:tc>
        <w:tc>
          <w:tcPr>
            <w:tcW w:type="dxa" w:w="36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Business_Plan_Rating_Matrix.pdf</w:t>
            </w:r>
          </w:p>
        </w:tc>
      </w:tr>
      <w:tr>
        <w:tc>
          <w:tcPr>
            <w:tcW w:type="dxa" w:w="6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11</w:t>
            </w:r>
          </w:p>
        </w:tc>
        <w:tc>
          <w:tcPr>
            <w:tcW w:type="dxa" w:w="516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Legal Environment — licences, permits, health and environmental regulations, industry regulations, zoning and building requirements, trademarks, copyrights, patents purchased and pending, insurance coverage</w:t>
            </w:r>
          </w:p>
        </w:tc>
        <w:tc>
          <w:tcPr>
            <w:tcW w:type="dxa" w:w="36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Business_Plan_Rating_Matrix.pdf</w:t>
            </w:r>
          </w:p>
        </w:tc>
      </w:tr>
    </w:tbl>
    <w:p>
      <w:pPr>
        <w:spacing w:after="0" w:before="0"/>
      </w:pPr>
      <w:r>
        <w:t xml:space="preserve"/>
      </w:r>
    </w:p>
    <w:p>
      <w:pPr>
        <w:pBdr>
          <w:left w:val="single" w:color="B8860B" w:sz="14" w:space="8"/>
        </w:pBdr>
        <w:spacing w:after="100" w:before="100"/>
        <w:ind w:left="360"/>
      </w:pPr>
      <w:r>
        <w:rPr>
          <w:rFonts w:ascii="Arial" w:cs="Arial" w:eastAsia="Arial" w:hAnsi="Arial"/>
          <w:b w:val="false"/>
          <w:bCs w:val="false"/>
          <w:i/>
          <w:iCs/>
          <w:color w:val="8B6C42"/>
          <w:sz w:val="20"/>
          <w:szCs w:val="20"/>
        </w:rPr>
        <w:t xml:space="preserve">All criteria, weights, scoring descriptors, and industry variants are admin-managed. These are the founding configuration. They evolve through the governed learning update process — never hardcoded.</w:t>
      </w:r>
    </w:p>
    <w:p>
      <w:pPr>
        <w:spacing w:after="0" w:before="0"/>
      </w:pPr>
      <w:r>
        <w:t xml:space="preserve"/>
      </w:r>
    </w:p>
    <w:p>
      <w:pPr>
        <w:pStyle w:val="Heading2"/>
        <w:spacing w:after="160" w:before="360"/>
      </w:pPr>
      <w:r>
        <w:rPr>
          <w:rFonts w:ascii="Arial" w:cs="Arial" w:eastAsia="Arial" w:hAnsi="Arial"/>
          <w:b/>
          <w:bCs/>
          <w:color w:val="0D7A7A"/>
          <w:sz w:val="34"/>
          <w:szCs w:val="34"/>
        </w:rPr>
        <w:t xml:space="preserve">Appendix D — Coach Panel vs Broker Panel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C2B45" w:sz="1"/>
              <w:left w:val="single" w:color="1C2B45" w:sz="1"/>
              <w:bottom w:val="single" w:color="1C2B45" w:sz="1"/>
              <w:right w:val="single" w:color="1C2B45" w:sz="1"/>
            </w:tcBorders>
            <w:shd w:fill="1C2B45" w:val="clear"/>
            <w:tcMar>
              <w:top w:type="dxa" w:w="100"/>
              <w:left w:type="dxa" w:w="140"/>
              <w:bottom w:type="dxa" w:w="100"/>
              <w:right w:type="dxa" w:w="140"/>
            </w:tcMar>
          </w:tcPr>
          <w:p>
            <w:r>
              <w:rPr>
                <w:rFonts w:ascii="Arial" w:cs="Arial" w:eastAsia="Arial" w:hAnsi="Arial"/>
                <w:b/>
                <w:bCs/>
                <w:color w:val="FFFFFF"/>
                <w:sz w:val="19"/>
                <w:szCs w:val="19"/>
              </w:rPr>
              <w:t xml:space="preserve">Dimension</w:t>
            </w:r>
          </w:p>
        </w:tc>
        <w:tc>
          <w:tcPr>
            <w:tcW w:type="dxa" w:w="3480"/>
            <w:tcBorders>
              <w:top w:val="single" w:color="1C2B45" w:sz="1"/>
              <w:left w:val="single" w:color="1C2B45" w:sz="1"/>
              <w:bottom w:val="single" w:color="1C2B45" w:sz="1"/>
              <w:right w:val="single" w:color="1C2B45" w:sz="1"/>
            </w:tcBorders>
            <w:shd w:fill="1C2B45" w:val="clear"/>
            <w:tcMar>
              <w:top w:type="dxa" w:w="100"/>
              <w:left w:type="dxa" w:w="140"/>
              <w:bottom w:type="dxa" w:w="100"/>
              <w:right w:type="dxa" w:w="140"/>
            </w:tcMar>
          </w:tcPr>
          <w:p>
            <w:r>
              <w:rPr>
                <w:rFonts w:ascii="Arial" w:cs="Arial" w:eastAsia="Arial" w:hAnsi="Arial"/>
                <w:b/>
                <w:bCs/>
                <w:color w:val="FFFFFF"/>
                <w:sz w:val="19"/>
                <w:szCs w:val="19"/>
              </w:rPr>
              <w:t xml:space="preserve">Insurance Broker Panel</w:t>
            </w:r>
          </w:p>
        </w:tc>
        <w:tc>
          <w:tcPr>
            <w:tcW w:type="dxa" w:w="3480"/>
            <w:tcBorders>
              <w:top w:val="single" w:color="1C2B45" w:sz="1"/>
              <w:left w:val="single" w:color="1C2B45" w:sz="1"/>
              <w:bottom w:val="single" w:color="1C2B45" w:sz="1"/>
              <w:right w:val="single" w:color="1C2B45" w:sz="1"/>
            </w:tcBorders>
            <w:shd w:fill="1C2B45" w:val="clear"/>
            <w:tcMar>
              <w:top w:type="dxa" w:w="100"/>
              <w:left w:type="dxa" w:w="140"/>
              <w:bottom w:type="dxa" w:w="100"/>
              <w:right w:type="dxa" w:w="140"/>
            </w:tcMar>
          </w:tcPr>
          <w:p>
            <w:r>
              <w:rPr>
                <w:rFonts w:ascii="Arial" w:cs="Arial" w:eastAsia="Arial" w:hAnsi="Arial"/>
                <w:b/>
                <w:bCs/>
                <w:color w:val="FFFFFF"/>
                <w:sz w:val="19"/>
                <w:szCs w:val="19"/>
              </w:rPr>
              <w:t xml:space="preserve">Life and Personal Coach Panel</w:t>
            </w:r>
          </w:p>
        </w:tc>
      </w:tr>
      <w:tr>
        <w:tc>
          <w:tcPr>
            <w:tcW w:type="dxa" w:w="2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Regulatory Register</w:t>
            </w:r>
          </w:p>
        </w:tc>
        <w:tc>
          <w:tcPr>
            <w:tcW w:type="dxa" w:w="34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FSP Register — mandatory validation</w:t>
            </w:r>
          </w:p>
        </w:tc>
        <w:tc>
          <w:tcPr>
            <w:tcW w:type="dxa" w:w="34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No mandatory NZ register — admin-managed quality bar</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Agreement</w:t>
            </w:r>
          </w:p>
        </w:tc>
        <w:tc>
          <w:tcPr>
            <w:tcW w:type="dxa" w:w="34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Broker Panel Agreement</w:t>
            </w:r>
          </w:p>
        </w:tc>
        <w:tc>
          <w:tcPr>
            <w:tcW w:type="dxa" w:w="34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Coach Panel Agreement plus Wellbeing Scope Boundary clause</w:t>
            </w:r>
          </w:p>
        </w:tc>
      </w:tr>
      <w:tr>
        <w:tc>
          <w:tcPr>
            <w:tcW w:type="dxa" w:w="2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Specialisations</w:t>
            </w:r>
          </w:p>
        </w:tc>
        <w:tc>
          <w:tcPr>
            <w:tcW w:type="dxa" w:w="34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Insurance types (configurable)</w:t>
            </w:r>
          </w:p>
        </w:tc>
        <w:tc>
          <w:tcPr>
            <w:tcW w:type="dxa" w:w="34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5 fixed: Life, Business/Executive, Mental Health and Wellbeing, Financial Wellness, Career</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Referral Triggers</w:t>
            </w:r>
          </w:p>
        </w:tc>
        <w:tc>
          <w:tcPr>
            <w:tcW w:type="dxa" w:w="34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Insurance risk flags, advisor judgement</w:t>
            </w:r>
          </w:p>
        </w:tc>
        <w:tc>
          <w:tcPr>
            <w:tcW w:type="dxa" w:w="34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Automated signals inform advisor only — advisor always decides</w:t>
            </w:r>
          </w:p>
        </w:tc>
      </w:tr>
      <w:tr>
        <w:tc>
          <w:tcPr>
            <w:tcW w:type="dxa" w:w="24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Who Referred</w:t>
            </w:r>
          </w:p>
        </w:tc>
        <w:tc>
          <w:tcPr>
            <w:tcW w:type="dxa" w:w="34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Consenting clients only</w:t>
            </w:r>
          </w:p>
        </w:tc>
        <w:tc>
          <w:tcPr>
            <w:tcW w:type="dxa" w:w="348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Consenting clients, consenting key staff, entrepreneurs</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Commercial</w:t>
            </w:r>
          </w:p>
        </w:tc>
        <w:tc>
          <w:tcPr>
            <w:tcW w:type="dxa" w:w="34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Mutual referral, no financial fees</w:t>
            </w:r>
          </w:p>
        </w:tc>
        <w:tc>
          <w:tcPr>
            <w:tcW w:type="dxa" w:w="348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Mutual referral, no financial fees</w:t>
            </w:r>
          </w:p>
        </w:tc>
      </w:tr>
    </w:tbl>
    <w:p>
      <w:pPr>
        <w:spacing w:after="0" w:before="0"/>
      </w:pPr>
      <w:r>
        <w:t xml:space="preserve"/>
      </w:r>
    </w:p>
    <w:p>
      <w:pPr>
        <w:pStyle w:val="Heading2"/>
        <w:spacing w:after="160" w:before="360"/>
      </w:pPr>
      <w:r>
        <w:rPr>
          <w:rFonts w:ascii="Arial" w:cs="Arial" w:eastAsia="Arial" w:hAnsi="Arial"/>
          <w:b/>
          <w:bCs/>
          <w:color w:val="0D7A7A"/>
          <w:sz w:val="34"/>
          <w:szCs w:val="34"/>
        </w:rPr>
        <w:t xml:space="preserve">Appendix E — Document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7560"/>
      </w:tblGrid>
      <w:tr>
        <w:tc>
          <w:tcPr>
            <w:tcW w:type="dxa" w:w="900"/>
            <w:tcBorders>
              <w:top w:val="single" w:color="1C2B45" w:sz="1"/>
              <w:left w:val="single" w:color="1C2B45" w:sz="1"/>
              <w:bottom w:val="single" w:color="1C2B45" w:sz="1"/>
              <w:right w:val="single" w:color="1C2B45" w:sz="1"/>
            </w:tcBorders>
            <w:shd w:fill="1C2B45" w:val="clear"/>
            <w:tcMar>
              <w:top w:type="dxa" w:w="100"/>
              <w:left w:type="dxa" w:w="140"/>
              <w:bottom w:type="dxa" w:w="100"/>
              <w:right w:type="dxa" w:w="140"/>
            </w:tcMar>
          </w:tcPr>
          <w:p>
            <w:r>
              <w:rPr>
                <w:rFonts w:ascii="Arial" w:cs="Arial" w:eastAsia="Arial" w:hAnsi="Arial"/>
                <w:b/>
                <w:bCs/>
                <w:color w:val="FFFFFF"/>
                <w:sz w:val="19"/>
                <w:szCs w:val="19"/>
              </w:rPr>
              <w:t xml:space="preserve">Version</w:t>
            </w:r>
          </w:p>
        </w:tc>
        <w:tc>
          <w:tcPr>
            <w:tcW w:type="dxa" w:w="900"/>
            <w:tcBorders>
              <w:top w:val="single" w:color="1C2B45" w:sz="1"/>
              <w:left w:val="single" w:color="1C2B45" w:sz="1"/>
              <w:bottom w:val="single" w:color="1C2B45" w:sz="1"/>
              <w:right w:val="single" w:color="1C2B45" w:sz="1"/>
            </w:tcBorders>
            <w:shd w:fill="1C2B45" w:val="clear"/>
            <w:tcMar>
              <w:top w:type="dxa" w:w="100"/>
              <w:left w:type="dxa" w:w="140"/>
              <w:bottom w:type="dxa" w:w="100"/>
              <w:right w:type="dxa" w:w="140"/>
            </w:tcMar>
          </w:tcPr>
          <w:p>
            <w:r>
              <w:rPr>
                <w:rFonts w:ascii="Arial" w:cs="Arial" w:eastAsia="Arial" w:hAnsi="Arial"/>
                <w:b/>
                <w:bCs/>
                <w:color w:val="FFFFFF"/>
                <w:sz w:val="19"/>
                <w:szCs w:val="19"/>
              </w:rPr>
              <w:t xml:space="preserve">Date</w:t>
            </w:r>
          </w:p>
        </w:tc>
        <w:tc>
          <w:tcPr>
            <w:tcW w:type="dxa" w:w="7560"/>
            <w:tcBorders>
              <w:top w:val="single" w:color="1C2B45" w:sz="1"/>
              <w:left w:val="single" w:color="1C2B45" w:sz="1"/>
              <w:bottom w:val="single" w:color="1C2B45" w:sz="1"/>
              <w:right w:val="single" w:color="1C2B45" w:sz="1"/>
            </w:tcBorders>
            <w:shd w:fill="1C2B45" w:val="clear"/>
            <w:tcMar>
              <w:top w:type="dxa" w:w="100"/>
              <w:left w:type="dxa" w:w="140"/>
              <w:bottom w:type="dxa" w:w="100"/>
              <w:right w:type="dxa" w:w="140"/>
            </w:tcMar>
          </w:tcPr>
          <w:p>
            <w:r>
              <w:rPr>
                <w:rFonts w:ascii="Arial" w:cs="Arial" w:eastAsia="Arial" w:hAnsi="Arial"/>
                <w:b/>
                <w:bCs/>
                <w:color w:val="FFFFFF"/>
                <w:sz w:val="19"/>
                <w:szCs w:val="19"/>
              </w:rPr>
              <w:t xml:space="preserve">Summary</w:t>
            </w:r>
          </w:p>
        </w:tc>
      </w:tr>
      <w:tr>
        <w:tc>
          <w:tcPr>
            <w:tcW w:type="dxa" w:w="9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1.0</w:t>
            </w:r>
          </w:p>
        </w:tc>
        <w:tc>
          <w:tcPr>
            <w:tcW w:type="dxa" w:w="9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May 2026</w:t>
            </w:r>
          </w:p>
        </w:tc>
        <w:tc>
          <w:tcPr>
            <w:tcW w:type="dxa" w:w="756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Initial specification.</w:t>
            </w:r>
          </w:p>
        </w:tc>
      </w:tr>
      <w:tr>
        <w:tc>
          <w:tcPr>
            <w:tcW w:type="dxa" w:w="9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2.0</w:t>
            </w:r>
          </w:p>
        </w:tc>
        <w:tc>
          <w:tcPr>
            <w:tcW w:type="dxa" w:w="9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May 2026</w:t>
            </w:r>
          </w:p>
        </w:tc>
        <w:tc>
          <w:tcPr>
            <w:tcW w:type="dxa" w:w="75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Fee calculator, digital proposal, payment, quantum security, Meridian Warm brand.</w:t>
            </w:r>
          </w:p>
        </w:tc>
      </w:tr>
      <w:tr>
        <w:tc>
          <w:tcPr>
            <w:tcW w:type="dxa" w:w="9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2.1</w:t>
            </w:r>
          </w:p>
        </w:tc>
        <w:tc>
          <w:tcPr>
            <w:tcW w:type="dxa" w:w="9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May 2026</w:t>
            </w:r>
          </w:p>
        </w:tc>
        <w:tc>
          <w:tcPr>
            <w:tcW w:type="dxa" w:w="756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Insurance Broker Portal.</w:t>
            </w:r>
          </w:p>
        </w:tc>
      </w:tr>
      <w:tr>
        <w:tc>
          <w:tcPr>
            <w:tcW w:type="dxa" w:w="9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2.2</w:t>
            </w:r>
          </w:p>
        </w:tc>
        <w:tc>
          <w:tcPr>
            <w:tcW w:type="dxa" w:w="9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May 2026</w:t>
            </w:r>
          </w:p>
        </w:tc>
        <w:tc>
          <w:tcPr>
            <w:tcW w:type="dxa" w:w="75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Terms and Conditions — 14 clauses, acceptance gate, version control, immediate termination for fraud/theft/company law breach.</w:t>
            </w:r>
          </w:p>
        </w:tc>
      </w:tr>
      <w:tr>
        <w:tc>
          <w:tcPr>
            <w:tcW w:type="dxa" w:w="9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2.3</w:t>
            </w:r>
          </w:p>
        </w:tc>
        <w:tc>
          <w:tcPr>
            <w:tcW w:type="dxa" w:w="90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May 2026</w:t>
            </w:r>
          </w:p>
        </w:tc>
        <w:tc>
          <w:tcPr>
            <w:tcW w:type="dxa" w:w="7560"/>
            <w:tcBorders>
              <w:top w:val="single" w:color="D0D5DD" w:sz="1"/>
              <w:left w:val="single" w:color="D0D5DD" w:sz="1"/>
              <w:bottom w:val="single" w:color="D0D5DD" w:sz="1"/>
              <w:right w:val="single" w:color="D0D5DD" w:sz="1"/>
            </w:tcBorders>
            <w:shd w:fill="F9F6F0" w:val="clear"/>
            <w:tcMar>
              <w:top w:type="dxa" w:w="80"/>
              <w:left w:type="dxa" w:w="140"/>
              <w:bottom w:type="dxa" w:w="80"/>
              <w:right w:type="dxa" w:w="140"/>
            </w:tcMar>
          </w:tcPr>
          <w:p>
            <w:r>
              <w:rPr>
                <w:rFonts w:ascii="Arial" w:cs="Arial" w:eastAsia="Arial" w:hAnsi="Arial"/>
                <w:color w:val="4A5568"/>
                <w:sz w:val="19"/>
                <w:szCs w:val="19"/>
              </w:rPr>
              <w:t xml:space="preserve">PV Module, Due Diligence, post-acquisition pipeline, 20-layer learning with governance and rollback, 12 platform improvements.</w:t>
            </w:r>
          </w:p>
        </w:tc>
      </w:tr>
      <w:tr>
        <w:tc>
          <w:tcPr>
            <w:tcW w:type="dxa" w:w="9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2.4</w:t>
            </w:r>
          </w:p>
        </w:tc>
        <w:tc>
          <w:tcPr>
            <w:tcW w:type="dxa" w:w="9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May 2026</w:t>
            </w:r>
          </w:p>
        </w:tc>
        <w:tc>
          <w:tcPr>
            <w:tcW w:type="dxa" w:w="75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DEFINITIVE VERSION. AI Integrity Principle (platform-wide, non-negotiable). Document AI Verification (platform-wide). Life and Personal Coach Panel (5 specialisations). Entrepreneur Module (complete). 15 platform improvements. 32-layer learning architecture.</w:t>
            </w:r>
          </w:p>
        </w:tc>
      </w:tr>
    </w:tbl>
    <w:p>
      <w:pPr>
        <w:spacing w:after="0" w:before="0"/>
      </w:pPr>
      <w:r>
        <w:t xml:space="preserve"/>
      </w:r>
    </w:p>
    <w:p>
      <w:pPr>
        <w:pBdr>
          <w:left w:val="single" w:color="B8860B" w:sz="14" w:space="8"/>
        </w:pBdr>
        <w:spacing w:after="100" w:before="100"/>
        <w:ind w:left="360"/>
      </w:pPr>
      <w:r>
        <w:rPr>
          <w:rFonts w:ascii="Arial" w:cs="Arial" w:eastAsia="Arial" w:hAnsi="Arial"/>
          <w:b w:val="false"/>
          <w:bCs w:val="false"/>
          <w:i/>
          <w:iCs/>
          <w:color w:val="8B6C42"/>
          <w:sz w:val="20"/>
          <w:szCs w:val="20"/>
        </w:rPr>
        <w:t xml:space="preserve">Version 2.4 is the definitive and complete specification. All previous versions superseded. Confidential — Future Shift Advisory internal use and authorised third parties only. T&amp;C document must be reviewed by a qualified NZ commercial lawyer before platform go-live.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6" w:space="6"/>
      </w:pBdr>
      <w:spacing w:after="0" w:before="120"/>
    </w:pPr>
    <w:r>
      <w:rPr>
        <w:rFonts w:ascii="Arial" w:cs="Arial" w:eastAsia="Arial" w:hAnsi="Arial"/>
        <w:color w:val="5A6A7A"/>
        <w:sz w:val="18"/>
        <w:szCs w:val="18"/>
      </w:rPr>
      <w:t xml:space="preserve">Future Shift Advisory  |  Hamilton, New Zealand  |  Version 2.4  |  Page </w:t>
    </w:r>
    <w:r>
      <w:rPr>
        <w:rFonts w:ascii="Arial" w:cs="Arial" w:eastAsia="Arial" w:hAnsi="Arial"/>
        <w:color w:val="5A6A7A"/>
        <w:sz w:val="18"/>
        <w:szCs w:val="18"/>
      </w:rPr>
      <w:fldChar w:fldCharType="begin"/>
      <w:instrText xml:space="preserve">PAGE</w:instrText>
      <w:fldChar w:fldCharType="separate"/>
      <w:fldChar w:fldCharType="end"/>
    </w:r>
    <w:r>
      <w:rPr>
        <w:rFonts w:ascii="Arial" w:cs="Arial" w:eastAsia="Arial" w:hAnsi="Arial"/>
        <w:color w:val="5A6A7A"/>
        <w:sz w:val="18"/>
        <w:szCs w:val="18"/>
      </w:rPr>
      <w:t xml:space="preserve"> of </w:t>
    </w:r>
    <w:r>
      <w:rPr>
        <w:rFonts w:ascii="Arial" w:cs="Arial" w:eastAsia="Arial" w:hAnsi="Arial"/>
        <w:color w:val="5A6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6"/>
      </w:pBdr>
      <w:spacing w:after="160" w:before="0"/>
    </w:pPr>
    <w:r>
      <w:rPr>
        <w:rFonts w:ascii="Arial" w:cs="Arial" w:eastAsia="Arial" w:hAnsi="Arial"/>
        <w:color w:val="8B6C42"/>
        <w:sz w:val="18"/>
        <w:szCs w:val="18"/>
      </w:rPr>
      <w:t xml:space="preserve">FUTURE SHIFT ADVISORY  |  App Specification v2.4 — Definitive Version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C2B45"/>
      <w:sz w:val="44"/>
      <w:szCs w:val="44"/>
    </w:rPr>
  </w:style>
  <w:style w:type="paragraph" w:styleId="Heading2">
    <w:name w:val="Heading 2"/>
    <w:basedOn w:val="Normal"/>
    <w:next w:val="Normal"/>
    <w:qFormat/>
    <w:pPr>
      <w:spacing w:after="160" w:before="360"/>
      <w:outlineLvl w:val="1"/>
    </w:pPr>
    <w:rPr>
      <w:rFonts w:ascii="Arial" w:cs="Arial" w:eastAsia="Arial" w:hAnsi="Arial"/>
      <w:b/>
      <w:bCs/>
      <w:color w:val="0D7A7A"/>
      <w:sz w:val="34"/>
      <w:szCs w:val="34"/>
    </w:rPr>
  </w:style>
  <w:style w:type="paragraph" w:styleId="Heading3">
    <w:name w:val="Heading 3"/>
    <w:basedOn w:val="Normal"/>
    <w:next w:val="Normal"/>
    <w:qFormat/>
    <w:pPr>
      <w:spacing w:after="120" w:before="260"/>
      <w:outlineLvl w:val="2"/>
    </w:pPr>
    <w:rPr>
      <w:rFonts w:ascii="Arial" w:cs="Arial" w:eastAsia="Arial" w:hAnsi="Arial"/>
      <w:b/>
      <w:bCs/>
      <w:color w:val="1C2B4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2026-05-15T04:41:24.931Z</dcterms:created>
  <dcterms:modified xsi:type="dcterms:W3CDTF">2026-05-15T04:41:24.948Z</dcterms:modified>
</cp:coreProperties>
</file>

<file path=docProps/custom.xml><?xml version="1.0" encoding="utf-8"?>
<Properties xmlns="http://schemas.openxmlformats.org/officeDocument/2006/custom-properties" xmlns:vt="http://schemas.openxmlformats.org/officeDocument/2006/docPropsVTypes"/>
</file>