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F490F">
      <w:pPr>
        <w:spacing w:before="1600" w:after="200"/>
        <w:jc w:val="center"/>
        <w:rPr>
          <w:rFonts w:asciiTheme="minorAscii" w:hAnsiTheme="minorAscii"/>
        </w:rPr>
      </w:pPr>
      <w:bookmarkStart w:id="0" w:name="_GoBack"/>
      <w:bookmarkEnd w:id="0"/>
      <w:r>
        <w:rPr>
          <w:rFonts w:asciiTheme="minorAscii" w:hAnsiTheme="minorAscii"/>
          <w:b/>
          <w:bCs/>
          <w:color w:val="1F3864"/>
          <w:sz w:val="40"/>
          <w:szCs w:val="40"/>
        </w:rPr>
        <w:t>Business Analyst Intern Technical Assessment</w:t>
      </w:r>
    </w:p>
    <w:p w14:paraId="6EFEB6C7">
      <w:pPr>
        <w:spacing w:after="100"/>
        <w:jc w:val="center"/>
        <w:rPr>
          <w:rFonts w:asciiTheme="minorAscii" w:hAnsiTheme="minorAscii"/>
        </w:rPr>
      </w:pPr>
      <w:r>
        <w:rPr>
          <w:rFonts w:asciiTheme="minorAscii" w:hAnsiTheme="minorAscii"/>
          <w:color w:val="2E75B6"/>
          <w:sz w:val="28"/>
          <w:szCs w:val="28"/>
        </w:rPr>
        <w:t>Question Set: A — Answers Document</w:t>
      </w:r>
    </w:p>
    <w:p w14:paraId="38679BBB">
      <w:pPr>
        <w:spacing w:after="600"/>
        <w:jc w:val="center"/>
        <w:rPr>
          <w:rFonts w:asciiTheme="minorAscii" w:hAnsiTheme="minorAscii"/>
        </w:rPr>
      </w:pPr>
      <w:r>
        <w:rPr>
          <w:rFonts w:asciiTheme="minorAscii" w:hAnsiTheme="minorAscii"/>
          <w:i/>
          <w:iCs/>
          <w:sz w:val="24"/>
          <w:szCs w:val="24"/>
        </w:rPr>
        <w:t>Submitted by: Happy Kumar</w:t>
      </w:r>
    </w:p>
    <w:p w14:paraId="50E830C4">
      <w:pPr>
        <w:jc w:val="center"/>
        <w:rPr>
          <w:rFonts w:asciiTheme="minorAscii" w:hAnsiTheme="minorAscii"/>
        </w:rPr>
      </w:pPr>
      <w:r>
        <w:rPr>
          <w:rFonts w:asciiTheme="minorAscii" w:hAnsiTheme="minorAscii"/>
          <w:i/>
          <w:iCs/>
          <w:color w:val="555555"/>
          <w:sz w:val="20"/>
          <w:szCs w:val="20"/>
        </w:rPr>
        <w:t>Sections 1–3 covered in this document. Section 4 (Mini-Project) is delivered separately in the project/ folder.</w:t>
      </w:r>
    </w:p>
    <w:p w14:paraId="799F4EB8">
      <w:pPr>
        <w:rPr>
          <w:rFonts w:asciiTheme="minorAscii" w:hAnsiTheme="minorAscii"/>
        </w:rPr>
      </w:pPr>
      <w:r>
        <w:rPr>
          <w:rFonts w:asciiTheme="minorAscii" w:hAnsiTheme="minorAscii"/>
        </w:rPr>
        <w:br w:type="page"/>
      </w:r>
    </w:p>
    <w:p w14:paraId="52F1C4F9">
      <w:pPr>
        <w:pStyle w:val="2"/>
        <w:rPr>
          <w:rFonts w:asciiTheme="minorAscii" w:hAnsiTheme="minorAscii"/>
        </w:rPr>
      </w:pPr>
      <w:r>
        <w:rPr>
          <w:rFonts w:asciiTheme="minorAscii" w:hAnsiTheme="minorAscii"/>
        </w:rPr>
        <w:t>Section 1 — Data Quality Checks</w:t>
      </w:r>
    </w:p>
    <w:p w14:paraId="4C68AEB4">
      <w:pPr>
        <w:spacing w:before="120" w:after="60"/>
        <w:jc w:val="both"/>
        <w:rPr>
          <w:rFonts w:asciiTheme="minorAscii" w:hAnsiTheme="minorAscii"/>
        </w:rPr>
      </w:pPr>
      <w:r>
        <w:rPr>
          <w:rFonts w:asciiTheme="minorAscii" w:hAnsiTheme="minorAscii"/>
          <w:b/>
          <w:bCs/>
          <w:color w:val="1F3864"/>
          <w:sz w:val="22"/>
          <w:szCs w:val="22"/>
        </w:rPr>
        <w:t>Footnote 7 — Loyalty Tier 'None' Parsing Trap:</w:t>
      </w:r>
    </w:p>
    <w:p w14:paraId="48D90EE8">
      <w:pPr>
        <w:spacing w:after="160"/>
        <w:jc w:val="both"/>
        <w:rPr>
          <w:rFonts w:asciiTheme="minorAscii" w:hAnsiTheme="minorAscii"/>
        </w:rPr>
      </w:pPr>
      <w:r>
        <w:rPr>
          <w:rFonts w:asciiTheme="minorAscii" w:hAnsiTheme="minorAscii"/>
          <w:b w:val="0"/>
          <w:bCs w:val="0"/>
          <w:i w:val="0"/>
          <w:iCs w:val="0"/>
          <w:sz w:val="22"/>
          <w:szCs w:val="22"/>
        </w:rPr>
        <w:t>The CSV was loaded with keep_default_na=False and na_values=[''], which is required to correctly preserve the literal string 'None' in customer_loyalty_tier as a valid tier value rather than a missing value. Verified: with the default pandas reader, 5,571 rows (46.4%) of customer_loyalty_tier silently become NaN; with the corrected reader, those same rows correctly show as the string 'None'. This fix was applied before all checks below.</w:t>
      </w:r>
    </w:p>
    <w:p w14:paraId="0E20BAAB">
      <w:pPr>
        <w:pStyle w:val="3"/>
        <w:jc w:val="both"/>
        <w:rPr>
          <w:rFonts w:asciiTheme="minorAscii" w:hAnsiTheme="minorAscii"/>
        </w:rPr>
      </w:pPr>
      <w:r>
        <w:rPr>
          <w:rFonts w:asciiTheme="minorAscii" w:hAnsiTheme="minorAscii"/>
        </w:rPr>
        <w:t>A1. Invalid Stays</w:t>
      </w:r>
    </w:p>
    <w:p w14:paraId="4C09C22B">
      <w:pPr>
        <w:spacing w:after="160"/>
        <w:jc w:val="both"/>
        <w:rPr>
          <w:rFonts w:asciiTheme="minorAscii" w:hAnsiTheme="minorAscii"/>
        </w:rPr>
      </w:pPr>
      <w:r>
        <w:rPr>
          <w:rFonts w:asciiTheme="minorAscii" w:hAnsiTheme="minorAscii"/>
          <w:b w:val="0"/>
          <w:bCs w:val="0"/>
          <w:i w:val="0"/>
          <w:iCs w:val="0"/>
          <w:sz w:val="22"/>
          <w:szCs w:val="22"/>
        </w:rPr>
        <w:t>Question: How many bookings have invalid stays (checkout date ≤ check-in date)?</w:t>
      </w:r>
    </w:p>
    <w:p w14:paraId="0AB261C7">
      <w:pPr>
        <w:spacing w:before="120" w:after="60"/>
        <w:jc w:val="both"/>
        <w:rPr>
          <w:rFonts w:asciiTheme="minorAscii" w:hAnsiTheme="minorAscii"/>
        </w:rPr>
      </w:pPr>
      <w:r>
        <w:rPr>
          <w:rFonts w:asciiTheme="minorAscii" w:hAnsiTheme="minorAscii"/>
          <w:b/>
          <w:bCs/>
          <w:color w:val="1F3864"/>
          <w:sz w:val="22"/>
          <w:szCs w:val="22"/>
        </w:rPr>
        <w:t>Answer: 120 invalid stays</w:t>
      </w:r>
    </w:p>
    <w:p w14:paraId="220B157E">
      <w:pPr>
        <w:spacing w:after="160"/>
        <w:jc w:val="both"/>
        <w:rPr>
          <w:rFonts w:asciiTheme="minorAscii" w:hAnsiTheme="minorAscii"/>
        </w:rPr>
      </w:pPr>
      <w:r>
        <w:rPr>
          <w:rFonts w:asciiTheme="minorAscii" w:hAnsiTheme="minorAscii"/>
          <w:b w:val="0"/>
          <w:bCs w:val="0"/>
          <w:i w:val="0"/>
          <w:iCs w:val="0"/>
          <w:sz w:val="22"/>
          <w:szCs w:val="22"/>
        </w:rPr>
        <w:t>Computed by filtering rows where checkout_date &lt;= checkin_date (Footnote 1). This represents 1.0% of the 12,000-row dataset — consistent with an injected data-error rate, not a systemic issue.</w:t>
      </w:r>
    </w:p>
    <w:p w14:paraId="1930829E">
      <w:pPr>
        <w:pStyle w:val="3"/>
        <w:jc w:val="both"/>
        <w:rPr>
          <w:rFonts w:asciiTheme="minorAscii" w:hAnsiTheme="minorAscii"/>
        </w:rPr>
      </w:pPr>
      <w:r>
        <w:rPr>
          <w:rFonts w:asciiTheme="minorAscii" w:hAnsiTheme="minorAscii"/>
        </w:rPr>
        <w:t>A2. Review Rating by Segment</w:t>
      </w:r>
    </w:p>
    <w:p w14:paraId="12B43102">
      <w:pPr>
        <w:spacing w:after="160"/>
        <w:jc w:val="both"/>
        <w:rPr>
          <w:rFonts w:asciiTheme="minorAscii" w:hAnsiTheme="minorAscii"/>
        </w:rPr>
      </w:pPr>
      <w:r>
        <w:rPr>
          <w:rFonts w:asciiTheme="minorAscii" w:hAnsiTheme="minorAscii"/>
          <w:b w:val="0"/>
          <w:bCs w:val="0"/>
          <w:i w:val="0"/>
          <w:iCs w:val="0"/>
          <w:sz w:val="22"/>
          <w:szCs w:val="22"/>
        </w:rPr>
        <w:t>Question: Compute review rating range and mean separately for each customer segment. What does this reveal?</w:t>
      </w:r>
    </w:p>
    <w:p w14:paraId="4A00D4BB">
      <w:pPr>
        <w:spacing w:after="160"/>
        <w:jc w:val="both"/>
        <w:rPr>
          <w:rFonts w:asciiTheme="minorAscii" w:hAnsiTheme="minorAscii"/>
        </w:rPr>
      </w:pPr>
      <w:r>
        <w:rPr>
          <w:rFonts w:asciiTheme="minorAscii" w:hAnsiTheme="minorAscii"/>
          <w:b w:val="0"/>
          <w:bCs w:val="0"/>
          <w:i w:val="0"/>
          <w:iCs w:val="0"/>
          <w:sz w:val="22"/>
          <w:szCs w:val="22"/>
        </w:rPr>
        <w:t>Footnote 6 requires normalization before any cross-segment comparison: Corporate reviews are recorded on a 1–10 scale, while Individual and Group use 1–5. Corporate ratings were divided by 2 to bring all segments onto a common 1–5 scale.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1400"/>
        <w:gridCol w:w="2400"/>
        <w:gridCol w:w="1760"/>
      </w:tblGrid>
      <w:tr w14:paraId="7DD9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72C8EC3">
            <w:pPr>
              <w:rPr>
                <w:rFonts w:asciiTheme="minorAscii" w:hAnsiTheme="minorAscii"/>
              </w:rPr>
            </w:pPr>
            <w:r>
              <w:rPr>
                <w:rFonts w:asciiTheme="minorAscii" w:hAnsiTheme="minorAscii"/>
                <w:b/>
                <w:bCs/>
                <w:color w:val="FFFFFF"/>
                <w:sz w:val="20"/>
                <w:szCs w:val="20"/>
              </w:rPr>
              <w:t>Segment</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AD69FC3">
            <w:pPr>
              <w:rPr>
                <w:rFonts w:asciiTheme="minorAscii" w:hAnsiTheme="minorAscii"/>
              </w:rPr>
            </w:pPr>
            <w:r>
              <w:rPr>
                <w:rFonts w:asciiTheme="minorAscii" w:hAnsiTheme="minorAscii"/>
                <w:b/>
                <w:bCs/>
                <w:color w:val="FFFFFF"/>
                <w:sz w:val="20"/>
                <w:szCs w:val="20"/>
              </w:rPr>
              <w:t>Min</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2344281">
            <w:pPr>
              <w:rPr>
                <w:rFonts w:asciiTheme="minorAscii" w:hAnsiTheme="minorAscii"/>
              </w:rPr>
            </w:pPr>
            <w:r>
              <w:rPr>
                <w:rFonts w:asciiTheme="minorAscii" w:hAnsiTheme="minorAscii"/>
                <w:b/>
                <w:bCs/>
                <w:color w:val="FFFFFF"/>
                <w:sz w:val="20"/>
                <w:szCs w:val="20"/>
              </w:rPr>
              <w:t>Max</w:t>
            </w:r>
          </w:p>
        </w:tc>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38C51B5">
            <w:pPr>
              <w:rPr>
                <w:rFonts w:asciiTheme="minorAscii" w:hAnsiTheme="minorAscii"/>
              </w:rPr>
            </w:pPr>
            <w:r>
              <w:rPr>
                <w:rFonts w:asciiTheme="minorAscii" w:hAnsiTheme="minorAscii"/>
                <w:b/>
                <w:bCs/>
                <w:color w:val="FFFFFF"/>
                <w:sz w:val="20"/>
                <w:szCs w:val="20"/>
              </w:rPr>
              <w:t>Mean (normalized)</w:t>
            </w:r>
          </w:p>
        </w:tc>
        <w:tc>
          <w:tcPr>
            <w:tcW w:w="1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AABFF24">
            <w:pPr>
              <w:rPr>
                <w:rFonts w:asciiTheme="minorAscii" w:hAnsiTheme="minorAscii"/>
              </w:rPr>
            </w:pPr>
            <w:r>
              <w:rPr>
                <w:rFonts w:asciiTheme="minorAscii" w:hAnsiTheme="minorAscii"/>
                <w:b/>
                <w:bCs/>
                <w:color w:val="FFFFFF"/>
                <w:sz w:val="20"/>
                <w:szCs w:val="20"/>
              </w:rPr>
              <w:t>Count</w:t>
            </w:r>
          </w:p>
        </w:tc>
      </w:tr>
      <w:tr w14:paraId="471E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E6C55B">
            <w:pPr>
              <w:rPr>
                <w:rFonts w:asciiTheme="minorAscii" w:hAnsiTheme="minorAscii"/>
              </w:rPr>
            </w:pPr>
            <w:r>
              <w:rPr>
                <w:rFonts w:asciiTheme="minorAscii" w:hAnsiTheme="minorAscii"/>
                <w:b w:val="0"/>
                <w:bCs w:val="0"/>
                <w:color w:val="000000"/>
                <w:sz w:val="20"/>
                <w:szCs w:val="20"/>
              </w:rPr>
              <w:t>Corporate</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B5E127">
            <w:pPr>
              <w:rPr>
                <w:rFonts w:asciiTheme="minorAscii" w:hAnsiTheme="minorAscii"/>
              </w:rPr>
            </w:pPr>
            <w:r>
              <w:rPr>
                <w:rFonts w:asciiTheme="minorAscii" w:hAnsiTheme="minorAscii"/>
                <w:b w:val="0"/>
                <w:bCs w:val="0"/>
                <w:color w:val="000000"/>
                <w:sz w:val="20"/>
                <w:szCs w:val="20"/>
              </w:rPr>
              <w:t>1.5</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1B02EA">
            <w:pPr>
              <w:rPr>
                <w:rFonts w:asciiTheme="minorAscii" w:hAnsiTheme="minorAscii"/>
              </w:rPr>
            </w:pPr>
            <w:r>
              <w:rPr>
                <w:rFonts w:asciiTheme="minorAscii" w:hAnsiTheme="minorAscii"/>
                <w:b w:val="0"/>
                <w:bCs w:val="0"/>
                <w:color w:val="000000"/>
                <w:sz w:val="20"/>
                <w:szCs w:val="20"/>
              </w:rPr>
              <w:t>5.0</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07704E">
            <w:pPr>
              <w:rPr>
                <w:rFonts w:asciiTheme="minorAscii" w:hAnsiTheme="minorAscii"/>
              </w:rPr>
            </w:pPr>
            <w:r>
              <w:rPr>
                <w:rFonts w:asciiTheme="minorAscii" w:hAnsiTheme="minorAscii"/>
                <w:b w:val="0"/>
                <w:bCs w:val="0"/>
                <w:color w:val="000000"/>
                <w:sz w:val="20"/>
                <w:szCs w:val="20"/>
              </w:rPr>
              <w:t>3.62</w:t>
            </w:r>
          </w:p>
        </w:tc>
        <w:tc>
          <w:tcPr>
            <w:tcW w:w="1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61D70B">
            <w:pPr>
              <w:rPr>
                <w:rFonts w:asciiTheme="minorAscii" w:hAnsiTheme="minorAscii"/>
              </w:rPr>
            </w:pPr>
            <w:r>
              <w:rPr>
                <w:rFonts w:asciiTheme="minorAscii" w:hAnsiTheme="minorAscii"/>
                <w:b w:val="0"/>
                <w:bCs w:val="0"/>
                <w:color w:val="000000"/>
                <w:sz w:val="20"/>
                <w:szCs w:val="20"/>
              </w:rPr>
              <w:t>1,287</w:t>
            </w:r>
          </w:p>
        </w:tc>
      </w:tr>
      <w:tr w14:paraId="712E3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33B007">
            <w:pPr>
              <w:rPr>
                <w:rFonts w:asciiTheme="minorAscii" w:hAnsiTheme="minorAscii"/>
              </w:rPr>
            </w:pPr>
            <w:r>
              <w:rPr>
                <w:rFonts w:asciiTheme="minorAscii" w:hAnsiTheme="minorAscii"/>
                <w:b w:val="0"/>
                <w:bCs w:val="0"/>
                <w:color w:val="000000"/>
                <w:sz w:val="20"/>
                <w:szCs w:val="20"/>
              </w:rPr>
              <w:t>Group</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98878B">
            <w:pPr>
              <w:rPr>
                <w:rFonts w:asciiTheme="minorAscii" w:hAnsiTheme="minorAscii"/>
              </w:rPr>
            </w:pPr>
            <w:r>
              <w:rPr>
                <w:rFonts w:asciiTheme="minorAscii" w:hAnsiTheme="minorAscii"/>
                <w:b w:val="0"/>
                <w:bCs w:val="0"/>
                <w:color w:val="000000"/>
                <w:sz w:val="20"/>
                <w:szCs w:val="20"/>
              </w:rPr>
              <w:t>1.0</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98D5FB">
            <w:pPr>
              <w:rPr>
                <w:rFonts w:asciiTheme="minorAscii" w:hAnsiTheme="minorAscii"/>
              </w:rPr>
            </w:pPr>
            <w:r>
              <w:rPr>
                <w:rFonts w:asciiTheme="minorAscii" w:hAnsiTheme="minorAscii"/>
                <w:b w:val="0"/>
                <w:bCs w:val="0"/>
                <w:color w:val="000000"/>
                <w:sz w:val="20"/>
                <w:szCs w:val="20"/>
              </w:rPr>
              <w:t>5.0</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0204D1">
            <w:pPr>
              <w:rPr>
                <w:rFonts w:asciiTheme="minorAscii" w:hAnsiTheme="minorAscii"/>
              </w:rPr>
            </w:pPr>
            <w:r>
              <w:rPr>
                <w:rFonts w:asciiTheme="minorAscii" w:hAnsiTheme="minorAscii"/>
                <w:b w:val="0"/>
                <w:bCs w:val="0"/>
                <w:color w:val="000000"/>
                <w:sz w:val="20"/>
                <w:szCs w:val="20"/>
              </w:rPr>
              <w:t>3.77</w:t>
            </w:r>
          </w:p>
        </w:tc>
        <w:tc>
          <w:tcPr>
            <w:tcW w:w="1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81AE33">
            <w:pPr>
              <w:rPr>
                <w:rFonts w:asciiTheme="minorAscii" w:hAnsiTheme="minorAscii"/>
              </w:rPr>
            </w:pPr>
            <w:r>
              <w:rPr>
                <w:rFonts w:asciiTheme="minorAscii" w:hAnsiTheme="minorAscii"/>
                <w:b w:val="0"/>
                <w:bCs w:val="0"/>
                <w:color w:val="000000"/>
                <w:sz w:val="20"/>
                <w:szCs w:val="20"/>
              </w:rPr>
              <w:t>590</w:t>
            </w:r>
          </w:p>
        </w:tc>
      </w:tr>
      <w:tr w14:paraId="78875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F1D3FB">
            <w:pPr>
              <w:rPr>
                <w:rFonts w:asciiTheme="minorAscii" w:hAnsiTheme="minorAscii"/>
              </w:rPr>
            </w:pPr>
            <w:r>
              <w:rPr>
                <w:rFonts w:asciiTheme="minorAscii" w:hAnsiTheme="minorAscii"/>
                <w:b w:val="0"/>
                <w:bCs w:val="0"/>
                <w:color w:val="000000"/>
                <w:sz w:val="20"/>
                <w:szCs w:val="20"/>
              </w:rPr>
              <w:t>Individual</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D33083">
            <w:pPr>
              <w:rPr>
                <w:rFonts w:asciiTheme="minorAscii" w:hAnsiTheme="minorAscii"/>
              </w:rPr>
            </w:pPr>
            <w:r>
              <w:rPr>
                <w:rFonts w:asciiTheme="minorAscii" w:hAnsiTheme="minorAscii"/>
                <w:b w:val="0"/>
                <w:bCs w:val="0"/>
                <w:color w:val="000000"/>
                <w:sz w:val="20"/>
                <w:szCs w:val="20"/>
              </w:rPr>
              <w:t>1.0</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84D9D3">
            <w:pPr>
              <w:rPr>
                <w:rFonts w:asciiTheme="minorAscii" w:hAnsiTheme="minorAscii"/>
              </w:rPr>
            </w:pPr>
            <w:r>
              <w:rPr>
                <w:rFonts w:asciiTheme="minorAscii" w:hAnsiTheme="minorAscii"/>
                <w:b w:val="0"/>
                <w:bCs w:val="0"/>
                <w:color w:val="000000"/>
                <w:sz w:val="20"/>
                <w:szCs w:val="20"/>
              </w:rPr>
              <w:t>5.0</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98EE73">
            <w:pPr>
              <w:rPr>
                <w:rFonts w:asciiTheme="minorAscii" w:hAnsiTheme="minorAscii"/>
              </w:rPr>
            </w:pPr>
            <w:r>
              <w:rPr>
                <w:rFonts w:asciiTheme="minorAscii" w:hAnsiTheme="minorAscii"/>
                <w:b w:val="0"/>
                <w:bCs w:val="0"/>
                <w:color w:val="000000"/>
                <w:sz w:val="20"/>
                <w:szCs w:val="20"/>
              </w:rPr>
              <w:t>3.77</w:t>
            </w:r>
          </w:p>
        </w:tc>
        <w:tc>
          <w:tcPr>
            <w:tcW w:w="1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2591C0">
            <w:pPr>
              <w:rPr>
                <w:rFonts w:asciiTheme="minorAscii" w:hAnsiTheme="minorAscii"/>
              </w:rPr>
            </w:pPr>
            <w:r>
              <w:rPr>
                <w:rFonts w:asciiTheme="minorAscii" w:hAnsiTheme="minorAscii"/>
                <w:b w:val="0"/>
                <w:bCs w:val="0"/>
                <w:color w:val="000000"/>
                <w:sz w:val="20"/>
                <w:szCs w:val="20"/>
              </w:rPr>
              <w:t>3,269</w:t>
            </w:r>
          </w:p>
        </w:tc>
      </w:tr>
    </w:tbl>
    <w:p w14:paraId="6845E3A1">
      <w:pPr>
        <w:spacing w:before="120" w:after="60"/>
        <w:jc w:val="both"/>
        <w:rPr>
          <w:rFonts w:asciiTheme="minorAscii" w:hAnsiTheme="minorAscii"/>
        </w:rPr>
      </w:pPr>
      <w:r>
        <w:rPr>
          <w:rFonts w:asciiTheme="minorAscii" w:hAnsiTheme="minorAscii"/>
          <w:b/>
          <w:bCs/>
          <w:color w:val="1F3864"/>
          <w:sz w:val="22"/>
          <w:szCs w:val="22"/>
        </w:rPr>
        <w:t>1-line implication:</w:t>
      </w:r>
    </w:p>
    <w:p w14:paraId="64BDB44E">
      <w:pPr>
        <w:spacing w:after="160"/>
        <w:jc w:val="both"/>
        <w:rPr>
          <w:rFonts w:asciiTheme="minorAscii" w:hAnsiTheme="minorAscii"/>
        </w:rPr>
      </w:pPr>
      <w:r>
        <w:rPr>
          <w:rFonts w:asciiTheme="minorAscii" w:hAnsiTheme="minorAscii"/>
          <w:b w:val="0"/>
          <w:bCs w:val="0"/>
          <w:i w:val="0"/>
          <w:iCs w:val="0"/>
          <w:sz w:val="22"/>
          <w:szCs w:val="22"/>
        </w:rPr>
        <w:t>After normalizing Corporate ratings to the 1–5 scale, mean satisfaction is nearly identical across all three segments (~3.6–3.8); without normalization, Corporate's raw mean would appear roughly double the others purely due to scale, falsely implying a segment-driven rating gap that does not actually exist.</w:t>
      </w:r>
    </w:p>
    <w:p w14:paraId="6707E90D">
      <w:pPr>
        <w:pStyle w:val="3"/>
        <w:jc w:val="both"/>
        <w:rPr>
          <w:rFonts w:asciiTheme="minorAscii" w:hAnsiTheme="minorAscii"/>
        </w:rPr>
      </w:pPr>
      <w:r>
        <w:rPr>
          <w:rFonts w:asciiTheme="minorAscii" w:hAnsiTheme="minorAscii"/>
        </w:rPr>
        <w:t>A3. Realized Revenue — Luxury Properties</w:t>
      </w:r>
    </w:p>
    <w:p w14:paraId="7DE50C6A">
      <w:pPr>
        <w:spacing w:after="160"/>
        <w:jc w:val="both"/>
        <w:rPr>
          <w:rFonts w:asciiTheme="minorAscii" w:hAnsiTheme="minorAscii"/>
        </w:rPr>
      </w:pPr>
      <w:r>
        <w:rPr>
          <w:rFonts w:asciiTheme="minorAscii" w:hAnsiTheme="minorAscii"/>
          <w:b w:val="0"/>
          <w:bCs w:val="0"/>
          <w:i w:val="0"/>
          <w:iCs w:val="0"/>
          <w:sz w:val="22"/>
          <w:szCs w:val="22"/>
        </w:rPr>
        <w:t>Question: After applying the relevant data-quality footnotes, what is realized revenue for property type = Luxury?</w:t>
      </w:r>
    </w:p>
    <w:p w14:paraId="3CB1272E">
      <w:pPr>
        <w:spacing w:after="160"/>
        <w:jc w:val="both"/>
        <w:rPr>
          <w:rFonts w:asciiTheme="minorAscii" w:hAnsiTheme="minorAscii"/>
        </w:rPr>
      </w:pPr>
      <w:r>
        <w:rPr>
          <w:rFonts w:asciiTheme="minorAscii" w:hAnsiTheme="minorAscii"/>
          <w:b w:val="0"/>
          <w:bCs w:val="0"/>
          <w:i w:val="0"/>
          <w:iCs w:val="0"/>
          <w:sz w:val="22"/>
          <w:szCs w:val="22"/>
        </w:rPr>
        <w:t>Three footnotes applied before aggregating: excluded invalid stays (Footnote 1: checkout ≤ check-in), excluded zero-room bookings (Footnote 3: num_rooms = 0, which always carry total_amount = 0 and are erroneous), and kept only booking_status = 'Completed' (Footnote 8: Cancelled/No-Show rows carry a would-have-been-charged amount, not realized revenue).</w:t>
      </w:r>
    </w:p>
    <w:p w14:paraId="4A946F7E">
      <w:pPr>
        <w:spacing w:before="120" w:after="60"/>
        <w:jc w:val="both"/>
        <w:rPr>
          <w:rFonts w:asciiTheme="minorAscii" w:hAnsiTheme="minorAscii"/>
        </w:rPr>
      </w:pPr>
      <w:r>
        <w:rPr>
          <w:rFonts w:asciiTheme="minorAscii" w:hAnsiTheme="minorAscii"/>
          <w:b/>
          <w:bCs/>
          <w:color w:val="1F3864"/>
          <w:sz w:val="22"/>
          <w:szCs w:val="22"/>
        </w:rPr>
        <w:t>Answer: ₹90,694,052.93</w:t>
      </w:r>
    </w:p>
    <w:p w14:paraId="3902ED5A">
      <w:pPr>
        <w:spacing w:after="160"/>
        <w:jc w:val="both"/>
        <w:rPr>
          <w:rFonts w:asciiTheme="minorAscii" w:hAnsiTheme="minorAscii"/>
        </w:rPr>
      </w:pPr>
      <w:r>
        <w:rPr>
          <w:rFonts w:asciiTheme="minorAscii" w:hAnsiTheme="minorAscii"/>
          <w:b w:val="0"/>
          <w:bCs w:val="0"/>
          <w:i w:val="0"/>
          <w:iCs w:val="0"/>
          <w:sz w:val="22"/>
          <w:szCs w:val="22"/>
        </w:rPr>
        <w:t>Validation: summing total_amount across all Luxury rows regardless of status (no filters applied) gives ₹117,431,484.47 — a 29.5% overstatement, closely matching Footnote 8's predicted ~30% overstatement. This confirms the filtering logic correctly isolates realized revenue.</w:t>
      </w:r>
    </w:p>
    <w:p w14:paraId="6368A40A">
      <w:pPr>
        <w:pStyle w:val="3"/>
        <w:jc w:val="both"/>
        <w:rPr>
          <w:rFonts w:asciiTheme="minorAscii" w:hAnsiTheme="minorAscii"/>
        </w:rPr>
      </w:pPr>
      <w:r>
        <w:rPr>
          <w:rFonts w:asciiTheme="minorAscii" w:hAnsiTheme="minorAscii"/>
        </w:rPr>
        <w:t>Additional Footnote Verification (FN2, FN5)</w:t>
      </w:r>
    </w:p>
    <w:p w14:paraId="63868F52">
      <w:pPr>
        <w:spacing w:after="160"/>
        <w:jc w:val="both"/>
        <w:rPr>
          <w:rFonts w:asciiTheme="minorAscii" w:hAnsiTheme="minorAscii"/>
        </w:rPr>
      </w:pPr>
      <w:r>
        <w:rPr>
          <w:rFonts w:asciiTheme="minorAscii" w:hAnsiTheme="minorAscii"/>
          <w:b w:val="0"/>
          <w:bCs w:val="0"/>
          <w:i w:val="0"/>
          <w:iCs w:val="0"/>
          <w:sz w:val="22"/>
          <w:szCs w:val="22"/>
        </w:rPr>
        <w:t>Two footnotes are not directly tied to a specific Section 1 question but were checked for completeness, since the brief warns these are real data quirks that will sink surface-level analysis.</w:t>
      </w:r>
    </w:p>
    <w:p w14:paraId="0D5B84CE">
      <w:pPr>
        <w:spacing w:before="120" w:after="60"/>
        <w:jc w:val="both"/>
        <w:rPr>
          <w:rFonts w:asciiTheme="minorAscii" w:hAnsiTheme="minorAscii"/>
        </w:rPr>
      </w:pPr>
      <w:r>
        <w:rPr>
          <w:rFonts w:asciiTheme="minorAscii" w:hAnsiTheme="minorAscii"/>
          <w:b/>
          <w:bCs/>
          <w:color w:val="1F3864"/>
          <w:sz w:val="22"/>
          <w:szCs w:val="22"/>
        </w:rPr>
        <w:t>Footnote 5 — Reviews on Cancelled bookings:</w:t>
      </w:r>
    </w:p>
    <w:p w14:paraId="6FB4EF0E">
      <w:pPr>
        <w:spacing w:after="160"/>
        <w:jc w:val="both"/>
        <w:rPr>
          <w:rFonts w:asciiTheme="minorAscii" w:hAnsiTheme="minorAscii"/>
        </w:rPr>
      </w:pPr>
      <w:r>
        <w:rPr>
          <w:rFonts w:asciiTheme="minorAscii" w:hAnsiTheme="minorAscii"/>
          <w:b w:val="0"/>
          <w:bCs w:val="0"/>
          <w:i w:val="0"/>
          <w:iCs w:val="0"/>
          <w:sz w:val="22"/>
          <w:szCs w:val="22"/>
        </w:rPr>
        <w:t>50 rows have booking_status = 'Cancelled' but carry a non-null review_rating, which is logically impossible. These rows were not excluded from the A2 segment-level rating calculation, since Footnote 6 (scale normalization) is the only adjustment that question explicitly calls for. Flagged here for visibility — a stricter analysis should exclude these 50 rows before computing review averages.</w:t>
      </w:r>
    </w:p>
    <w:p w14:paraId="33657159">
      <w:pPr>
        <w:spacing w:before="120" w:after="60"/>
        <w:jc w:val="both"/>
        <w:rPr>
          <w:rFonts w:asciiTheme="minorAscii" w:hAnsiTheme="minorAscii"/>
        </w:rPr>
      </w:pPr>
      <w:r>
        <w:rPr>
          <w:rFonts w:asciiTheme="minorAscii" w:hAnsiTheme="minorAscii"/>
          <w:b/>
          <w:bCs/>
          <w:color w:val="1F3864"/>
          <w:sz w:val="22"/>
          <w:szCs w:val="22"/>
        </w:rPr>
        <w:t>Footnote 2 — Booking before signup:</w:t>
      </w:r>
    </w:p>
    <w:p w14:paraId="3A79AC1A">
      <w:pPr>
        <w:spacing w:after="160"/>
        <w:jc w:val="both"/>
        <w:rPr>
          <w:rFonts w:asciiTheme="minorAscii" w:hAnsiTheme="minorAscii"/>
        </w:rPr>
      </w:pPr>
      <w:r>
        <w:rPr>
          <w:rFonts w:asciiTheme="minorAscii" w:hAnsiTheme="minorAscii"/>
          <w:b w:val="0"/>
          <w:bCs w:val="0"/>
          <w:i w:val="0"/>
          <w:iCs w:val="0"/>
          <w:sz w:val="22"/>
          <w:szCs w:val="22"/>
        </w:rPr>
        <w:t>163 rows have booking_date earlier than customer_signup_date — a temporal-integrity issue. Checked for overlap with other flagged cohorts: only 3 of these 163 are also invalid stays (FN1), and 125 are Completed bookings, meaning they are not automatically excluded from A3's realized revenue figure. This is a known limitation of the ₹90,694,052.93 figure — a small number of bookings with this temporal anomaly may be included.</w:t>
      </w:r>
    </w:p>
    <w:p w14:paraId="1D774829">
      <w:pPr>
        <w:rPr>
          <w:rFonts w:asciiTheme="minorAscii" w:hAnsiTheme="minorAscii"/>
        </w:rPr>
      </w:pPr>
      <w:r>
        <w:rPr>
          <w:rFonts w:asciiTheme="minorAscii" w:hAnsiTheme="minorAscii"/>
        </w:rPr>
        <w:br w:type="page"/>
      </w:r>
    </w:p>
    <w:p w14:paraId="6B7F3DB5">
      <w:pPr>
        <w:pStyle w:val="2"/>
        <w:rPr>
          <w:rFonts w:asciiTheme="minorAscii" w:hAnsiTheme="minorAscii"/>
        </w:rPr>
      </w:pPr>
      <w:r>
        <w:rPr>
          <w:rFonts w:asciiTheme="minorAscii" w:hAnsiTheme="minorAscii"/>
        </w:rPr>
        <w:t>Section 2 — Case Study: The Cancellation Crisis</w:t>
      </w:r>
    </w:p>
    <w:p w14:paraId="0EADE1FC">
      <w:pPr>
        <w:spacing w:after="160"/>
        <w:jc w:val="both"/>
        <w:rPr>
          <w:rFonts w:asciiTheme="minorAscii" w:hAnsiTheme="minorAscii"/>
        </w:rPr>
      </w:pPr>
      <w:r>
        <w:rPr>
          <w:rFonts w:asciiTheme="minorAscii" w:hAnsiTheme="minorAscii"/>
          <w:b w:val="0"/>
          <w:bCs w:val="0"/>
          <w:i w:val="0"/>
          <w:iCs w:val="0"/>
          <w:sz w:val="22"/>
          <w:szCs w:val="22"/>
        </w:rPr>
        <w:t>Briefing: platform-wide cancellation rate is ~19% (verified: 19.15% on the cleaned dataset of 11,821 bookings, after excluding invalid stays and zero-room rows). Board target: reduce by 5 percentage points to ~14% within two quarters.</w:t>
      </w:r>
    </w:p>
    <w:p w14:paraId="0F1CD0BE">
      <w:pPr>
        <w:pStyle w:val="3"/>
        <w:jc w:val="both"/>
        <w:rPr>
          <w:rFonts w:asciiTheme="minorAscii" w:hAnsiTheme="minorAscii"/>
        </w:rPr>
      </w:pPr>
      <w:r>
        <w:rPr>
          <w:rFonts w:asciiTheme="minorAscii" w:hAnsiTheme="minorAscii"/>
        </w:rPr>
        <w:t>A1. Cancellation Landscape</w:t>
      </w:r>
    </w:p>
    <w:p w14:paraId="76A693E0">
      <w:pPr>
        <w:spacing w:after="160"/>
        <w:jc w:val="both"/>
        <w:rPr>
          <w:rFonts w:asciiTheme="minorAscii" w:hAnsiTheme="minorAscii"/>
        </w:rPr>
      </w:pPr>
      <w:r>
        <w:rPr>
          <w:rFonts w:asciiTheme="minorAscii" w:hAnsiTheme="minorAscii"/>
          <w:b w:val="0"/>
          <w:bCs w:val="0"/>
          <w:i w:val="0"/>
          <w:iCs w:val="0"/>
          <w:sz w:val="22"/>
          <w:szCs w:val="22"/>
        </w:rPr>
        <w:t>Cancellation rate was broken down by booking_channel x lead_time_bucket (lead time = days between booking_date and checkin_date, bucketed into 0-7, 8-30, 31-60, 60+ days).</w:t>
      </w:r>
    </w:p>
    <w:p w14:paraId="762BC6E4">
      <w:pPr>
        <w:spacing w:before="120" w:after="120"/>
        <w:jc w:val="center"/>
        <w:rPr>
          <w:rFonts w:asciiTheme="minorAscii" w:hAnsiTheme="minorAscii"/>
        </w:rPr>
      </w:pPr>
      <w:r>
        <w:rPr>
          <w:rFonts w:asciiTheme="minorAscii" w:hAnsiTheme="minorAscii"/>
        </w:rPr>
        <w:drawing>
          <wp:inline distT="0" distB="0" distL="0" distR="0">
            <wp:extent cx="371475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714750" cy="2228850"/>
                    </a:xfrm>
                    <a:prstGeom prst="rect">
                      <a:avLst/>
                    </a:prstGeom>
                  </pic:spPr>
                </pic:pic>
              </a:graphicData>
            </a:graphic>
          </wp:inline>
        </w:draw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60"/>
        <w:gridCol w:w="1600"/>
        <w:gridCol w:w="1600"/>
        <w:gridCol w:w="1600"/>
        <w:gridCol w:w="1600"/>
      </w:tblGrid>
      <w:tr w14:paraId="6E441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9E16319">
            <w:pPr>
              <w:rPr>
                <w:rFonts w:asciiTheme="minorAscii" w:hAnsiTheme="minorAscii"/>
              </w:rPr>
            </w:pPr>
            <w:r>
              <w:rPr>
                <w:rFonts w:asciiTheme="minorAscii" w:hAnsiTheme="minorAscii"/>
                <w:b/>
                <w:bCs/>
                <w:color w:val="FFFFFF"/>
                <w:sz w:val="20"/>
                <w:szCs w:val="20"/>
              </w:rPr>
              <w:t>Channel</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4701A5B">
            <w:pPr>
              <w:rPr>
                <w:rFonts w:asciiTheme="minorAscii" w:hAnsiTheme="minorAscii"/>
              </w:rPr>
            </w:pPr>
            <w:r>
              <w:rPr>
                <w:rFonts w:asciiTheme="minorAscii" w:hAnsiTheme="minorAscii"/>
                <w:b/>
                <w:bCs/>
                <w:color w:val="FFFFFF"/>
                <w:sz w:val="20"/>
                <w:szCs w:val="20"/>
              </w:rPr>
              <w:t>0-7</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5E2D121">
            <w:pPr>
              <w:rPr>
                <w:rFonts w:asciiTheme="minorAscii" w:hAnsiTheme="minorAscii"/>
              </w:rPr>
            </w:pPr>
            <w:r>
              <w:rPr>
                <w:rFonts w:asciiTheme="minorAscii" w:hAnsiTheme="minorAscii"/>
                <w:b/>
                <w:bCs/>
                <w:color w:val="FFFFFF"/>
                <w:sz w:val="20"/>
                <w:szCs w:val="20"/>
              </w:rPr>
              <w:t>8-30</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4DE5CA6">
            <w:pPr>
              <w:rPr>
                <w:rFonts w:asciiTheme="minorAscii" w:hAnsiTheme="minorAscii"/>
              </w:rPr>
            </w:pPr>
            <w:r>
              <w:rPr>
                <w:rFonts w:asciiTheme="minorAscii" w:hAnsiTheme="minorAscii"/>
                <w:b/>
                <w:bCs/>
                <w:color w:val="FFFFFF"/>
                <w:sz w:val="20"/>
                <w:szCs w:val="20"/>
              </w:rPr>
              <w:t>31-60</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4F157B1">
            <w:pPr>
              <w:rPr>
                <w:rFonts w:asciiTheme="minorAscii" w:hAnsiTheme="minorAscii"/>
              </w:rPr>
            </w:pPr>
            <w:r>
              <w:rPr>
                <w:rFonts w:asciiTheme="minorAscii" w:hAnsiTheme="minorAscii"/>
                <w:b/>
                <w:bCs/>
                <w:color w:val="FFFFFF"/>
                <w:sz w:val="20"/>
                <w:szCs w:val="20"/>
              </w:rPr>
              <w:t>60+</w:t>
            </w:r>
          </w:p>
        </w:tc>
      </w:tr>
      <w:tr w14:paraId="7BF4E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6A898F">
            <w:pPr>
              <w:rPr>
                <w:rFonts w:asciiTheme="minorAscii" w:hAnsiTheme="minorAscii"/>
              </w:rPr>
            </w:pPr>
            <w:r>
              <w:rPr>
                <w:rFonts w:asciiTheme="minorAscii" w:hAnsiTheme="minorAscii"/>
                <w:b w:val="0"/>
                <w:bCs w:val="0"/>
                <w:color w:val="000000"/>
                <w:sz w:val="20"/>
                <w:szCs w:val="20"/>
              </w:rPr>
              <w:t>Corporate Portal</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FE2644">
            <w:pPr>
              <w:rPr>
                <w:rFonts w:asciiTheme="minorAscii" w:hAnsiTheme="minorAscii"/>
              </w:rPr>
            </w:pPr>
            <w:r>
              <w:rPr>
                <w:rFonts w:asciiTheme="minorAscii" w:hAnsiTheme="minorAscii"/>
                <w:b w:val="0"/>
                <w:bCs w:val="0"/>
                <w:color w:val="000000"/>
                <w:sz w:val="20"/>
                <w:szCs w:val="20"/>
              </w:rPr>
              <w:t>18.5%</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182880">
            <w:pPr>
              <w:rPr>
                <w:rFonts w:asciiTheme="minorAscii" w:hAnsiTheme="minorAscii"/>
              </w:rPr>
            </w:pPr>
            <w:r>
              <w:rPr>
                <w:rFonts w:asciiTheme="minorAscii" w:hAnsiTheme="minorAscii"/>
                <w:b w:val="0"/>
                <w:bCs w:val="0"/>
                <w:color w:val="000000"/>
                <w:sz w:val="20"/>
                <w:szCs w:val="20"/>
              </w:rPr>
              <w:t>19.3%</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4C6527">
            <w:pPr>
              <w:rPr>
                <w:rFonts w:asciiTheme="minorAscii" w:hAnsiTheme="minorAscii"/>
              </w:rPr>
            </w:pPr>
            <w:r>
              <w:rPr>
                <w:rFonts w:asciiTheme="minorAscii" w:hAnsiTheme="minorAscii"/>
                <w:b w:val="0"/>
                <w:bCs w:val="0"/>
                <w:color w:val="000000"/>
                <w:sz w:val="20"/>
                <w:szCs w:val="20"/>
              </w:rPr>
              <w:t>24.3%</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9397E2">
            <w:pPr>
              <w:rPr>
                <w:rFonts w:asciiTheme="minorAscii" w:hAnsiTheme="minorAscii"/>
              </w:rPr>
            </w:pPr>
            <w:r>
              <w:rPr>
                <w:rFonts w:asciiTheme="minorAscii" w:hAnsiTheme="minorAscii"/>
                <w:b w:val="0"/>
                <w:bCs w:val="0"/>
                <w:color w:val="000000"/>
                <w:sz w:val="20"/>
                <w:szCs w:val="20"/>
              </w:rPr>
              <w:t>20.4%</w:t>
            </w:r>
          </w:p>
        </w:tc>
      </w:tr>
      <w:tr w14:paraId="1410F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5E040B">
            <w:pPr>
              <w:rPr>
                <w:rFonts w:asciiTheme="minorAscii" w:hAnsiTheme="minorAscii"/>
              </w:rPr>
            </w:pPr>
            <w:r>
              <w:rPr>
                <w:rFonts w:asciiTheme="minorAscii" w:hAnsiTheme="minorAscii"/>
                <w:b w:val="0"/>
                <w:bCs w:val="0"/>
                <w:color w:val="000000"/>
                <w:sz w:val="20"/>
                <w:szCs w:val="20"/>
              </w:rPr>
              <w:t>Direct Website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0CC60C">
            <w:pPr>
              <w:rPr>
                <w:rFonts w:asciiTheme="minorAscii" w:hAnsiTheme="minorAscii"/>
              </w:rPr>
            </w:pPr>
            <w:r>
              <w:rPr>
                <w:rFonts w:asciiTheme="minorAscii" w:hAnsiTheme="minorAscii"/>
                <w:b w:val="0"/>
                <w:bCs w:val="0"/>
                <w:color w:val="000000"/>
                <w:sz w:val="20"/>
                <w:szCs w:val="20"/>
              </w:rPr>
              <w:t>12.5%</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C62345">
            <w:pPr>
              <w:rPr>
                <w:rFonts w:asciiTheme="minorAscii" w:hAnsiTheme="minorAscii"/>
              </w:rPr>
            </w:pPr>
            <w:r>
              <w:rPr>
                <w:rFonts w:asciiTheme="minorAscii" w:hAnsiTheme="minorAscii"/>
                <w:b w:val="0"/>
                <w:bCs w:val="0"/>
                <w:color w:val="000000"/>
                <w:sz w:val="20"/>
                <w:szCs w:val="20"/>
              </w:rPr>
              <w:t>13.5%</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052F6A">
            <w:pPr>
              <w:rPr>
                <w:rFonts w:asciiTheme="minorAscii" w:hAnsiTheme="minorAscii"/>
              </w:rPr>
            </w:pPr>
            <w:r>
              <w:rPr>
                <w:rFonts w:asciiTheme="minorAscii" w:hAnsiTheme="minorAscii"/>
                <w:b w:val="0"/>
                <w:bCs w:val="0"/>
                <w:color w:val="000000"/>
                <w:sz w:val="20"/>
                <w:szCs w:val="20"/>
              </w:rPr>
              <w:t>18.3%</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5CF5FA">
            <w:pPr>
              <w:rPr>
                <w:rFonts w:asciiTheme="minorAscii" w:hAnsiTheme="minorAscii"/>
              </w:rPr>
            </w:pPr>
            <w:r>
              <w:rPr>
                <w:rFonts w:asciiTheme="minorAscii" w:hAnsiTheme="minorAscii"/>
                <w:b w:val="0"/>
                <w:bCs w:val="0"/>
                <w:color w:val="000000"/>
                <w:sz w:val="20"/>
                <w:szCs w:val="20"/>
              </w:rPr>
              <w:t>20.3%</w:t>
            </w:r>
          </w:p>
        </w:tc>
      </w:tr>
      <w:tr w14:paraId="1715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E8CAEE">
            <w:pPr>
              <w:rPr>
                <w:rFonts w:asciiTheme="minorAscii" w:hAnsiTheme="minorAscii"/>
              </w:rPr>
            </w:pPr>
            <w:r>
              <w:rPr>
                <w:rFonts w:asciiTheme="minorAscii" w:hAnsiTheme="minorAscii"/>
                <w:b w:val="0"/>
                <w:bCs w:val="0"/>
                <w:color w:val="000000"/>
                <w:sz w:val="20"/>
                <w:szCs w:val="20"/>
              </w:rPr>
              <w:t>OTA</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FBAF22">
            <w:pPr>
              <w:rPr>
                <w:rFonts w:asciiTheme="minorAscii" w:hAnsiTheme="minorAscii"/>
              </w:rPr>
            </w:pPr>
            <w:r>
              <w:rPr>
                <w:rFonts w:asciiTheme="minorAscii" w:hAnsiTheme="minorAscii"/>
                <w:b w:val="0"/>
                <w:bCs w:val="0"/>
                <w:color w:val="000000"/>
                <w:sz w:val="20"/>
                <w:szCs w:val="20"/>
              </w:rPr>
              <w:t>20.3%</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36B17F">
            <w:pPr>
              <w:rPr>
                <w:rFonts w:asciiTheme="minorAscii" w:hAnsiTheme="minorAscii"/>
              </w:rPr>
            </w:pPr>
            <w:r>
              <w:rPr>
                <w:rFonts w:asciiTheme="minorAscii" w:hAnsiTheme="minorAscii"/>
                <w:b w:val="0"/>
                <w:bCs w:val="0"/>
                <w:color w:val="000000"/>
                <w:sz w:val="20"/>
                <w:szCs w:val="20"/>
              </w:rPr>
              <w:t>19.5%</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EB4802">
            <w:pPr>
              <w:rPr>
                <w:rFonts w:asciiTheme="minorAscii" w:hAnsiTheme="minorAscii"/>
              </w:rPr>
            </w:pPr>
            <w:r>
              <w:rPr>
                <w:rFonts w:asciiTheme="minorAscii" w:hAnsiTheme="minorAscii"/>
                <w:b w:val="0"/>
                <w:bCs w:val="0"/>
                <w:color w:val="000000"/>
                <w:sz w:val="20"/>
                <w:szCs w:val="20"/>
              </w:rPr>
              <w:t>27.3%</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D6D4CB">
            <w:pPr>
              <w:rPr>
                <w:rFonts w:asciiTheme="minorAscii" w:hAnsiTheme="minorAscii"/>
              </w:rPr>
            </w:pPr>
            <w:r>
              <w:rPr>
                <w:rFonts w:asciiTheme="minorAscii" w:hAnsiTheme="minorAscii"/>
                <w:b w:val="0"/>
                <w:bCs w:val="0"/>
                <w:color w:val="000000"/>
                <w:sz w:val="20"/>
                <w:szCs w:val="20"/>
              </w:rPr>
              <w:t>24.9%</w:t>
            </w:r>
          </w:p>
        </w:tc>
      </w:tr>
      <w:tr w14:paraId="47BEA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36D25A">
            <w:pPr>
              <w:rPr>
                <w:rFonts w:asciiTheme="minorAscii" w:hAnsiTheme="minorAscii"/>
              </w:rPr>
            </w:pPr>
            <w:r>
              <w:rPr>
                <w:rFonts w:asciiTheme="minorAscii" w:hAnsiTheme="minorAscii"/>
                <w:b w:val="0"/>
                <w:bCs w:val="0"/>
                <w:color w:val="000000"/>
                <w:sz w:val="20"/>
                <w:szCs w:val="20"/>
              </w:rPr>
              <w:t>Travel Agent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28DC2B">
            <w:pPr>
              <w:rPr>
                <w:rFonts w:asciiTheme="minorAscii" w:hAnsiTheme="minorAscii"/>
              </w:rPr>
            </w:pPr>
            <w:r>
              <w:rPr>
                <w:rFonts w:asciiTheme="minorAscii" w:hAnsiTheme="minorAscii"/>
                <w:b w:val="0"/>
                <w:bCs w:val="0"/>
                <w:color w:val="000000"/>
                <w:sz w:val="20"/>
                <w:szCs w:val="20"/>
              </w:rPr>
              <w:t>16.0%</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D13274">
            <w:pPr>
              <w:rPr>
                <w:rFonts w:asciiTheme="minorAscii" w:hAnsiTheme="minorAscii"/>
              </w:rPr>
            </w:pPr>
            <w:r>
              <w:rPr>
                <w:rFonts w:asciiTheme="minorAscii" w:hAnsiTheme="minorAscii"/>
                <w:b w:val="0"/>
                <w:bCs w:val="0"/>
                <w:color w:val="000000"/>
                <w:sz w:val="20"/>
                <w:szCs w:val="20"/>
              </w:rPr>
              <w:t>13.9%</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732A3D">
            <w:pPr>
              <w:rPr>
                <w:rFonts w:asciiTheme="minorAscii" w:hAnsiTheme="minorAscii"/>
              </w:rPr>
            </w:pPr>
            <w:r>
              <w:rPr>
                <w:rFonts w:asciiTheme="minorAscii" w:hAnsiTheme="minorAscii"/>
                <w:b w:val="0"/>
                <w:bCs w:val="0"/>
                <w:color w:val="000000"/>
                <w:sz w:val="20"/>
                <w:szCs w:val="20"/>
              </w:rPr>
              <w:t>21.5%</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E05D85">
            <w:pPr>
              <w:rPr>
                <w:rFonts w:asciiTheme="minorAscii" w:hAnsiTheme="minorAscii"/>
              </w:rPr>
            </w:pPr>
            <w:r>
              <w:rPr>
                <w:rFonts w:asciiTheme="minorAscii" w:hAnsiTheme="minorAscii"/>
                <w:b w:val="0"/>
                <w:bCs w:val="0"/>
                <w:color w:val="000000"/>
                <w:sz w:val="20"/>
                <w:szCs w:val="20"/>
              </w:rPr>
              <w:t>18.1%</w:t>
            </w:r>
          </w:p>
        </w:tc>
      </w:tr>
    </w:tbl>
    <w:p w14:paraId="6FCF3EA2">
      <w:pPr>
        <w:spacing w:before="120" w:after="60"/>
        <w:jc w:val="both"/>
        <w:rPr>
          <w:rFonts w:asciiTheme="minorAscii" w:hAnsiTheme="minorAscii"/>
        </w:rPr>
      </w:pPr>
      <w:r>
        <w:rPr>
          <w:rFonts w:asciiTheme="minorAscii" w:hAnsiTheme="minorAscii"/>
          <w:b/>
          <w:bCs/>
          <w:color w:val="1F3864"/>
          <w:sz w:val="22"/>
          <w:szCs w:val="22"/>
        </w:rPr>
        <w:t>Which dimension drives the most variance:</w:t>
      </w:r>
    </w:p>
    <w:p w14:paraId="6CA9FC42">
      <w:pPr>
        <w:spacing w:after="160"/>
        <w:jc w:val="both"/>
        <w:rPr>
          <w:rFonts w:asciiTheme="minorAscii" w:hAnsiTheme="minorAscii"/>
        </w:rPr>
      </w:pPr>
      <w:r>
        <w:rPr>
          <w:rFonts w:asciiTheme="minorAscii" w:hAnsiTheme="minorAscii"/>
          <w:b w:val="0"/>
          <w:bCs w:val="0"/>
          <w:i w:val="0"/>
          <w:iCs w:val="0"/>
          <w:sz w:val="22"/>
          <w:szCs w:val="22"/>
        </w:rPr>
        <w:t>Booking channel is the dominant driver. OTA shows the highest or near-highest cancellation rate in every lead-time bucket, while Direct Website shows the lowest in every bucket — a consistent ordering across all four buckets, not a one-off spike. Lead-time bucket is a secondary, amplifying factor: cancellation rate rises in the 31-60 day window across nearly all channels, peaking there before easing slightly at 60+. The single worst slice is OTA x 31-60 days at 27.3%; the best is Direct Website x 0-7 days at 12.5%.</w:t>
      </w:r>
    </w:p>
    <w:p w14:paraId="4912C83B">
      <w:pPr>
        <w:pStyle w:val="3"/>
        <w:rPr>
          <w:rFonts w:asciiTheme="minorAscii" w:hAnsiTheme="minorAscii"/>
        </w:rPr>
      </w:pPr>
      <w:r>
        <w:rPr>
          <w:rFonts w:asciiTheme="minorAscii" w:hAnsiTheme="minorAscii"/>
        </w:rPr>
        <w:t>A2. Rate vs. Volume</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160"/>
        <w:gridCol w:w="1500"/>
        <w:gridCol w:w="1700"/>
        <w:gridCol w:w="1100"/>
      </w:tblGrid>
      <w:tr w14:paraId="377C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A0665E5">
            <w:pPr>
              <w:rPr>
                <w:rFonts w:asciiTheme="minorAscii" w:hAnsiTheme="minorAscii"/>
              </w:rPr>
            </w:pPr>
            <w:r>
              <w:rPr>
                <w:rFonts w:asciiTheme="minorAscii" w:hAnsiTheme="minorAscii"/>
                <w:b/>
                <w:bCs/>
                <w:color w:val="FFFFFF"/>
                <w:sz w:val="20"/>
                <w:szCs w:val="20"/>
              </w:rPr>
              <w:t>Rank</w:t>
            </w:r>
          </w:p>
        </w:tc>
        <w:tc>
          <w:tcPr>
            <w:tcW w:w="3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8664AFB">
            <w:pPr>
              <w:rPr>
                <w:rFonts w:asciiTheme="minorAscii" w:hAnsiTheme="minorAscii"/>
              </w:rPr>
            </w:pPr>
            <w:r>
              <w:rPr>
                <w:rFonts w:asciiTheme="minorAscii" w:hAnsiTheme="minorAscii"/>
                <w:b/>
                <w:bCs/>
                <w:color w:val="FFFFFF"/>
                <w:sz w:val="20"/>
                <w:szCs w:val="20"/>
              </w:rPr>
              <w:t>Top 3 by RATE</w:t>
            </w:r>
          </w:p>
        </w:tc>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B639346">
            <w:pPr>
              <w:rPr>
                <w:rFonts w:asciiTheme="minorAscii" w:hAnsiTheme="minorAscii"/>
              </w:rPr>
            </w:pPr>
            <w:r>
              <w:rPr>
                <w:rFonts w:asciiTheme="minorAscii" w:hAnsiTheme="minorAscii"/>
                <w:b/>
                <w:bCs/>
                <w:color w:val="FFFFFF"/>
                <w:sz w:val="20"/>
                <w:szCs w:val="20"/>
              </w:rPr>
              <w:t>Bookings</w:t>
            </w:r>
          </w:p>
        </w:tc>
        <w:tc>
          <w:tcPr>
            <w:tcW w:w="17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5F92D9C">
            <w:pPr>
              <w:rPr>
                <w:rFonts w:asciiTheme="minorAscii" w:hAnsiTheme="minorAscii"/>
              </w:rPr>
            </w:pPr>
            <w:r>
              <w:rPr>
                <w:rFonts w:asciiTheme="minorAscii" w:hAnsiTheme="minorAscii"/>
                <w:b/>
                <w:bCs/>
                <w:color w:val="FFFFFF"/>
                <w:sz w:val="20"/>
                <w:szCs w:val="20"/>
              </w:rPr>
              <w:t>Cancellations</w:t>
            </w:r>
          </w:p>
        </w:tc>
        <w:tc>
          <w:tcPr>
            <w:tcW w:w="11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D54D2C6">
            <w:pPr>
              <w:rPr>
                <w:rFonts w:asciiTheme="minorAscii" w:hAnsiTheme="minorAscii"/>
              </w:rPr>
            </w:pPr>
            <w:r>
              <w:rPr>
                <w:rFonts w:asciiTheme="minorAscii" w:hAnsiTheme="minorAscii"/>
                <w:b/>
                <w:bCs/>
                <w:color w:val="FFFFFF"/>
                <w:sz w:val="20"/>
                <w:szCs w:val="20"/>
              </w:rPr>
              <w:t>Rate</w:t>
            </w:r>
          </w:p>
        </w:tc>
      </w:tr>
      <w:tr w14:paraId="5BF7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7B36CC">
            <w:pPr>
              <w:rPr>
                <w:rFonts w:asciiTheme="minorAscii" w:hAnsiTheme="minorAscii"/>
              </w:rPr>
            </w:pPr>
            <w:r>
              <w:rPr>
                <w:rFonts w:asciiTheme="minorAscii" w:hAnsiTheme="minorAscii"/>
                <w:b w:val="0"/>
                <w:bCs w:val="0"/>
                <w:color w:val="000000"/>
                <w:sz w:val="20"/>
                <w:szCs w:val="20"/>
              </w:rPr>
              <w:t>1</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B6DC6A">
            <w:pPr>
              <w:rPr>
                <w:rFonts w:asciiTheme="minorAscii" w:hAnsiTheme="minorAscii"/>
              </w:rPr>
            </w:pPr>
            <w:r>
              <w:rPr>
                <w:rFonts w:asciiTheme="minorAscii" w:hAnsiTheme="minorAscii"/>
                <w:b w:val="0"/>
                <w:bCs w:val="0"/>
                <w:color w:val="000000"/>
                <w:sz w:val="20"/>
                <w:szCs w:val="20"/>
              </w:rPr>
              <w:t>OTA x 31-60</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B66FF2">
            <w:pPr>
              <w:rPr>
                <w:rFonts w:asciiTheme="minorAscii" w:hAnsiTheme="minorAscii"/>
              </w:rPr>
            </w:pPr>
            <w:r>
              <w:rPr>
                <w:rFonts w:asciiTheme="minorAscii" w:hAnsiTheme="minorAscii"/>
                <w:b w:val="0"/>
                <w:bCs w:val="0"/>
                <w:color w:val="000000"/>
                <w:sz w:val="20"/>
                <w:szCs w:val="20"/>
              </w:rPr>
              <w:t>943</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DD0E6D">
            <w:pPr>
              <w:rPr>
                <w:rFonts w:asciiTheme="minorAscii" w:hAnsiTheme="minorAscii"/>
              </w:rPr>
            </w:pPr>
            <w:r>
              <w:rPr>
                <w:rFonts w:asciiTheme="minorAscii" w:hAnsiTheme="minorAscii"/>
                <w:b w:val="0"/>
                <w:bCs w:val="0"/>
                <w:color w:val="000000"/>
                <w:sz w:val="20"/>
                <w:szCs w:val="20"/>
              </w:rPr>
              <w:t>257</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D0FA0F">
            <w:pPr>
              <w:rPr>
                <w:rFonts w:asciiTheme="minorAscii" w:hAnsiTheme="minorAscii"/>
              </w:rPr>
            </w:pPr>
            <w:r>
              <w:rPr>
                <w:rFonts w:asciiTheme="minorAscii" w:hAnsiTheme="minorAscii"/>
                <w:b w:val="0"/>
                <w:bCs w:val="0"/>
                <w:color w:val="000000"/>
                <w:sz w:val="20"/>
                <w:szCs w:val="20"/>
              </w:rPr>
              <w:t>27.3%</w:t>
            </w:r>
          </w:p>
        </w:tc>
      </w:tr>
      <w:tr w14:paraId="6115B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F342E4">
            <w:pPr>
              <w:rPr>
                <w:rFonts w:asciiTheme="minorAscii" w:hAnsiTheme="minorAscii"/>
              </w:rPr>
            </w:pPr>
            <w:r>
              <w:rPr>
                <w:rFonts w:asciiTheme="minorAscii" w:hAnsiTheme="minorAscii"/>
                <w:b w:val="0"/>
                <w:bCs w:val="0"/>
                <w:color w:val="000000"/>
                <w:sz w:val="20"/>
                <w:szCs w:val="20"/>
              </w:rPr>
              <w:t>2</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14D252">
            <w:pPr>
              <w:rPr>
                <w:rFonts w:asciiTheme="minorAscii" w:hAnsiTheme="minorAscii"/>
              </w:rPr>
            </w:pPr>
            <w:r>
              <w:rPr>
                <w:rFonts w:asciiTheme="minorAscii" w:hAnsiTheme="minorAscii"/>
                <w:b w:val="0"/>
                <w:bCs w:val="0"/>
                <w:color w:val="000000"/>
                <w:sz w:val="20"/>
                <w:szCs w:val="20"/>
              </w:rPr>
              <w:t>OTA x 60+</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D9B11D">
            <w:pPr>
              <w:rPr>
                <w:rFonts w:asciiTheme="minorAscii" w:hAnsiTheme="minorAscii"/>
              </w:rPr>
            </w:pPr>
            <w:r>
              <w:rPr>
                <w:rFonts w:asciiTheme="minorAscii" w:hAnsiTheme="minorAscii"/>
                <w:b w:val="0"/>
                <w:bCs w:val="0"/>
                <w:color w:val="000000"/>
                <w:sz w:val="20"/>
                <w:szCs w:val="20"/>
              </w:rPr>
              <w:t>370</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821601">
            <w:pPr>
              <w:rPr>
                <w:rFonts w:asciiTheme="minorAscii" w:hAnsiTheme="minorAscii"/>
              </w:rPr>
            </w:pPr>
            <w:r>
              <w:rPr>
                <w:rFonts w:asciiTheme="minorAscii" w:hAnsiTheme="minorAscii"/>
                <w:b w:val="0"/>
                <w:bCs w:val="0"/>
                <w:color w:val="000000"/>
                <w:sz w:val="20"/>
                <w:szCs w:val="20"/>
              </w:rPr>
              <w:t>92</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676AC6">
            <w:pPr>
              <w:rPr>
                <w:rFonts w:asciiTheme="minorAscii" w:hAnsiTheme="minorAscii"/>
              </w:rPr>
            </w:pPr>
            <w:r>
              <w:rPr>
                <w:rFonts w:asciiTheme="minorAscii" w:hAnsiTheme="minorAscii"/>
                <w:b w:val="0"/>
                <w:bCs w:val="0"/>
                <w:color w:val="000000"/>
                <w:sz w:val="20"/>
                <w:szCs w:val="20"/>
              </w:rPr>
              <w:t>24.9%</w:t>
            </w:r>
          </w:p>
        </w:tc>
      </w:tr>
      <w:tr w14:paraId="4B97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901B31">
            <w:pPr>
              <w:rPr>
                <w:rFonts w:asciiTheme="minorAscii" w:hAnsiTheme="minorAscii"/>
              </w:rPr>
            </w:pPr>
            <w:r>
              <w:rPr>
                <w:rFonts w:asciiTheme="minorAscii" w:hAnsiTheme="minorAscii"/>
                <w:b w:val="0"/>
                <w:bCs w:val="0"/>
                <w:color w:val="000000"/>
                <w:sz w:val="20"/>
                <w:szCs w:val="20"/>
              </w:rPr>
              <w:t>3</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620607">
            <w:pPr>
              <w:rPr>
                <w:rFonts w:asciiTheme="minorAscii" w:hAnsiTheme="minorAscii"/>
              </w:rPr>
            </w:pPr>
            <w:r>
              <w:rPr>
                <w:rFonts w:asciiTheme="minorAscii" w:hAnsiTheme="minorAscii"/>
                <w:b w:val="0"/>
                <w:bCs w:val="0"/>
                <w:color w:val="000000"/>
                <w:sz w:val="20"/>
                <w:szCs w:val="20"/>
              </w:rPr>
              <w:t>Corporate Portal x 31-60</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AE746B">
            <w:pPr>
              <w:rPr>
                <w:rFonts w:asciiTheme="minorAscii" w:hAnsiTheme="minorAscii"/>
              </w:rPr>
            </w:pPr>
            <w:r>
              <w:rPr>
                <w:rFonts w:asciiTheme="minorAscii" w:hAnsiTheme="minorAscii"/>
                <w:b w:val="0"/>
                <w:bCs w:val="0"/>
                <w:color w:val="000000"/>
                <w:sz w:val="20"/>
                <w:szCs w:val="20"/>
              </w:rPr>
              <w:t>675</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9F0ACD">
            <w:pPr>
              <w:rPr>
                <w:rFonts w:asciiTheme="minorAscii" w:hAnsiTheme="minorAscii"/>
              </w:rPr>
            </w:pPr>
            <w:r>
              <w:rPr>
                <w:rFonts w:asciiTheme="minorAscii" w:hAnsiTheme="minorAscii"/>
                <w:b w:val="0"/>
                <w:bCs w:val="0"/>
                <w:color w:val="000000"/>
                <w:sz w:val="20"/>
                <w:szCs w:val="20"/>
              </w:rPr>
              <w:t>164</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370A4B">
            <w:pPr>
              <w:rPr>
                <w:rFonts w:asciiTheme="minorAscii" w:hAnsiTheme="minorAscii"/>
              </w:rPr>
            </w:pPr>
            <w:r>
              <w:rPr>
                <w:rFonts w:asciiTheme="minorAscii" w:hAnsiTheme="minorAscii"/>
                <w:b w:val="0"/>
                <w:bCs w:val="0"/>
                <w:color w:val="000000"/>
                <w:sz w:val="20"/>
                <w:szCs w:val="20"/>
              </w:rPr>
              <w:t>24.3%</w:t>
            </w:r>
          </w:p>
        </w:tc>
      </w:tr>
      <w:tr w14:paraId="2F88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B6427DD">
            <w:pPr>
              <w:rPr>
                <w:rFonts w:asciiTheme="minorAscii" w:hAnsiTheme="minorAscii"/>
              </w:rPr>
            </w:pPr>
            <w:r>
              <w:rPr>
                <w:rFonts w:asciiTheme="minorAscii" w:hAnsiTheme="minorAscii"/>
                <w:b/>
                <w:bCs/>
                <w:color w:val="FFFFFF"/>
                <w:sz w:val="20"/>
                <w:szCs w:val="20"/>
              </w:rPr>
              <w:t>Rank</w:t>
            </w:r>
          </w:p>
        </w:tc>
        <w:tc>
          <w:tcPr>
            <w:tcW w:w="3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C3C3294">
            <w:pPr>
              <w:rPr>
                <w:rFonts w:asciiTheme="minorAscii" w:hAnsiTheme="minorAscii"/>
              </w:rPr>
            </w:pPr>
            <w:r>
              <w:rPr>
                <w:rFonts w:asciiTheme="minorAscii" w:hAnsiTheme="minorAscii"/>
                <w:b/>
                <w:bCs/>
                <w:color w:val="FFFFFF"/>
                <w:sz w:val="20"/>
                <w:szCs w:val="20"/>
              </w:rPr>
              <w:t>Top 3 by COUNT</w:t>
            </w:r>
          </w:p>
        </w:tc>
        <w:tc>
          <w:tcPr>
            <w:tcW w:w="1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799092D">
            <w:pPr>
              <w:rPr>
                <w:rFonts w:asciiTheme="minorAscii" w:hAnsiTheme="minorAscii"/>
              </w:rPr>
            </w:pPr>
            <w:r>
              <w:rPr>
                <w:rFonts w:asciiTheme="minorAscii" w:hAnsiTheme="minorAscii"/>
                <w:b/>
                <w:bCs/>
                <w:color w:val="FFFFFF"/>
                <w:sz w:val="20"/>
                <w:szCs w:val="20"/>
              </w:rPr>
              <w:t>Bookings</w:t>
            </w:r>
          </w:p>
        </w:tc>
        <w:tc>
          <w:tcPr>
            <w:tcW w:w="17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D3184A2">
            <w:pPr>
              <w:rPr>
                <w:rFonts w:asciiTheme="minorAscii" w:hAnsiTheme="minorAscii"/>
              </w:rPr>
            </w:pPr>
            <w:r>
              <w:rPr>
                <w:rFonts w:asciiTheme="minorAscii" w:hAnsiTheme="minorAscii"/>
                <w:b/>
                <w:bCs/>
                <w:color w:val="FFFFFF"/>
                <w:sz w:val="20"/>
                <w:szCs w:val="20"/>
              </w:rPr>
              <w:t>Cancellations</w:t>
            </w:r>
          </w:p>
        </w:tc>
        <w:tc>
          <w:tcPr>
            <w:tcW w:w="11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BE80258">
            <w:pPr>
              <w:rPr>
                <w:rFonts w:asciiTheme="minorAscii" w:hAnsiTheme="minorAscii"/>
              </w:rPr>
            </w:pPr>
            <w:r>
              <w:rPr>
                <w:rFonts w:asciiTheme="minorAscii" w:hAnsiTheme="minorAscii"/>
                <w:b/>
                <w:bCs/>
                <w:color w:val="FFFFFF"/>
                <w:sz w:val="20"/>
                <w:szCs w:val="20"/>
              </w:rPr>
              <w:t>Rate</w:t>
            </w:r>
          </w:p>
        </w:tc>
      </w:tr>
      <w:tr w14:paraId="094E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58A599">
            <w:pPr>
              <w:rPr>
                <w:rFonts w:asciiTheme="minorAscii" w:hAnsiTheme="minorAscii"/>
              </w:rPr>
            </w:pPr>
            <w:r>
              <w:rPr>
                <w:rFonts w:asciiTheme="minorAscii" w:hAnsiTheme="minorAscii"/>
                <w:b w:val="0"/>
                <w:bCs w:val="0"/>
                <w:color w:val="000000"/>
                <w:sz w:val="20"/>
                <w:szCs w:val="20"/>
              </w:rPr>
              <w:t>1</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3D638B">
            <w:pPr>
              <w:rPr>
                <w:rFonts w:asciiTheme="minorAscii" w:hAnsiTheme="minorAscii"/>
              </w:rPr>
            </w:pPr>
            <w:r>
              <w:rPr>
                <w:rFonts w:asciiTheme="minorAscii" w:hAnsiTheme="minorAscii"/>
                <w:b w:val="0"/>
                <w:bCs w:val="0"/>
                <w:color w:val="000000"/>
                <w:sz w:val="20"/>
                <w:szCs w:val="20"/>
              </w:rPr>
              <w:t>OTA x 8-30</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D371FA">
            <w:pPr>
              <w:rPr>
                <w:rFonts w:asciiTheme="minorAscii" w:hAnsiTheme="minorAscii"/>
              </w:rPr>
            </w:pPr>
            <w:r>
              <w:rPr>
                <w:rFonts w:asciiTheme="minorAscii" w:hAnsiTheme="minorAscii"/>
                <w:b w:val="0"/>
                <w:bCs w:val="0"/>
                <w:color w:val="000000"/>
                <w:sz w:val="20"/>
                <w:szCs w:val="20"/>
              </w:rPr>
              <w:t>1,496</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F2556A">
            <w:pPr>
              <w:rPr>
                <w:rFonts w:asciiTheme="minorAscii" w:hAnsiTheme="minorAscii"/>
              </w:rPr>
            </w:pPr>
            <w:r>
              <w:rPr>
                <w:rFonts w:asciiTheme="minorAscii" w:hAnsiTheme="minorAscii"/>
                <w:b w:val="0"/>
                <w:bCs w:val="0"/>
                <w:color w:val="000000"/>
                <w:sz w:val="20"/>
                <w:szCs w:val="20"/>
              </w:rPr>
              <w:t>291</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4EBEE3">
            <w:pPr>
              <w:rPr>
                <w:rFonts w:asciiTheme="minorAscii" w:hAnsiTheme="minorAscii"/>
              </w:rPr>
            </w:pPr>
            <w:r>
              <w:rPr>
                <w:rFonts w:asciiTheme="minorAscii" w:hAnsiTheme="minorAscii"/>
                <w:b w:val="0"/>
                <w:bCs w:val="0"/>
                <w:color w:val="000000"/>
                <w:sz w:val="20"/>
                <w:szCs w:val="20"/>
              </w:rPr>
              <w:t>19.5%</w:t>
            </w:r>
          </w:p>
        </w:tc>
      </w:tr>
      <w:tr w14:paraId="37121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70B494">
            <w:pPr>
              <w:rPr>
                <w:rFonts w:asciiTheme="minorAscii" w:hAnsiTheme="minorAscii"/>
              </w:rPr>
            </w:pPr>
            <w:r>
              <w:rPr>
                <w:rFonts w:asciiTheme="minorAscii" w:hAnsiTheme="minorAscii"/>
                <w:b w:val="0"/>
                <w:bCs w:val="0"/>
                <w:color w:val="000000"/>
                <w:sz w:val="20"/>
                <w:szCs w:val="20"/>
              </w:rPr>
              <w:t>2</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9A41CC">
            <w:pPr>
              <w:rPr>
                <w:rFonts w:asciiTheme="minorAscii" w:hAnsiTheme="minorAscii"/>
              </w:rPr>
            </w:pPr>
            <w:r>
              <w:rPr>
                <w:rFonts w:asciiTheme="minorAscii" w:hAnsiTheme="minorAscii"/>
                <w:b w:val="0"/>
                <w:bCs w:val="0"/>
                <w:color w:val="000000"/>
                <w:sz w:val="20"/>
                <w:szCs w:val="20"/>
              </w:rPr>
              <w:t>OTA x 0-7</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5DCD54">
            <w:pPr>
              <w:rPr>
                <w:rFonts w:asciiTheme="minorAscii" w:hAnsiTheme="minorAscii"/>
              </w:rPr>
            </w:pPr>
            <w:r>
              <w:rPr>
                <w:rFonts w:asciiTheme="minorAscii" w:hAnsiTheme="minorAscii"/>
                <w:b w:val="0"/>
                <w:bCs w:val="0"/>
                <w:color w:val="000000"/>
                <w:sz w:val="20"/>
                <w:szCs w:val="20"/>
              </w:rPr>
              <w:t>1,375</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9090D3">
            <w:pPr>
              <w:rPr>
                <w:rFonts w:asciiTheme="minorAscii" w:hAnsiTheme="minorAscii"/>
              </w:rPr>
            </w:pPr>
            <w:r>
              <w:rPr>
                <w:rFonts w:asciiTheme="minorAscii" w:hAnsiTheme="minorAscii"/>
                <w:b w:val="0"/>
                <w:bCs w:val="0"/>
                <w:color w:val="000000"/>
                <w:sz w:val="20"/>
                <w:szCs w:val="20"/>
              </w:rPr>
              <w:t>279</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DB8813">
            <w:pPr>
              <w:rPr>
                <w:rFonts w:asciiTheme="minorAscii" w:hAnsiTheme="minorAscii"/>
              </w:rPr>
            </w:pPr>
            <w:r>
              <w:rPr>
                <w:rFonts w:asciiTheme="minorAscii" w:hAnsiTheme="minorAscii"/>
                <w:b w:val="0"/>
                <w:bCs w:val="0"/>
                <w:color w:val="000000"/>
                <w:sz w:val="20"/>
                <w:szCs w:val="20"/>
              </w:rPr>
              <w:t>20.3%</w:t>
            </w:r>
          </w:p>
        </w:tc>
      </w:tr>
      <w:tr w14:paraId="3BF8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999377">
            <w:pPr>
              <w:rPr>
                <w:rFonts w:asciiTheme="minorAscii" w:hAnsiTheme="minorAscii"/>
              </w:rPr>
            </w:pPr>
            <w:r>
              <w:rPr>
                <w:rFonts w:asciiTheme="minorAscii" w:hAnsiTheme="minorAscii"/>
                <w:b w:val="0"/>
                <w:bCs w:val="0"/>
                <w:color w:val="000000"/>
                <w:sz w:val="20"/>
                <w:szCs w:val="20"/>
              </w:rPr>
              <w:t>3</w:t>
            </w:r>
          </w:p>
        </w:tc>
        <w:tc>
          <w:tcPr>
            <w:tcW w:w="3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098793">
            <w:pPr>
              <w:rPr>
                <w:rFonts w:asciiTheme="minorAscii" w:hAnsiTheme="minorAscii"/>
              </w:rPr>
            </w:pPr>
            <w:r>
              <w:rPr>
                <w:rFonts w:asciiTheme="minorAscii" w:hAnsiTheme="minorAscii"/>
                <w:b w:val="0"/>
                <w:bCs w:val="0"/>
                <w:color w:val="000000"/>
                <w:sz w:val="20"/>
                <w:szCs w:val="20"/>
              </w:rPr>
              <w:t>OTA x 31-60</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93A2FC">
            <w:pPr>
              <w:rPr>
                <w:rFonts w:asciiTheme="minorAscii" w:hAnsiTheme="minorAscii"/>
              </w:rPr>
            </w:pPr>
            <w:r>
              <w:rPr>
                <w:rFonts w:asciiTheme="minorAscii" w:hAnsiTheme="minorAscii"/>
                <w:b w:val="0"/>
                <w:bCs w:val="0"/>
                <w:color w:val="000000"/>
                <w:sz w:val="20"/>
                <w:szCs w:val="20"/>
              </w:rPr>
              <w:t>943</w:t>
            </w:r>
          </w:p>
        </w:tc>
        <w:tc>
          <w:tcPr>
            <w:tcW w:w="17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C784A3">
            <w:pPr>
              <w:rPr>
                <w:rFonts w:asciiTheme="minorAscii" w:hAnsiTheme="minorAscii"/>
              </w:rPr>
            </w:pPr>
            <w:r>
              <w:rPr>
                <w:rFonts w:asciiTheme="minorAscii" w:hAnsiTheme="minorAscii"/>
                <w:b w:val="0"/>
                <w:bCs w:val="0"/>
                <w:color w:val="000000"/>
                <w:sz w:val="20"/>
                <w:szCs w:val="20"/>
              </w:rPr>
              <w:t>257</w:t>
            </w:r>
          </w:p>
        </w:tc>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D35305">
            <w:pPr>
              <w:rPr>
                <w:rFonts w:asciiTheme="minorAscii" w:hAnsiTheme="minorAscii"/>
              </w:rPr>
            </w:pPr>
            <w:r>
              <w:rPr>
                <w:rFonts w:asciiTheme="minorAscii" w:hAnsiTheme="minorAscii"/>
                <w:b w:val="0"/>
                <w:bCs w:val="0"/>
                <w:color w:val="000000"/>
                <w:sz w:val="20"/>
                <w:szCs w:val="20"/>
              </w:rPr>
              <w:t>27.3%</w:t>
            </w:r>
          </w:p>
        </w:tc>
      </w:tr>
    </w:tbl>
    <w:p w14:paraId="02A9DB7D">
      <w:pPr>
        <w:spacing w:before="120" w:after="60"/>
        <w:rPr>
          <w:rFonts w:asciiTheme="minorAscii" w:hAnsiTheme="minorAscii"/>
        </w:rPr>
      </w:pPr>
      <w:r>
        <w:rPr>
          <w:rFonts w:asciiTheme="minorAscii" w:hAnsiTheme="minorAscii"/>
          <w:b/>
          <w:bCs/>
          <w:color w:val="1F3864"/>
          <w:sz w:val="22"/>
          <w:szCs w:val="22"/>
        </w:rPr>
        <w:t>Why this matters for the board's 5pp target:</w:t>
      </w:r>
    </w:p>
    <w:p w14:paraId="35425B2F">
      <w:pPr>
        <w:spacing w:after="160"/>
        <w:jc w:val="both"/>
        <w:rPr>
          <w:rFonts w:asciiTheme="minorAscii" w:hAnsiTheme="minorAscii"/>
        </w:rPr>
      </w:pPr>
      <w:r>
        <w:rPr>
          <w:rFonts w:asciiTheme="minorAscii" w:hAnsiTheme="minorAscii"/>
          <w:b w:val="0"/>
          <w:bCs w:val="0"/>
          <w:i w:val="0"/>
          <w:iCs w:val="0"/>
          <w:sz w:val="22"/>
          <w:szCs w:val="22"/>
        </w:rPr>
        <w:t>Only OTA x 31-60 appears on both lists. The other rate-leaders (OTA x 60+, Corporate Portal x 31-60) are low-volume (370 and 675 bookings) — fixing them barely moves the platform number. The volume-leaders (OTA x 8-30, OTA x 0-7) have only moderate rates (~19-20%, near the platform average) but their sheer size (1,375-1,496 bookings each) makes them the larger source of absolute cancellations. A 5pp platform-wide reduction requires moving total cancellation count, not just flattening a few extreme percentages — targeting OTA broadly has far more leverage than targeting only the worst-rate slices.</w:t>
      </w:r>
    </w:p>
    <w:p w14:paraId="0D68A7AF">
      <w:pPr>
        <w:pStyle w:val="3"/>
        <w:jc w:val="both"/>
        <w:rPr>
          <w:rFonts w:asciiTheme="minorAscii" w:hAnsiTheme="minorAscii"/>
        </w:rPr>
      </w:pPr>
      <w:r>
        <w:rPr>
          <w:rFonts w:asciiTheme="minorAscii" w:hAnsiTheme="minorAscii"/>
        </w:rPr>
        <w:t>A3. Root Cause: Hypothesis Testing</w:t>
      </w:r>
    </w:p>
    <w:p w14:paraId="43CFF05D">
      <w:pPr>
        <w:spacing w:after="160"/>
        <w:jc w:val="both"/>
        <w:rPr>
          <w:rFonts w:asciiTheme="minorAscii" w:hAnsiTheme="minorAscii"/>
        </w:rPr>
      </w:pPr>
      <w:r>
        <w:rPr>
          <w:rFonts w:asciiTheme="minorAscii" w:hAnsiTheme="minorAscii"/>
          <w:b w:val="0"/>
          <w:bCs w:val="0"/>
          <w:i w:val="0"/>
          <w:iCs w:val="0"/>
          <w:sz w:val="22"/>
          <w:szCs w:val="22"/>
        </w:rPr>
        <w:t>Worst-rate, high-volume slice selected for testing: OTA x 31-60 days (943 bookings, 257 cancellations, 27.25% rate).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4200"/>
        <w:gridCol w:w="3000"/>
      </w:tblGrid>
      <w:tr w14:paraId="41BC3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C2819E1">
            <w:pPr>
              <w:rPr>
                <w:rFonts w:asciiTheme="minorAscii" w:hAnsiTheme="minorAscii"/>
              </w:rPr>
            </w:pPr>
            <w:r>
              <w:rPr>
                <w:rFonts w:asciiTheme="minorAscii" w:hAnsiTheme="minorAscii"/>
                <w:b/>
                <w:bCs/>
                <w:color w:val="FFFFFF"/>
                <w:sz w:val="20"/>
                <w:szCs w:val="20"/>
              </w:rPr>
              <w:t>Hypothesis</w:t>
            </w:r>
          </w:p>
        </w:tc>
        <w:tc>
          <w:tcPr>
            <w:tcW w:w="4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8FA4699">
            <w:pPr>
              <w:rPr>
                <w:rFonts w:asciiTheme="minorAscii" w:hAnsiTheme="minorAscii"/>
              </w:rPr>
            </w:pPr>
            <w:r>
              <w:rPr>
                <w:rFonts w:asciiTheme="minorAscii" w:hAnsiTheme="minorAscii"/>
                <w:b/>
                <w:bCs/>
                <w:color w:val="FFFFFF"/>
                <w:sz w:val="20"/>
                <w:szCs w:val="20"/>
              </w:rPr>
              <w:t>Comparison</w:t>
            </w:r>
          </w:p>
        </w:tc>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A782B6D">
            <w:pPr>
              <w:rPr>
                <w:rFonts w:asciiTheme="minorAscii" w:hAnsiTheme="minorAscii"/>
              </w:rPr>
            </w:pPr>
            <w:r>
              <w:rPr>
                <w:rFonts w:asciiTheme="minorAscii" w:hAnsiTheme="minorAscii"/>
                <w:b/>
                <w:bCs/>
                <w:color w:val="FFFFFF"/>
                <w:sz w:val="20"/>
                <w:szCs w:val="20"/>
              </w:rPr>
              <w:t>Result</w:t>
            </w:r>
          </w:p>
        </w:tc>
      </w:tr>
      <w:tr w14:paraId="56CEB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D1CB41">
            <w:pPr>
              <w:jc w:val="both"/>
              <w:rPr>
                <w:rFonts w:asciiTheme="minorAscii" w:hAnsiTheme="minorAscii"/>
              </w:rPr>
            </w:pPr>
            <w:r>
              <w:rPr>
                <w:rFonts w:asciiTheme="minorAscii" w:hAnsiTheme="minorAscii"/>
                <w:b w:val="0"/>
                <w:bCs w:val="0"/>
                <w:color w:val="000000"/>
                <w:sz w:val="20"/>
                <w:szCs w:val="20"/>
              </w:rPr>
              <w:t>H1: Lead-time effect</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07835A">
            <w:pPr>
              <w:jc w:val="both"/>
              <w:rPr>
                <w:rFonts w:asciiTheme="minorAscii" w:hAnsiTheme="minorAscii"/>
              </w:rPr>
            </w:pPr>
            <w:r>
              <w:rPr>
                <w:rFonts w:asciiTheme="minorAscii" w:hAnsiTheme="minorAscii"/>
                <w:b w:val="0"/>
                <w:bCs w:val="0"/>
                <w:color w:val="000000"/>
                <w:sz w:val="20"/>
                <w:szCs w:val="20"/>
              </w:rPr>
              <w:t>Slice mean lead-time (48.9 days) vs rest of platform (31.1 days)</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4BF641">
            <w:pPr>
              <w:jc w:val="both"/>
              <w:rPr>
                <w:rFonts w:asciiTheme="minorAscii" w:hAnsiTheme="minorAscii"/>
              </w:rPr>
            </w:pPr>
            <w:r>
              <w:rPr>
                <w:rFonts w:asciiTheme="minorAscii" w:hAnsiTheme="minorAscii"/>
                <w:b w:val="0"/>
                <w:bCs w:val="0"/>
                <w:color w:val="000000"/>
                <w:sz w:val="20"/>
                <w:szCs w:val="20"/>
              </w:rPr>
              <w:t>Inconclusive — circular by definition, since the slice IS the 31-60 day bucket</w:t>
            </w:r>
          </w:p>
        </w:tc>
      </w:tr>
      <w:tr w14:paraId="74A7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E71A2E">
            <w:pPr>
              <w:jc w:val="both"/>
              <w:rPr>
                <w:rFonts w:asciiTheme="minorAscii" w:hAnsiTheme="minorAscii"/>
              </w:rPr>
            </w:pPr>
            <w:r>
              <w:rPr>
                <w:rFonts w:asciiTheme="minorAscii" w:hAnsiTheme="minorAscii"/>
                <w:b w:val="0"/>
                <w:bCs w:val="0"/>
                <w:color w:val="000000"/>
                <w:sz w:val="20"/>
                <w:szCs w:val="20"/>
              </w:rPr>
              <w:t>H2: Channel-mix effect</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560AA0">
            <w:pPr>
              <w:jc w:val="both"/>
              <w:rPr>
                <w:rFonts w:asciiTheme="minorAscii" w:hAnsiTheme="minorAscii"/>
              </w:rPr>
            </w:pPr>
            <w:r>
              <w:rPr>
                <w:rFonts w:asciiTheme="minorAscii" w:hAnsiTheme="minorAscii"/>
                <w:b w:val="0"/>
                <w:bCs w:val="0"/>
                <w:color w:val="000000"/>
                <w:sz w:val="20"/>
                <w:szCs w:val="20"/>
              </w:rPr>
              <w:t>OTA overall rate (21.96%) vs OTA within this bucket (27.25%)</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034E72">
            <w:pPr>
              <w:jc w:val="both"/>
              <w:rPr>
                <w:rFonts w:asciiTheme="minorAscii" w:hAnsiTheme="minorAscii"/>
              </w:rPr>
            </w:pPr>
            <w:r>
              <w:rPr>
                <w:rFonts w:asciiTheme="minorAscii" w:hAnsiTheme="minorAscii"/>
                <w:b w:val="0"/>
                <w:bCs w:val="0"/>
                <w:color w:val="000000"/>
                <w:sz w:val="20"/>
                <w:szCs w:val="20"/>
              </w:rPr>
              <w:t>Real signal — 5.3pp jump within the same channel, isolated to this lead-time window</w:t>
            </w:r>
          </w:p>
        </w:tc>
      </w:tr>
      <w:tr w14:paraId="2491D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55A75B">
            <w:pPr>
              <w:jc w:val="both"/>
              <w:rPr>
                <w:rFonts w:asciiTheme="minorAscii" w:hAnsiTheme="minorAscii"/>
              </w:rPr>
            </w:pPr>
            <w:r>
              <w:rPr>
                <w:rFonts w:asciiTheme="minorAscii" w:hAnsiTheme="minorAscii"/>
                <w:b w:val="0"/>
                <w:bCs w:val="0"/>
                <w:color w:val="000000"/>
                <w:sz w:val="20"/>
                <w:szCs w:val="20"/>
              </w:rPr>
              <w:t>H3: City-season effect</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75D436">
            <w:pPr>
              <w:jc w:val="both"/>
              <w:rPr>
                <w:rFonts w:asciiTheme="minorAscii" w:hAnsiTheme="minorAscii"/>
              </w:rPr>
            </w:pPr>
            <w:r>
              <w:rPr>
                <w:rFonts w:asciiTheme="minorAscii" w:hAnsiTheme="minorAscii"/>
                <w:b w:val="0"/>
                <w:bCs w:val="0"/>
                <w:color w:val="000000"/>
                <w:sz w:val="20"/>
                <w:szCs w:val="20"/>
              </w:rPr>
              <w:t>Chennai OTA, other buckets (16.2%) vs Other cities, OTA x 31-60 (26.9%) vs the slice itself (27.25%)</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1F64C0">
            <w:pPr>
              <w:jc w:val="both"/>
              <w:rPr>
                <w:rFonts w:asciiTheme="minorAscii" w:hAnsiTheme="minorAscii"/>
              </w:rPr>
            </w:pPr>
            <w:r>
              <w:rPr>
                <w:rFonts w:asciiTheme="minorAscii" w:hAnsiTheme="minorAscii"/>
                <w:b w:val="0"/>
                <w:bCs w:val="0"/>
                <w:color w:val="000000"/>
                <w:sz w:val="20"/>
                <w:szCs w:val="20"/>
              </w:rPr>
              <w:t>Ruled out — effect persists across cities; Chennai alone drops to near-average outside this window</w:t>
            </w:r>
          </w:p>
        </w:tc>
      </w:tr>
    </w:tbl>
    <w:p w14:paraId="2C2D072E">
      <w:pPr>
        <w:spacing w:before="120" w:after="120"/>
        <w:jc w:val="center"/>
        <w:rPr>
          <w:rFonts w:asciiTheme="minorAscii" w:hAnsiTheme="minorAscii"/>
        </w:rPr>
      </w:pPr>
      <w:r>
        <w:rPr>
          <w:rFonts w:asciiTheme="minorAscii" w:hAnsiTheme="minorAscii"/>
        </w:rPr>
        <w:drawing>
          <wp:inline distT="0" distB="0" distL="0" distR="0">
            <wp:extent cx="3714750" cy="2228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3714750" cy="2228850"/>
                    </a:xfrm>
                    <a:prstGeom prst="rect">
                      <a:avLst/>
                    </a:prstGeom>
                  </pic:spPr>
                </pic:pic>
              </a:graphicData>
            </a:graphic>
          </wp:inline>
        </w:drawing>
      </w:r>
    </w:p>
    <w:p w14:paraId="17B69888">
      <w:pPr>
        <w:spacing w:before="120" w:after="60"/>
        <w:jc w:val="both"/>
        <w:rPr>
          <w:rFonts w:asciiTheme="minorAscii" w:hAnsiTheme="minorAscii"/>
        </w:rPr>
      </w:pPr>
      <w:r>
        <w:rPr>
          <w:rFonts w:asciiTheme="minorAscii" w:hAnsiTheme="minorAscii"/>
          <w:b/>
          <w:bCs/>
          <w:color w:val="1F3864"/>
          <w:sz w:val="22"/>
          <w:szCs w:val="22"/>
        </w:rPr>
        <w:t>Conclusion:</w:t>
      </w:r>
    </w:p>
    <w:p w14:paraId="5EF2AD30">
      <w:pPr>
        <w:spacing w:after="160"/>
        <w:jc w:val="both"/>
        <w:rPr>
          <w:rFonts w:asciiTheme="minorAscii" w:hAnsiTheme="minorAscii"/>
        </w:rPr>
      </w:pPr>
      <w:r>
        <w:rPr>
          <w:rFonts w:asciiTheme="minorAscii" w:hAnsiTheme="minorAscii"/>
          <w:b w:val="0"/>
          <w:bCs w:val="0"/>
          <w:i w:val="0"/>
          <w:iCs w:val="0"/>
          <w:sz w:val="22"/>
          <w:szCs w:val="22"/>
        </w:rPr>
        <w:t>The data best supports an OTA x 31-60-day lead-time interaction effect — not a pure channel effect, not a pure lead-time effect, and not a city/season effect. OTA bookings made 31-60 days before check-in are the specific risk pocket, holding consistently across markets (Chennai and non-Chennai cities show nearly identical elevated rates within this window).</w:t>
      </w:r>
    </w:p>
    <w:p w14:paraId="65A5F635">
      <w:pPr>
        <w:pStyle w:val="3"/>
        <w:jc w:val="both"/>
        <w:rPr>
          <w:rFonts w:asciiTheme="minorAscii" w:hAnsiTheme="minorAscii"/>
        </w:rPr>
      </w:pPr>
      <w:r>
        <w:rPr>
          <w:rFonts w:asciiTheme="minorAscii" w:hAnsiTheme="minorAscii"/>
        </w:rPr>
        <w:t>A4. Targeted Recommendation</w:t>
      </w:r>
    </w:p>
    <w:p w14:paraId="28009D9B">
      <w:pPr>
        <w:spacing w:before="120" w:after="60"/>
        <w:jc w:val="both"/>
        <w:rPr>
          <w:rFonts w:asciiTheme="minorAscii" w:hAnsiTheme="minorAscii"/>
        </w:rPr>
      </w:pPr>
      <w:r>
        <w:rPr>
          <w:rFonts w:asciiTheme="minorAscii" w:hAnsiTheme="minorAscii"/>
          <w:b/>
          <w:bCs/>
          <w:color w:val="1F3864"/>
          <w:sz w:val="22"/>
          <w:szCs w:val="22"/>
        </w:rPr>
        <w:t>WHO:</w:t>
      </w:r>
    </w:p>
    <w:p w14:paraId="5C33304E">
      <w:pPr>
        <w:spacing w:after="160"/>
        <w:jc w:val="both"/>
        <w:rPr>
          <w:rFonts w:asciiTheme="minorAscii" w:hAnsiTheme="minorAscii"/>
        </w:rPr>
      </w:pPr>
      <w:r>
        <w:rPr>
          <w:rFonts w:asciiTheme="minorAscii" w:hAnsiTheme="minorAscii"/>
          <w:b w:val="0"/>
          <w:bCs w:val="0"/>
          <w:i w:val="0"/>
          <w:iCs w:val="0"/>
          <w:sz w:val="22"/>
          <w:szCs w:val="22"/>
        </w:rPr>
        <w:t>OTA bookings with 31-60 day lead time — 943 bookings, 257 cancellations, 27.25% cancel rate (the single worst-rate slice that is also high-volume, per A2/A3).</w:t>
      </w:r>
    </w:p>
    <w:p w14:paraId="4BBC3751">
      <w:pPr>
        <w:spacing w:before="120" w:after="60"/>
        <w:jc w:val="both"/>
        <w:rPr>
          <w:rFonts w:asciiTheme="minorAscii" w:hAnsiTheme="minorAscii"/>
        </w:rPr>
      </w:pPr>
      <w:r>
        <w:rPr>
          <w:rFonts w:asciiTheme="minorAscii" w:hAnsiTheme="minorAscii"/>
          <w:b/>
          <w:bCs/>
          <w:color w:val="1F3864"/>
          <w:sz w:val="22"/>
          <w:szCs w:val="22"/>
        </w:rPr>
        <w:t>WHAT:</w:t>
      </w:r>
    </w:p>
    <w:p w14:paraId="27797D7D">
      <w:pPr>
        <w:spacing w:after="160"/>
        <w:jc w:val="both"/>
        <w:rPr>
          <w:rFonts w:asciiTheme="minorAscii" w:hAnsiTheme="minorAscii"/>
        </w:rPr>
      </w:pPr>
      <w:r>
        <w:rPr>
          <w:rFonts w:asciiTheme="minorAscii" w:hAnsiTheme="minorAscii"/>
          <w:b w:val="0"/>
          <w:bCs w:val="0"/>
          <w:i w:val="0"/>
          <w:iCs w:val="0"/>
          <w:sz w:val="22"/>
          <w:szCs w:val="22"/>
        </w:rPr>
        <w:t>A 15-20% non-refundable deposit collected at booking time, applied only to this slice (OTA + 31-60 day lead time). A deposit is preferred over an outright non-refundable policy because OTA is a volume-driving channel — an overly aggressive policy risks suppressing bookings, not just cancellations.</w:t>
      </w:r>
    </w:p>
    <w:p w14:paraId="31B2A9E9">
      <w:pPr>
        <w:spacing w:before="120" w:after="60"/>
        <w:jc w:val="both"/>
        <w:rPr>
          <w:rFonts w:asciiTheme="minorAscii" w:hAnsiTheme="minorAscii"/>
        </w:rPr>
      </w:pPr>
      <w:r>
        <w:rPr>
          <w:rFonts w:asciiTheme="minorAscii" w:hAnsiTheme="minorAscii"/>
          <w:b/>
          <w:bCs/>
          <w:color w:val="1F3864"/>
          <w:sz w:val="22"/>
          <w:szCs w:val="22"/>
        </w:rPr>
        <w:t>QUANTIFIED IMPACT:</w:t>
      </w:r>
    </w:p>
    <w:p w14:paraId="1D964BBC">
      <w:pPr>
        <w:spacing w:after="160"/>
        <w:jc w:val="both"/>
        <w:rPr>
          <w:rFonts w:asciiTheme="minorAscii" w:hAnsiTheme="minorAscii"/>
        </w:rPr>
      </w:pPr>
      <w:r>
        <w:rPr>
          <w:rFonts w:asciiTheme="minorAscii" w:hAnsiTheme="minorAscii"/>
          <w:b w:val="0"/>
          <w:bCs w:val="0"/>
          <w:i w:val="0"/>
          <w:iCs w:val="0"/>
          <w:sz w:val="22"/>
          <w:szCs w:val="22"/>
        </w:rPr>
        <w:t>Baseline: 943 bookings, 257 cancellations, 27.25% rate. Target range: reduce to between platform average (19.15%) and OTA's own overall baseline (21.96%).</w:t>
      </w:r>
    </w:p>
    <w:p w14:paraId="1DCD6472">
      <w:pPr>
        <w:pStyle w:val="16"/>
        <w:numPr>
          <w:ilvl w:val="0"/>
          <w:numId w:val="1"/>
        </w:numPr>
        <w:spacing w:after="80"/>
        <w:jc w:val="both"/>
        <w:rPr>
          <w:rFonts w:asciiTheme="minorAscii" w:hAnsiTheme="minorAscii"/>
        </w:rPr>
      </w:pPr>
      <w:r>
        <w:rPr>
          <w:rFonts w:asciiTheme="minorAscii" w:hAnsiTheme="minorAscii"/>
          <w:sz w:val="22"/>
          <w:szCs w:val="22"/>
        </w:rPr>
        <w:t>Lower bound: 943 x (27.25% - 21.96%) = 943 x 0.0529 ≈ 50 fewer cancellations</w:t>
      </w:r>
    </w:p>
    <w:p w14:paraId="17CA94E7">
      <w:pPr>
        <w:pStyle w:val="16"/>
        <w:numPr>
          <w:ilvl w:val="0"/>
          <w:numId w:val="1"/>
        </w:numPr>
        <w:spacing w:after="80"/>
        <w:jc w:val="both"/>
        <w:rPr>
          <w:rFonts w:asciiTheme="minorAscii" w:hAnsiTheme="minorAscii"/>
        </w:rPr>
      </w:pPr>
      <w:r>
        <w:rPr>
          <w:rFonts w:asciiTheme="minorAscii" w:hAnsiTheme="minorAscii"/>
          <w:sz w:val="22"/>
          <w:szCs w:val="22"/>
        </w:rPr>
        <w:t>Upper bound: 943 x (27.25% - 19.15%) = 943 x 0.0810 ≈ 76 fewer cancellations</w:t>
      </w:r>
    </w:p>
    <w:p w14:paraId="75A0EF55">
      <w:pPr>
        <w:spacing w:after="160"/>
        <w:jc w:val="both"/>
        <w:rPr>
          <w:rFonts w:asciiTheme="minorAscii" w:hAnsiTheme="minorAscii"/>
        </w:rPr>
      </w:pPr>
      <w:r>
        <w:rPr>
          <w:rFonts w:asciiTheme="minorAscii" w:hAnsiTheme="minorAscii"/>
          <w:b w:val="0"/>
          <w:bCs w:val="0"/>
          <w:i w:val="0"/>
          <w:iCs w:val="0"/>
          <w:sz w:val="22"/>
          <w:szCs w:val="22"/>
        </w:rPr>
        <w:t>Platform-wide denominator: 11,821 clean bookings, current total cancellations = 2,264 (19.15%).</w:t>
      </w:r>
    </w:p>
    <w:p w14:paraId="064DA73A">
      <w:pPr>
        <w:pStyle w:val="16"/>
        <w:numPr>
          <w:ilvl w:val="0"/>
          <w:numId w:val="1"/>
        </w:numPr>
        <w:spacing w:after="80"/>
        <w:jc w:val="both"/>
        <w:rPr>
          <w:rFonts w:asciiTheme="minorAscii" w:hAnsiTheme="minorAscii"/>
        </w:rPr>
      </w:pPr>
      <w:r>
        <w:rPr>
          <w:rFonts w:asciiTheme="minorAscii" w:hAnsiTheme="minorAscii"/>
          <w:sz w:val="22"/>
          <w:szCs w:val="22"/>
        </w:rPr>
        <w:t>Lower bound impact: 50 / 11,821 ≈ 0.42 percentage points</w:t>
      </w:r>
    </w:p>
    <w:p w14:paraId="39F8AEDF">
      <w:pPr>
        <w:pStyle w:val="16"/>
        <w:numPr>
          <w:ilvl w:val="0"/>
          <w:numId w:val="1"/>
        </w:numPr>
        <w:spacing w:after="80"/>
        <w:jc w:val="both"/>
        <w:rPr>
          <w:rFonts w:asciiTheme="minorAscii" w:hAnsiTheme="minorAscii"/>
        </w:rPr>
      </w:pPr>
      <w:r>
        <w:rPr>
          <w:rFonts w:asciiTheme="minorAscii" w:hAnsiTheme="minorAscii"/>
          <w:sz w:val="22"/>
          <w:szCs w:val="22"/>
        </w:rPr>
        <w:t>Upper bound impact: 76 / 11,821 ≈ 0.64 percentage points</w:t>
      </w:r>
    </w:p>
    <w:p w14:paraId="272AE7B1">
      <w:pPr>
        <w:spacing w:before="120" w:after="60"/>
        <w:jc w:val="both"/>
        <w:rPr>
          <w:rFonts w:asciiTheme="minorAscii" w:hAnsiTheme="minorAscii"/>
        </w:rPr>
      </w:pPr>
      <w:r>
        <w:rPr>
          <w:rFonts w:asciiTheme="minorAscii" w:hAnsiTheme="minorAscii"/>
          <w:b/>
          <w:bCs/>
          <w:color w:val="1F3864"/>
          <w:sz w:val="22"/>
          <w:szCs w:val="22"/>
        </w:rPr>
        <w:t>Expected platform-wide impact: approximately 0.4-0.6 percentage points</w:t>
      </w:r>
    </w:p>
    <w:p w14:paraId="5658475E">
      <w:pPr>
        <w:spacing w:after="160"/>
        <w:jc w:val="both"/>
        <w:rPr>
          <w:rFonts w:asciiTheme="minorAscii" w:hAnsiTheme="minorAscii"/>
        </w:rPr>
      </w:pPr>
      <w:r>
        <w:rPr>
          <w:rFonts w:asciiTheme="minorAscii" w:hAnsiTheme="minorAscii"/>
          <w:b w:val="0"/>
          <w:bCs w:val="0"/>
          <w:i w:val="0"/>
          <w:iCs w:val="0"/>
          <w:sz w:val="22"/>
          <w:szCs w:val="22"/>
        </w:rPr>
        <w:t>(cancellation rate moves from 19.15% to roughly 18.5-18.7%). This single intervention is insufficient alone to close the board's full 5pp gap, since this slice is only 943 of 11,821 bookings (~8.0% of volume). Reaching the full target would require applying similar targeted interventions to the next-worst slices (e.g., Corporate Portal x 31-60, at 24.3%) in addition to this one.</w:t>
      </w:r>
    </w:p>
    <w:p w14:paraId="3B2EB3EB">
      <w:pPr>
        <w:spacing w:before="120" w:after="60"/>
        <w:jc w:val="both"/>
        <w:rPr>
          <w:rFonts w:asciiTheme="minorAscii" w:hAnsiTheme="minorAscii"/>
        </w:rPr>
      </w:pPr>
      <w:r>
        <w:rPr>
          <w:rFonts w:asciiTheme="minorAscii" w:hAnsiTheme="minorAscii"/>
          <w:b/>
          <w:bCs/>
          <w:color w:val="1F3864"/>
          <w:sz w:val="22"/>
          <w:szCs w:val="22"/>
        </w:rPr>
        <w:t>RISK / collateral effect:</w:t>
      </w:r>
    </w:p>
    <w:p w14:paraId="2E25F1EE">
      <w:pPr>
        <w:spacing w:after="160"/>
        <w:jc w:val="both"/>
        <w:rPr>
          <w:rFonts w:asciiTheme="minorAscii" w:hAnsiTheme="minorAscii"/>
        </w:rPr>
      </w:pPr>
      <w:r>
        <w:rPr>
          <w:rFonts w:asciiTheme="minorAscii" w:hAnsiTheme="minorAscii"/>
          <w:b w:val="0"/>
          <w:bCs w:val="0"/>
          <w:i w:val="0"/>
          <w:iCs w:val="0"/>
          <w:sz w:val="22"/>
          <w:szCs w:val="22"/>
        </w:rPr>
        <w:t>A deposit requirement may suppress OTA conversion/bookings — the same price-sensitive, comparison-shopping customer behavior that drives high cancellation may also make this segment deposit-averse, trading a cancellation problem for an acquisition problem.</w:t>
      </w:r>
    </w:p>
    <w:p w14:paraId="649CEDCB">
      <w:pPr>
        <w:rPr>
          <w:rFonts w:asciiTheme="minorAscii" w:hAnsiTheme="minorAscii"/>
        </w:rPr>
      </w:pPr>
      <w:r>
        <w:rPr>
          <w:rFonts w:asciiTheme="minorAscii" w:hAnsiTheme="minorAscii"/>
        </w:rPr>
        <w:br w:type="page"/>
      </w:r>
    </w:p>
    <w:p w14:paraId="66767EE1">
      <w:pPr>
        <w:pStyle w:val="2"/>
        <w:jc w:val="both"/>
        <w:rPr>
          <w:rFonts w:asciiTheme="minorAscii" w:hAnsiTheme="minorAscii"/>
        </w:rPr>
      </w:pPr>
      <w:r>
        <w:rPr>
          <w:rFonts w:asciiTheme="minorAscii" w:hAnsiTheme="minorAscii"/>
        </w:rPr>
        <w:t>Section 3 — SQL Challenge</w:t>
      </w:r>
    </w:p>
    <w:p w14:paraId="765318C3">
      <w:pPr>
        <w:spacing w:after="160"/>
        <w:jc w:val="both"/>
        <w:rPr>
          <w:rFonts w:asciiTheme="minorAscii" w:hAnsiTheme="minorAscii"/>
        </w:rPr>
      </w:pPr>
      <w:r>
        <w:rPr>
          <w:rFonts w:asciiTheme="minorAscii" w:hAnsiTheme="minorAscii"/>
          <w:b w:val="0"/>
          <w:bCs w:val="0"/>
          <w:i w:val="0"/>
          <w:iCs w:val="0"/>
          <w:sz w:val="22"/>
          <w:szCs w:val="22"/>
        </w:rPr>
        <w:t>Full schema CREATE TABLE statements and complete SQL queries are provided as plain text in the separate file sql_section3.docx (included in this submission). This section gives a brief summary of the design and results.</w:t>
      </w:r>
    </w:p>
    <w:p w14:paraId="499F203C">
      <w:pPr>
        <w:spacing w:after="160"/>
        <w:jc w:val="both"/>
        <w:rPr>
          <w:rFonts w:asciiTheme="minorAscii" w:hAnsiTheme="minorAscii"/>
        </w:rPr>
      </w:pPr>
      <w:r>
        <w:rPr>
          <w:rFonts w:asciiTheme="minorAscii" w:hAnsiTheme="minorAscii"/>
          <w:b w:val="0"/>
          <w:bCs w:val="0"/>
          <w:i w:val="0"/>
          <w:iCs w:val="0"/>
          <w:sz w:val="22"/>
          <w:szCs w:val="22"/>
        </w:rPr>
        <w:t>Dialect note: queries were designed conceptually against the normalized schema described below, but executed against the flat CSV loaded as a single table (bookings_flat) in an in-memory SQLite database via Python (sqlite3 + pandas), as permitted by the assessment instructions.</w:t>
      </w:r>
    </w:p>
    <w:p w14:paraId="1281B854">
      <w:pPr>
        <w:pStyle w:val="3"/>
        <w:jc w:val="both"/>
        <w:rPr>
          <w:rFonts w:asciiTheme="minorAscii" w:hAnsiTheme="minorAscii"/>
        </w:rPr>
      </w:pPr>
      <w:r>
        <w:rPr>
          <w:rFonts w:asciiTheme="minorAscii" w:hAnsiTheme="minorAscii"/>
        </w:rPr>
        <w:t>Schema Design — Summary</w:t>
      </w:r>
    </w:p>
    <w:p w14:paraId="02597C32">
      <w:pPr>
        <w:spacing w:after="160"/>
        <w:jc w:val="both"/>
        <w:rPr>
          <w:rFonts w:asciiTheme="minorAscii" w:hAnsiTheme="minorAscii"/>
        </w:rPr>
      </w:pPr>
      <w:r>
        <w:rPr>
          <w:rFonts w:asciiTheme="minorAscii" w:hAnsiTheme="minorAscii"/>
          <w:b w:val="0"/>
          <w:bCs w:val="0"/>
          <w:i w:val="0"/>
          <w:iCs w:val="0"/>
          <w:sz w:val="22"/>
          <w:szCs w:val="22"/>
        </w:rPr>
        <w:t>Four normalized tables were designed: customers, properties, bookings, reviews. Each column specifies a SQL data type, primary/foreign key status, NOT NULL constraints where appropriate, and at least one CHECK/UNIQUE constraint tied to a footnote (see sql_section3.docx for full CREATE TABLE statements).</w:t>
      </w:r>
    </w:p>
    <w:p w14:paraId="478E9115">
      <w:pPr>
        <w:pStyle w:val="16"/>
        <w:numPr>
          <w:ilvl w:val="0"/>
          <w:numId w:val="1"/>
        </w:numPr>
        <w:spacing w:after="80"/>
        <w:jc w:val="both"/>
        <w:rPr>
          <w:rFonts w:asciiTheme="minorAscii" w:hAnsiTheme="minorAscii"/>
        </w:rPr>
      </w:pPr>
      <w:r>
        <w:rPr>
          <w:rFonts w:asciiTheme="minorAscii" w:hAnsiTheme="minorAscii"/>
          <w:sz w:val="22"/>
          <w:szCs w:val="22"/>
        </w:rPr>
        <w:t>total_amount and adr use DECIMAL, not FLOAT — money should never use floating point due to rounding errors.</w:t>
      </w:r>
    </w:p>
    <w:p w14:paraId="1E073E45">
      <w:pPr>
        <w:pStyle w:val="16"/>
        <w:numPr>
          <w:ilvl w:val="0"/>
          <w:numId w:val="1"/>
        </w:numPr>
        <w:spacing w:after="80"/>
        <w:jc w:val="both"/>
        <w:rPr>
          <w:rFonts w:asciiTheme="minorAscii" w:hAnsiTheme="minorAscii"/>
        </w:rPr>
      </w:pPr>
      <w:r>
        <w:rPr>
          <w:rFonts w:asciiTheme="minorAscii" w:hAnsiTheme="minorAscii"/>
          <w:sz w:val="22"/>
          <w:szCs w:val="22"/>
        </w:rPr>
        <w:t>bookings.CHECK (checkout_date &gt; checkin_date) directly enforces Footnote 1 at the schema level — invalid stays become structurally impossible going forward, even though the raw CSV has 120 of them.</w:t>
      </w:r>
    </w:p>
    <w:p w14:paraId="51A34515">
      <w:pPr>
        <w:pStyle w:val="16"/>
        <w:numPr>
          <w:ilvl w:val="0"/>
          <w:numId w:val="1"/>
        </w:numPr>
        <w:spacing w:after="80"/>
        <w:jc w:val="both"/>
        <w:rPr>
          <w:rFonts w:asciiTheme="minorAscii" w:hAnsiTheme="minorAscii"/>
        </w:rPr>
      </w:pPr>
      <w:r>
        <w:rPr>
          <w:rFonts w:asciiTheme="minorAscii" w:hAnsiTheme="minorAscii"/>
          <w:sz w:val="22"/>
          <w:szCs w:val="22"/>
        </w:rPr>
        <w:t>properties.UNIQUE(property_name, property_city, property_id) addresses Footnote 4 — property names repeat across cities with different IDs (e.g. 'The Grand Plaza' exists in both Bangalore and Kochi as two distinct properties), so property_id is the true uniqueness anchor, never property_name alone.</w:t>
      </w:r>
    </w:p>
    <w:p w14:paraId="79E5CAD0">
      <w:pPr>
        <w:pStyle w:val="16"/>
        <w:numPr>
          <w:ilvl w:val="0"/>
          <w:numId w:val="1"/>
        </w:numPr>
        <w:spacing w:after="80"/>
        <w:jc w:val="both"/>
        <w:rPr>
          <w:rFonts w:asciiTheme="minorAscii" w:hAnsiTheme="minorAscii"/>
        </w:rPr>
      </w:pPr>
      <w:r>
        <w:rPr>
          <w:rFonts w:asciiTheme="minorAscii" w:hAnsiTheme="minorAscii"/>
          <w:sz w:val="22"/>
          <w:szCs w:val="22"/>
        </w:rPr>
        <w:t>reviews is a separate table since a review is optional and 1:1 with a booking — UNIQUE on booking_id enforces that. Application-level logic should prevent inserting a review for a Cancelled booking, addressing Footnote 5.</w:t>
      </w:r>
    </w:p>
    <w:p w14:paraId="1701292C">
      <w:pPr>
        <w:pStyle w:val="16"/>
        <w:numPr>
          <w:ilvl w:val="0"/>
          <w:numId w:val="1"/>
        </w:numPr>
        <w:spacing w:after="80"/>
        <w:jc w:val="both"/>
        <w:rPr>
          <w:rFonts w:asciiTheme="minorAscii" w:hAnsiTheme="minorAscii"/>
        </w:rPr>
      </w:pPr>
      <w:r>
        <w:rPr>
          <w:rFonts w:asciiTheme="minorAscii" w:hAnsiTheme="minorAscii"/>
          <w:sz w:val="22"/>
          <w:szCs w:val="22"/>
        </w:rPr>
        <w:t>customer_loyalty_tier defaults to and explicitly allows the literal string 'None' (Footnote 7) rather than a NULL, preserving the distinction between 'no tier' (valid value) and missing data.</w:t>
      </w:r>
    </w:p>
    <w:p w14:paraId="54EC4E3A">
      <w:pPr>
        <w:pStyle w:val="3"/>
        <w:jc w:val="both"/>
        <w:rPr>
          <w:rFonts w:asciiTheme="minorAscii" w:hAnsiTheme="minorAscii"/>
        </w:rPr>
      </w:pPr>
      <w:r>
        <w:rPr>
          <w:rFonts w:asciiTheme="minorAscii" w:hAnsiTheme="minorAscii"/>
        </w:rPr>
        <w:t>SQL Queries — Summary</w:t>
      </w:r>
    </w:p>
    <w:p w14:paraId="2A0A4A64">
      <w:pPr>
        <w:pStyle w:val="4"/>
        <w:jc w:val="both"/>
        <w:rPr>
          <w:rFonts w:asciiTheme="minorAscii" w:hAnsiTheme="minorAscii"/>
        </w:rPr>
      </w:pPr>
      <w:r>
        <w:rPr>
          <w:rFonts w:asciiTheme="minorAscii" w:hAnsiTheme="minorAscii"/>
        </w:rPr>
        <w:t>A-Q1: Highest Realized Revenue per City</w:t>
      </w:r>
    </w:p>
    <w:p w14:paraId="313F27CB">
      <w:pPr>
        <w:spacing w:after="160"/>
        <w:jc w:val="both"/>
        <w:rPr>
          <w:rFonts w:asciiTheme="minorAscii" w:hAnsiTheme="minorAscii"/>
        </w:rPr>
      </w:pPr>
      <w:r>
        <w:rPr>
          <w:rFonts w:asciiTheme="minorAscii" w:hAnsiTheme="minorAscii"/>
          <w:b w:val="0"/>
          <w:bCs w:val="0"/>
          <w:i w:val="0"/>
          <w:iCs w:val="0"/>
          <w:sz w:val="22"/>
          <w:szCs w:val="22"/>
        </w:rPr>
        <w:t>RANK() OVER (PARTITION BY property_city ORDER BY revenue DESC), revenue from Completed bookings only (Footnote 8), grouped by property_id not property_name (Footnote 4). Full query text in sql_section3.docx.</w:t>
      </w:r>
    </w:p>
    <w:p w14:paraId="07DBACBA">
      <w:pPr>
        <w:spacing w:before="120" w:after="60"/>
        <w:jc w:val="both"/>
        <w:rPr>
          <w:rFonts w:asciiTheme="minorAscii" w:hAnsiTheme="minorAscii"/>
        </w:rPr>
      </w:pPr>
      <w:r>
        <w:rPr>
          <w:rFonts w:asciiTheme="minorAscii" w:hAnsiTheme="minorAscii"/>
          <w:b/>
          <w:bCs/>
          <w:color w:val="1F3864"/>
          <w:sz w:val="22"/>
          <w:szCs w:val="22"/>
        </w:rPr>
        <w:t>Result: 10 rows (one per city).</w:t>
      </w:r>
    </w:p>
    <w:p w14:paraId="7810C198">
      <w:pPr>
        <w:spacing w:after="160"/>
        <w:jc w:val="both"/>
        <w:rPr>
          <w:rFonts w:asciiTheme="minorAscii" w:hAnsiTheme="minorAscii"/>
        </w:rPr>
      </w:pPr>
      <w:r>
        <w:rPr>
          <w:rFonts w:asciiTheme="minorAscii" w:hAnsiTheme="minorAscii"/>
          <w:b w:val="0"/>
          <w:bCs w:val="0"/>
          <w:i/>
          <w:iCs/>
          <w:sz w:val="22"/>
          <w:szCs w:val="22"/>
        </w:rPr>
        <w:t>Notable: 'The Grand Plaza' is the top property in both Bangalore (property_id 2) and Kochi (property_id 1) — two distinct properties sharing a name, confirming Footnote 4 and validating that grouping by property_id was essential.</w:t>
      </w:r>
    </w:p>
    <w:p w14:paraId="39BA524A">
      <w:pPr>
        <w:pStyle w:val="4"/>
        <w:jc w:val="both"/>
        <w:rPr>
          <w:rFonts w:asciiTheme="minorAscii" w:hAnsiTheme="minorAscii"/>
        </w:rPr>
      </w:pPr>
      <w:r>
        <w:rPr>
          <w:rFonts w:asciiTheme="minorAscii" w:hAnsiTheme="minorAscii"/>
        </w:rPr>
        <w:t>A-Q2: Customers with Average Booking Gap Under 30 Days</w:t>
      </w:r>
    </w:p>
    <w:p w14:paraId="69FC5600">
      <w:pPr>
        <w:spacing w:after="160"/>
        <w:jc w:val="both"/>
        <w:rPr>
          <w:rFonts w:asciiTheme="minorAscii" w:hAnsiTheme="minorAscii"/>
        </w:rPr>
      </w:pPr>
      <w:r>
        <w:rPr>
          <w:rFonts w:asciiTheme="minorAscii" w:hAnsiTheme="minorAscii"/>
          <w:b w:val="0"/>
          <w:bCs w:val="0"/>
          <w:i w:val="0"/>
          <w:iCs w:val="0"/>
          <w:sz w:val="22"/>
          <w:szCs w:val="22"/>
        </w:rPr>
        <w:t>LAG() OVER (PARTITION BY customer_id ORDER BY checkin_date), restricted to Completed bookings, computes the gap in days between consecutive bookings per customer, averaged per customer. Full query text in sql_section3.docx.</w:t>
      </w:r>
    </w:p>
    <w:p w14:paraId="65828C5C">
      <w:pPr>
        <w:spacing w:before="120" w:after="60"/>
        <w:jc w:val="both"/>
        <w:rPr>
          <w:rFonts w:asciiTheme="minorAscii" w:hAnsiTheme="minorAscii"/>
        </w:rPr>
      </w:pPr>
      <w:r>
        <w:rPr>
          <w:rFonts w:asciiTheme="minorAscii" w:hAnsiTheme="minorAscii"/>
          <w:b/>
          <w:bCs/>
          <w:color w:val="1F3864"/>
          <w:sz w:val="22"/>
          <w:szCs w:val="22"/>
        </w:rPr>
        <w:t>Answer: 445 customers</w:t>
      </w:r>
    </w:p>
    <w:p w14:paraId="31C79B53">
      <w:pPr>
        <w:spacing w:after="160"/>
        <w:jc w:val="both"/>
        <w:rPr>
          <w:rFonts w:asciiTheme="minorAscii" w:hAnsiTheme="minorAscii"/>
        </w:rPr>
      </w:pPr>
      <w:r>
        <w:rPr>
          <w:rFonts w:asciiTheme="minorAscii" w:hAnsiTheme="minorAscii"/>
          <w:b w:val="0"/>
          <w:bCs w:val="0"/>
          <w:i w:val="0"/>
          <w:iCs w:val="0"/>
          <w:sz w:val="22"/>
          <w:szCs w:val="22"/>
        </w:rPr>
        <w:t>have an average gap under 30 days between consecutive Completed bookings.</w:t>
      </w:r>
    </w:p>
    <w:p w14:paraId="3DCFE051">
      <w:pPr>
        <w:spacing w:after="160"/>
        <w:jc w:val="both"/>
        <w:rPr>
          <w:rFonts w:asciiTheme="minorAscii" w:hAnsiTheme="minorAscii"/>
        </w:rPr>
      </w:pPr>
      <w:r>
        <w:rPr>
          <w:rFonts w:asciiTheme="minorAscii" w:hAnsiTheme="minorAscii"/>
          <w:b w:val="0"/>
          <w:bCs w:val="0"/>
          <w:i/>
          <w:iCs/>
          <w:sz w:val="22"/>
          <w:szCs w:val="22"/>
        </w:rPr>
        <w:t>Dialect note: SQLite has no native date-subtraction operator, so julianday() converts dates to numeric day values before subtracting.</w:t>
      </w:r>
    </w:p>
    <w:p w14:paraId="76851895">
      <w:pPr>
        <w:rPr>
          <w:rFonts w:asciiTheme="minorAscii" w:hAnsiTheme="minorAscii"/>
        </w:rPr>
      </w:pPr>
      <w:r>
        <w:rPr>
          <w:rFonts w:asciiTheme="minorAscii" w:hAnsiTheme="minorAscii"/>
        </w:rPr>
        <w:br w:type="page"/>
      </w:r>
    </w:p>
    <w:p w14:paraId="4F49465F">
      <w:pPr>
        <w:pStyle w:val="2"/>
        <w:rPr>
          <w:rFonts w:asciiTheme="minorAscii" w:hAnsiTheme="minorAscii"/>
        </w:rPr>
      </w:pPr>
      <w:r>
        <w:rPr>
          <w:rFonts w:asciiTheme="minorAscii" w:hAnsiTheme="minorAscii"/>
        </w:rPr>
        <w:t>Section 4 — Mini-Project Summary</w:t>
      </w:r>
    </w:p>
    <w:p w14:paraId="0D058800">
      <w:pPr>
        <w:spacing w:after="160"/>
        <w:jc w:val="both"/>
        <w:rPr>
          <w:rFonts w:asciiTheme="minorAscii" w:hAnsiTheme="minorAscii"/>
        </w:rPr>
      </w:pPr>
      <w:r>
        <w:rPr>
          <w:rFonts w:asciiTheme="minorAscii" w:hAnsiTheme="minorAscii"/>
          <w:b w:val="0"/>
          <w:bCs w:val="0"/>
          <w:i w:val="0"/>
          <w:iCs w:val="0"/>
          <w:sz w:val="22"/>
          <w:szCs w:val="22"/>
        </w:rPr>
        <w:t>Full working code, README, and AI-usage note are delivered separately in the project/ folder, as required. This page summarizes the build and the core insight for reference.</w:t>
      </w:r>
    </w:p>
    <w:p w14:paraId="21E2FFEB">
      <w:pPr>
        <w:pStyle w:val="3"/>
        <w:jc w:val="both"/>
        <w:rPr>
          <w:rFonts w:asciiTheme="minorAscii" w:hAnsiTheme="minorAscii"/>
        </w:rPr>
      </w:pPr>
      <w:r>
        <w:rPr>
          <w:rFonts w:asciiTheme="minorAscii" w:hAnsiTheme="minorAscii"/>
        </w:rPr>
        <w:t>What Was Built</w:t>
      </w:r>
    </w:p>
    <w:p w14:paraId="6E46B982">
      <w:pPr>
        <w:spacing w:after="160"/>
        <w:jc w:val="both"/>
        <w:rPr>
          <w:rFonts w:asciiTheme="minorAscii" w:hAnsiTheme="minorAscii"/>
        </w:rPr>
      </w:pPr>
      <w:r>
        <w:rPr>
          <w:rFonts w:asciiTheme="minorAscii" w:hAnsiTheme="minorAscii"/>
          <w:b w:val="0"/>
          <w:bCs w:val="0"/>
          <w:i w:val="0"/>
          <w:iCs w:val="0"/>
          <w:sz w:val="22"/>
          <w:szCs w:val="22"/>
        </w:rPr>
        <w:t>A Weather-Cancellation Analyzer for Set A: fetched real 2024 daily weather (precipitation, max temperature) for Goa and Manali from the Open-Meteo Historical Weather API (archive-api.open-meteo.com/v1/era5), merged it onto each booking's check-in date, and tested whether heavy rain or extreme temperature correlates with cancellation/no-show rates.</w:t>
      </w:r>
    </w:p>
    <w:p w14:paraId="3913D17A">
      <w:pPr>
        <w:pStyle w:val="16"/>
        <w:numPr>
          <w:ilvl w:val="0"/>
          <w:numId w:val="1"/>
        </w:numPr>
        <w:spacing w:after="80"/>
        <w:jc w:val="both"/>
        <w:rPr>
          <w:rFonts w:asciiTheme="minorAscii" w:hAnsiTheme="minorAscii"/>
        </w:rPr>
      </w:pPr>
      <w:r>
        <w:rPr>
          <w:rFonts w:asciiTheme="minorAscii" w:hAnsiTheme="minorAscii"/>
          <w:sz w:val="22"/>
          <w:szCs w:val="22"/>
        </w:rPr>
        <w:t>Scope: 1,604 bookings (891 Goa, 713 Manali), all 2024 check-ins</w:t>
      </w:r>
    </w:p>
    <w:p w14:paraId="54B0A74E">
      <w:pPr>
        <w:pStyle w:val="16"/>
        <w:numPr>
          <w:ilvl w:val="0"/>
          <w:numId w:val="1"/>
        </w:numPr>
        <w:spacing w:after="80"/>
        <w:jc w:val="both"/>
        <w:rPr>
          <w:rFonts w:asciiTheme="minorAscii" w:hAnsiTheme="minorAscii"/>
        </w:rPr>
      </w:pPr>
      <w:r>
        <w:rPr>
          <w:rFonts w:asciiTheme="minorAscii" w:hAnsiTheme="minorAscii"/>
          <w:sz w:val="22"/>
          <w:szCs w:val="22"/>
        </w:rPr>
        <w:t>API calls: 2 total (one per city, full-year date range) — batched per the assignment's 'do not hit the API once per row' requirement</w:t>
      </w:r>
    </w:p>
    <w:p w14:paraId="2B6741B3">
      <w:pPr>
        <w:pStyle w:val="16"/>
        <w:numPr>
          <w:ilvl w:val="0"/>
          <w:numId w:val="1"/>
        </w:numPr>
        <w:spacing w:after="80"/>
        <w:jc w:val="both"/>
        <w:rPr>
          <w:rFonts w:asciiTheme="minorAscii" w:hAnsiTheme="minorAscii"/>
        </w:rPr>
      </w:pPr>
      <w:r>
        <w:rPr>
          <w:rFonts w:asciiTheme="minorAscii" w:hAnsiTheme="minorAscii"/>
          <w:sz w:val="22"/>
          <w:szCs w:val="22"/>
        </w:rPr>
        <w:t>Merge: joined on (property_city, checkin_date) after date normalization — 0 unmatched rows out of 1,604</w:t>
      </w:r>
    </w:p>
    <w:p w14:paraId="7063EF52">
      <w:pPr>
        <w:pStyle w:val="16"/>
        <w:numPr>
          <w:ilvl w:val="0"/>
          <w:numId w:val="1"/>
        </w:numPr>
        <w:spacing w:after="80"/>
        <w:jc w:val="both"/>
        <w:rPr>
          <w:rFonts w:asciiTheme="minorAscii" w:hAnsiTheme="minorAscii"/>
        </w:rPr>
      </w:pPr>
      <w:r>
        <w:rPr>
          <w:rFonts w:asciiTheme="minorAscii" w:hAnsiTheme="minorAscii"/>
          <w:sz w:val="22"/>
          <w:szCs w:val="22"/>
        </w:rPr>
        <w:t>Error handling: try/except covering Timeout, RequestException, and malformed JSON response, so a network failure would not crash the run</w:t>
      </w:r>
    </w:p>
    <w:p w14:paraId="4E026788">
      <w:pPr>
        <w:pStyle w:val="3"/>
        <w:rPr>
          <w:rFonts w:asciiTheme="minorAscii" w:hAnsiTheme="minorAscii"/>
        </w:rPr>
      </w:pPr>
      <w:r>
        <w:rPr>
          <w:rFonts w:asciiTheme="minorAscii" w:hAnsiTheme="minorAscii"/>
        </w:rPr>
        <w:t>The Insight</w:t>
      </w:r>
    </w:p>
    <w:p w14:paraId="46C6B211">
      <w:pPr>
        <w:spacing w:before="120" w:after="120"/>
        <w:jc w:val="center"/>
        <w:rPr>
          <w:rFonts w:asciiTheme="minorAscii" w:hAnsiTheme="minorAscii"/>
        </w:rPr>
      </w:pPr>
      <w:r>
        <w:rPr>
          <w:rFonts w:asciiTheme="minorAscii" w:hAnsiTheme="minorAscii"/>
        </w:rPr>
        <w:drawing>
          <wp:inline distT="0" distB="0" distL="0" distR="0">
            <wp:extent cx="3714750" cy="247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3714750" cy="2476500"/>
                    </a:xfrm>
                    <a:prstGeom prst="rect">
                      <a:avLst/>
                    </a:prstGeom>
                  </pic:spPr>
                </pic:pic>
              </a:graphicData>
            </a:graphic>
          </wp:inline>
        </w:drawing>
      </w:r>
    </w:p>
    <w:p w14:paraId="35693726">
      <w:pPr>
        <w:spacing w:after="160"/>
        <w:jc w:val="both"/>
        <w:rPr>
          <w:rFonts w:asciiTheme="minorAscii" w:hAnsiTheme="minorAscii"/>
        </w:rPr>
      </w:pPr>
      <w:r>
        <w:rPr>
          <w:rFonts w:asciiTheme="minorAscii" w:hAnsiTheme="minorAscii"/>
          <w:b w:val="0"/>
          <w:bCs w:val="0"/>
          <w:i w:val="0"/>
          <w:iCs w:val="0"/>
          <w:sz w:val="22"/>
          <w:szCs w:val="22"/>
        </w:rPr>
        <w:t>Heavy rainfall on the check-in date is associated with a substantially elevated cancellation and no-show rate in Goa specifically — 39.5% on Heavy Rain days versus 25.8% on Normal days, a 13.7 percentage point increase — but shows no meaningful effect in Manali (24.2% vs 23.3%, a negligible 0.9pp difference). This city-specific pattern would have been invisible without merging live weather data: the dataset alone has no way to distinguish a coincidental cancellation cluster from a genuine weather-driven pattern, let alone reveal that the effect is concentrated in one destination and absent in the other. The likely explanation is that Goa's core appeal (beach, water sports, outdoor dining) is directly disrupted by rain, while Manali's appeal (mountains, snow, scenery) is comparatively weather-resilient — suggesting Goa-specific rain-contingent cancellation policies would be a more targeted intervention than a platform-wide weather policy.</w:t>
      </w:r>
    </w:p>
    <w:sectPr>
      <w:pgSz w:w="12240" w:h="15840"/>
      <w:pgMar w:top="720" w:right="1440" w:bottom="7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trackRevisions w:val="1"/>
  <w:documentProtection w:enforcement="0"/>
  <w:compat>
    <w:compatSetting w:name="compatibilityMode" w:uri="http://schemas.microsoft.com/office/word" w:val="15"/>
  </w:compat>
  <w:rsids>
    <w:rsidRoot w:val="00000000"/>
    <w:rsid w:val="08A81764"/>
    <w:rsid w:val="4A3A0F61"/>
    <w:rsid w:val="4D713E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1F3864" w:sz="8" w:space="4"/>
      </w:pBdr>
      <w:spacing w:before="360" w:after="200"/>
      <w:outlineLvl w:val="0"/>
    </w:pPr>
    <w:rPr>
      <w:rFonts w:ascii="Calibri" w:hAnsi="Calibri" w:eastAsia="Calibri" w:cs="Calibri"/>
      <w:b/>
      <w:bCs/>
      <w:color w:val="1F3864"/>
      <w:sz w:val="32"/>
      <w:szCs w:val="32"/>
    </w:rPr>
  </w:style>
  <w:style w:type="paragraph" w:styleId="3">
    <w:name w:val="heading 2"/>
    <w:next w:val="1"/>
    <w:qFormat/>
    <w:uiPriority w:val="0"/>
    <w:pPr>
      <w:spacing w:before="260" w:after="140"/>
      <w:outlineLvl w:val="1"/>
    </w:pPr>
    <w:rPr>
      <w:rFonts w:ascii="Calibri" w:hAnsi="Calibri" w:eastAsia="Calibri" w:cs="Calibri"/>
      <w:b/>
      <w:bCs/>
      <w:color w:val="2E75B6"/>
      <w:sz w:val="26"/>
      <w:szCs w:val="26"/>
    </w:rPr>
  </w:style>
  <w:style w:type="paragraph" w:styleId="4">
    <w:name w:val="heading 3"/>
    <w:next w:val="1"/>
    <w:qFormat/>
    <w:uiPriority w:val="0"/>
    <w:pPr>
      <w:spacing w:before="180" w:after="100"/>
      <w:outlineLvl w:val="2"/>
    </w:pPr>
    <w:rPr>
      <w:rFonts w:ascii="Calibri" w:hAnsi="Calibri" w:eastAsia="Calibri" w:cs="Calibri"/>
      <w:b/>
      <w:bCs/>
      <w:color w:val="000000"/>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2054</Words>
  <Characters>11707</Characters>
  <TotalTime>9</TotalTime>
  <ScaleCrop>false</ScaleCrop>
  <LinksUpToDate>false</LinksUpToDate>
  <CharactersWithSpaces>13578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2026-06-21T08:58:00Z</dcterms:created>
  <dc:creator>Un-named</dc:creator>
  <cp:lastModifiedBy>NEELKANTH</cp:lastModifiedBy>
  <dcterms:modified xsi:type="dcterms:W3CDTF">2026-06-21T09:29:17Z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eyJoZGlkIjoiZWE2YjEzOWM1YmE0MmQ2MjAyNTZkYzYxMGJkMzNlNGEifQ==</vt:lpwstr>
  </property>
  <property fmtid="{D5CDD505-2E9C-101B-9397-08002B2CF9AE}" pid="3" name="KSOProductBuildVer">
    <vt:lpwstr>1033-12.1.0.26880</vt:lpwstr>
  </property>
  <property fmtid="{D5CDD505-2E9C-101B-9397-08002B2CF9AE}" pid="4" name="ICV">
    <vt:lpwstr>1B953A01248A48C09111F0BA609EE11F_12</vt:lpwstr>
  </property>
</Properties>
</file>