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B6C9B">
      <w:pPr>
        <w:spacing w:before="1200" w:after="200"/>
        <w:jc w:val="center"/>
      </w:pPr>
      <w:r>
        <w:rPr>
          <w:b/>
          <w:bCs/>
          <w:color w:val="1F3864"/>
          <w:sz w:val="40"/>
          <w:szCs w:val="40"/>
        </w:rPr>
        <w:t>Section 4 — Mini-Project</w:t>
      </w:r>
    </w:p>
    <w:p w14:paraId="1D6945BC">
      <w:pPr>
        <w:spacing w:after="600"/>
        <w:jc w:val="center"/>
      </w:pPr>
      <w:r>
        <w:rPr>
          <w:color w:val="2E75B6"/>
          <w:sz w:val="26"/>
          <w:szCs w:val="26"/>
        </w:rPr>
        <w:t>Weather-Cancellation Analyzer (Goa &amp; Manali, 2024)</w:t>
      </w:r>
    </w:p>
    <w:p w14:paraId="4166CD97">
      <w:pPr>
        <w:jc w:val="center"/>
      </w:pPr>
      <w:r>
        <w:rPr>
          <w:i/>
          <w:iCs/>
          <w:color w:val="555555"/>
          <w:sz w:val="20"/>
          <w:szCs w:val="20"/>
        </w:rPr>
        <w:t>Source: weather_cancellation_analyzer.ipynb (project/ folder)</w:t>
      </w:r>
    </w:p>
    <w:p w14:paraId="02E7C6E5">
      <w:r>
        <w:br w:type="page"/>
      </w:r>
    </w:p>
    <w:p w14:paraId="50A7F266">
      <w:pPr>
        <w:pStyle w:val="2"/>
        <w:jc w:val="both"/>
      </w:pPr>
      <w:r>
        <w:t>README</w:t>
      </w:r>
    </w:p>
    <w:p w14:paraId="3C1F1849">
      <w:pPr>
        <w:spacing w:before="120" w:after="60"/>
        <w:jc w:val="both"/>
      </w:pPr>
      <w:r>
        <w:rPr>
          <w:b/>
          <w:bCs/>
          <w:color w:val="1F3864"/>
          <w:sz w:val="22"/>
          <w:szCs w:val="22"/>
        </w:rPr>
        <w:t>What it does:</w:t>
      </w:r>
    </w:p>
    <w:p w14:paraId="5148B9F5">
      <w:pPr>
        <w:spacing w:after="160"/>
        <w:jc w:val="both"/>
      </w:pPr>
      <w:r>
        <w:rPr>
          <w:b w:val="0"/>
          <w:bCs w:val="0"/>
          <w:i w:val="0"/>
          <w:iCs w:val="0"/>
          <w:sz w:val="22"/>
          <w:szCs w:val="22"/>
        </w:rPr>
        <w:t>Fetches real 2024 daily weather (precipitation, max temperature) for Goa and Manali from the Open-Meteo Historical Weather API, merges it onto each booking's check-in date, and tests whether heavy rain or extreme temperature correlates with higher cancellation/no-show rates.</w:t>
      </w:r>
    </w:p>
    <w:p w14:paraId="1FAE0E8C">
      <w:pPr>
        <w:spacing w:before="120" w:after="60"/>
        <w:jc w:val="both"/>
      </w:pPr>
      <w:r>
        <w:rPr>
          <w:b/>
          <w:bCs/>
          <w:color w:val="1F3864"/>
          <w:sz w:val="22"/>
          <w:szCs w:val="22"/>
        </w:rPr>
        <w:t>How to run:</w:t>
      </w:r>
    </w:p>
    <w:p w14:paraId="1A62DE03">
      <w:pPr>
        <w:spacing w:after="160"/>
        <w:jc w:val="both"/>
      </w:pPr>
      <w:r>
        <w:rPr>
          <w:b w:val="0"/>
          <w:bCs w:val="0"/>
          <w:i w:val="0"/>
          <w:iCs w:val="0"/>
          <w:sz w:val="22"/>
          <w:szCs w:val="22"/>
        </w:rPr>
        <w:t>Open weather_cancellation_analyzer.ipynb in Google Colab, mount Drive, update FILE_PATH to point to hotel_bookings.csv, then run all cells top to bottom (requires internet access for the live API call).</w:t>
      </w:r>
    </w:p>
    <w:p w14:paraId="2EB2E25F">
      <w:pPr>
        <w:spacing w:before="120" w:after="60"/>
        <w:jc w:val="both"/>
      </w:pPr>
      <w:r>
        <w:rPr>
          <w:b/>
          <w:bCs/>
          <w:color w:val="1F3864"/>
          <w:sz w:val="22"/>
          <w:szCs w:val="22"/>
        </w:rPr>
        <w:t>Design decision:</w:t>
      </w:r>
    </w:p>
    <w:p w14:paraId="6C6EE7F2">
      <w:pPr>
        <w:spacing w:after="160"/>
        <w:jc w:val="both"/>
      </w:pPr>
      <w:r>
        <w:rPr>
          <w:b w:val="0"/>
          <w:bCs w:val="0"/>
          <w:i w:val="0"/>
          <w:iCs w:val="0"/>
          <w:sz w:val="22"/>
          <w:szCs w:val="22"/>
        </w:rPr>
        <w:t>Weather is fetched once per city for the full year (2 API calls total) rather than once per booking or per unique date, since Open-Meteo accepts a date-range query — this satisfies the assignment's “batch sensibly” requirement and avoids redundant calls for days sharing the same city.</w:t>
      </w:r>
    </w:p>
    <w:p w14:paraId="3197328A">
      <w:pPr>
        <w:spacing w:before="120" w:after="60"/>
        <w:jc w:val="both"/>
      </w:pPr>
      <w:r>
        <w:rPr>
          <w:b/>
          <w:bCs/>
          <w:color w:val="1F3864"/>
          <w:sz w:val="22"/>
          <w:szCs w:val="22"/>
        </w:rPr>
        <w:t>Limitation:</w:t>
      </w:r>
    </w:p>
    <w:p w14:paraId="5898BD84">
      <w:pPr>
        <w:spacing w:after="160"/>
        <w:jc w:val="both"/>
      </w:pPr>
      <w:r>
        <w:rPr>
          <w:b w:val="0"/>
          <w:bCs w:val="0"/>
          <w:i w:val="0"/>
          <w:iCs w:val="0"/>
          <w:sz w:val="22"/>
          <w:szCs w:val="22"/>
        </w:rPr>
        <w:t>“Extreme temperature” is defined using each city's own top/bottom 10th percentile rather than a fixed global threshold, since Goa (tropical coastal) and Manali (Himalayan) have non-overlapping normal temperature ranges (dataset min 4.7°C, max 39.4°C across both cities combined) — a shared cutoff would have misclassified normal-for-Manali cold days as “extreme.”</w:t>
      </w:r>
    </w:p>
    <w:p w14:paraId="13353E26">
      <w:r>
        <w:br w:type="page"/>
      </w:r>
    </w:p>
    <w:p w14:paraId="19918CF2">
      <w:pPr>
        <w:pStyle w:val="2"/>
      </w:pPr>
      <w:r>
        <w:t>Build Summary</w:t>
      </w:r>
    </w:p>
    <w:p w14:paraId="45C9ED64">
      <w:pPr>
        <w:spacing w:before="120" w:after="60"/>
        <w:jc w:val="both"/>
      </w:pPr>
      <w:r>
        <w:rPr>
          <w:b/>
          <w:bCs/>
          <w:color w:val="1F3864"/>
          <w:sz w:val="22"/>
          <w:szCs w:val="22"/>
        </w:rPr>
        <w:t>Scope:</w:t>
      </w:r>
    </w:p>
    <w:p w14:paraId="262132C9">
      <w:pPr>
        <w:spacing w:after="160"/>
        <w:jc w:val="both"/>
      </w:pPr>
      <w:r>
        <w:rPr>
          <w:b w:val="0"/>
          <w:bCs w:val="0"/>
          <w:i w:val="0"/>
          <w:iCs w:val="0"/>
          <w:sz w:val="22"/>
          <w:szCs w:val="22"/>
        </w:rPr>
        <w:t>1,604 bookings (891 Goa, 713 Manali), all with checkin_date in 2024 (Jan 1 – Dec 31).</w:t>
      </w:r>
    </w:p>
    <w:p w14:paraId="1C6696F4">
      <w:pPr>
        <w:spacing w:before="120" w:after="60"/>
        <w:jc w:val="both"/>
      </w:pPr>
      <w:r>
        <w:rPr>
          <w:b/>
          <w:bCs/>
          <w:color w:val="1F3864"/>
          <w:sz w:val="22"/>
          <w:szCs w:val="22"/>
        </w:rPr>
        <w:t>API integration:</w:t>
      </w:r>
    </w:p>
    <w:p w14:paraId="418D21D3">
      <w:pPr>
        <w:pStyle w:val="16"/>
        <w:numPr>
          <w:ilvl w:val="0"/>
          <w:numId w:val="1"/>
        </w:numPr>
        <w:spacing w:after="80"/>
        <w:jc w:val="both"/>
      </w:pPr>
      <w:r>
        <w:rPr>
          <w:sz w:val="22"/>
          <w:szCs w:val="22"/>
        </w:rPr>
        <w:t>Cities mapped to coordinates manually: Goa (15.2993°N, 74.1240°E), Manali (32.2396°N, 77.1887°E)</w:t>
      </w:r>
    </w:p>
    <w:p w14:paraId="3515B1DB">
      <w:pPr>
        <w:pStyle w:val="16"/>
        <w:numPr>
          <w:ilvl w:val="0"/>
          <w:numId w:val="1"/>
        </w:numPr>
        <w:spacing w:after="80"/>
        <w:jc w:val="both"/>
      </w:pPr>
      <w:r>
        <w:rPr>
          <w:sz w:val="22"/>
          <w:szCs w:val="22"/>
        </w:rPr>
        <w:t>Called the Open-Meteo Historical Weather API (archive-api.open-meteo.com/v1/era5) exactly twice — once per city — covering the full 2024-01-01 to 2024-12-31 range in each call, rather than per-booking or per-unique-date calls</w:t>
      </w:r>
    </w:p>
    <w:p w14:paraId="42DC3F6C">
      <w:pPr>
        <w:pStyle w:val="16"/>
        <w:numPr>
          <w:ilvl w:val="0"/>
          <w:numId w:val="1"/>
        </w:numPr>
        <w:spacing w:after="80"/>
        <w:jc w:val="both"/>
      </w:pPr>
      <w:r>
        <w:rPr>
          <w:sz w:val="22"/>
          <w:szCs w:val="22"/>
        </w:rPr>
        <w:t>Result: 732 rows returned (366 days x 2 cities — 2024 is a leap year), zero errors</w:t>
      </w:r>
    </w:p>
    <w:p w14:paraId="71291D37">
      <w:pPr>
        <w:spacing w:before="120" w:after="60"/>
      </w:pPr>
      <w:r>
        <w:rPr>
          <w:b/>
          <w:bCs/>
          <w:color w:val="1F3864"/>
          <w:sz w:val="22"/>
          <w:szCs w:val="22"/>
        </w:rPr>
        <w:t>Error handling (shown in code):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6604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3544A13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try:</w:t>
            </w:r>
          </w:p>
          <w:p w14:paraId="7754068A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response = requests.get(url, params=params, timeout=15)</w:t>
            </w:r>
          </w:p>
          <w:p w14:paraId="5BE7F30C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response.raise_for_status()</w:t>
            </w:r>
          </w:p>
          <w:p w14:paraId="5E5194DF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data = response.json()</w:t>
            </w:r>
          </w:p>
          <w:p w14:paraId="40D90BEA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...</w:t>
            </w:r>
          </w:p>
          <w:p w14:paraId="1A6E4A94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except requests.exceptions.Timeout:</w:t>
            </w:r>
          </w:p>
          <w:p w14:paraId="0A0EE07C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print(f"Timeout fetching weather for {city}")</w:t>
            </w:r>
          </w:p>
          <w:p w14:paraId="5C2642E2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pd.DataFrame()</w:t>
            </w:r>
          </w:p>
          <w:p w14:paraId="65B45433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except requests.exceptions.RequestException as e:</w:t>
            </w:r>
          </w:p>
          <w:p w14:paraId="1EE1893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print(f"Error fetching weather for {city}: {e}")</w:t>
            </w:r>
          </w:p>
          <w:p w14:paraId="7E39DBA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pd.DataFrame()</w:t>
            </w:r>
          </w:p>
          <w:p w14:paraId="5AF9FCE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except (KeyError, ValueError) as e:</w:t>
            </w:r>
          </w:p>
          <w:p w14:paraId="00CCBF9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print(f"Malformed response for {city}: {e}")</w:t>
            </w:r>
          </w:p>
          <w:p w14:paraId="12E75D13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pd.DataFrame()</w:t>
            </w:r>
          </w:p>
        </w:tc>
      </w:tr>
    </w:tbl>
    <w:p w14:paraId="7EFACF7E">
      <w:pPr>
        <w:spacing w:after="160"/>
        <w:jc w:val="both"/>
      </w:pPr>
      <w:r>
        <w:rPr>
          <w:b w:val="0"/>
          <w:bCs w:val="0"/>
          <w:i w:val="0"/>
          <w:iCs w:val="0"/>
          <w:sz w:val="22"/>
          <w:szCs w:val="22"/>
        </w:rPr>
        <w:t>Covers network timeouts, connection/HTTP errors, and malformed JSON responses — none of these crash the run; each returns an empty DataFrame and the run continues.</w:t>
      </w:r>
    </w:p>
    <w:p w14:paraId="5F590645">
      <w:pPr>
        <w:spacing w:before="120" w:after="60"/>
        <w:jc w:val="both"/>
      </w:pPr>
      <w:r>
        <w:rPr>
          <w:b/>
          <w:bCs/>
          <w:color w:val="1F3864"/>
          <w:sz w:val="22"/>
          <w:szCs w:val="22"/>
        </w:rPr>
        <w:t>Merge:</w:t>
      </w:r>
    </w:p>
    <w:p w14:paraId="260CA447">
      <w:pPr>
        <w:spacing w:after="160"/>
        <w:jc w:val="both"/>
      </w:pPr>
      <w:r>
        <w:rPr>
          <w:b w:val="0"/>
          <w:bCs w:val="0"/>
          <w:i w:val="0"/>
          <w:iCs w:val="0"/>
          <w:sz w:val="22"/>
          <w:szCs w:val="22"/>
        </w:rPr>
        <w:t>Joined on (property_city, checkin_date) after normalizing checkin_date to strip any time component. All 1,604 bookings matched successfully — 0 unmatched rows, confirming clean join keys and full date-range coverage.</w:t>
      </w:r>
    </w:p>
    <w:p w14:paraId="3AEF0810">
      <w:pPr>
        <w:spacing w:before="120" w:after="60"/>
        <w:jc w:val="both"/>
      </w:pPr>
      <w:r>
        <w:rPr>
          <w:b/>
          <w:bCs/>
          <w:color w:val="1F3864"/>
          <w:sz w:val="22"/>
          <w:szCs w:val="22"/>
        </w:rPr>
        <w:t>Weather bucket definition:</w:t>
      </w:r>
    </w:p>
    <w:p w14:paraId="4B600536">
      <w:pPr>
        <w:pStyle w:val="16"/>
        <w:numPr>
          <w:ilvl w:val="0"/>
          <w:numId w:val="1"/>
        </w:numPr>
        <w:spacing w:after="80"/>
        <w:jc w:val="both"/>
      </w:pPr>
      <w:r>
        <w:rPr>
          <w:sz w:val="22"/>
          <w:szCs w:val="22"/>
        </w:rPr>
        <w:t>Heavy Rain: precipitation_sum ≥ 10mm (close to the dataset's own 75th percentile of 11.3mm)</w:t>
      </w:r>
    </w:p>
    <w:p w14:paraId="586CB29E">
      <w:pPr>
        <w:pStyle w:val="16"/>
        <w:numPr>
          <w:ilvl w:val="0"/>
          <w:numId w:val="1"/>
        </w:numPr>
        <w:spacing w:after="80"/>
        <w:jc w:val="both"/>
      </w:pPr>
      <w:r>
        <w:rPr>
          <w:sz w:val="22"/>
          <w:szCs w:val="22"/>
        </w:rPr>
        <w:t>Extreme Temp: top or bottom 10% of temperature_2m_max, computed separately per city (not a shared cutoff)</w:t>
      </w:r>
    </w:p>
    <w:p w14:paraId="4FB1DB1B">
      <w:pPr>
        <w:pStyle w:val="16"/>
        <w:numPr>
          <w:ilvl w:val="0"/>
          <w:numId w:val="1"/>
        </w:numPr>
        <w:spacing w:after="80"/>
        <w:jc w:val="both"/>
      </w:pPr>
      <w:r>
        <w:rPr>
          <w:sz w:val="22"/>
          <w:szCs w:val="22"/>
        </w:rPr>
        <w:t>Priority: a day meeting both criteria is classified as Heavy Rain first, since precipitation is the more direct disruption driver</w:t>
      </w:r>
    </w:p>
    <w:p w14:paraId="1850507A">
      <w:pPr>
        <w:spacing w:after="160"/>
        <w:jc w:val="both"/>
      </w:pPr>
      <w:r>
        <w:rPr>
          <w:b w:val="0"/>
          <w:bCs w:val="0"/>
          <w:i w:val="0"/>
          <w:iCs w:val="0"/>
          <w:sz w:val="22"/>
          <w:szCs w:val="22"/>
        </w:rPr>
        <w:t>Result: 997 Normal days, 439 Heavy Rain days, 168 Extreme Temp days.</w:t>
      </w:r>
    </w:p>
    <w:p w14:paraId="21EB79AF">
      <w:r>
        <w:br w:type="page"/>
      </w:r>
    </w:p>
    <w:p w14:paraId="0C586E04">
      <w:pPr>
        <w:pStyle w:val="2"/>
      </w:pPr>
      <w:r>
        <w:t>Analysis &amp; Insight</w:t>
      </w:r>
    </w:p>
    <w:p w14:paraId="108FE00C">
      <w:pPr>
        <w:pStyle w:val="3"/>
      </w:pPr>
      <w:r>
        <w:t>Step 1 — Combined Goa + Manali Rates</w:t>
      </w:r>
    </w:p>
    <w:tbl>
      <w:tblPr>
        <w:tblStyle w:val="9"/>
        <w:tblW w:w="8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800"/>
        <w:gridCol w:w="2400"/>
        <w:gridCol w:w="1760"/>
      </w:tblGrid>
      <w:tr w14:paraId="1192C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B9543">
            <w:r>
              <w:rPr>
                <w:b/>
                <w:bCs/>
                <w:color w:val="FFFFFF"/>
                <w:sz w:val="20"/>
                <w:szCs w:val="20"/>
              </w:rPr>
              <w:t>Weather Bucket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18981">
            <w:r>
              <w:rPr>
                <w:b/>
                <w:bCs/>
                <w:color w:val="FFFFFF"/>
                <w:sz w:val="20"/>
                <w:szCs w:val="20"/>
              </w:rPr>
              <w:t>Bookings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11D0C">
            <w:r>
              <w:rPr>
                <w:b/>
                <w:bCs/>
                <w:color w:val="FFFFFF"/>
                <w:sz w:val="20"/>
                <w:szCs w:val="20"/>
              </w:rPr>
              <w:t>Cancelled/No-Show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C100C">
            <w:r>
              <w:rPr>
                <w:b/>
                <w:bCs/>
                <w:color w:val="FFFFFF"/>
                <w:sz w:val="20"/>
                <w:szCs w:val="20"/>
              </w:rPr>
              <w:t>Rate</w:t>
            </w:r>
          </w:p>
        </w:tc>
      </w:tr>
      <w:tr w14:paraId="059AC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60179">
            <w:r>
              <w:rPr>
                <w:b w:val="0"/>
                <w:bCs w:val="0"/>
                <w:color w:val="000000"/>
                <w:sz w:val="20"/>
                <w:szCs w:val="20"/>
              </w:rPr>
              <w:t>Heavy Rain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03A98">
            <w:r>
              <w:rPr>
                <w:b w:val="0"/>
                <w:bCs w:val="0"/>
                <w:color w:val="000000"/>
                <w:sz w:val="20"/>
                <w:szCs w:val="20"/>
              </w:rPr>
              <w:t>439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ED8FA">
            <w:r>
              <w:rPr>
                <w:b w:val="0"/>
                <w:bCs w:val="0"/>
                <w:color w:val="000000"/>
                <w:sz w:val="20"/>
                <w:szCs w:val="20"/>
              </w:rPr>
              <w:t>145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7ADE6">
            <w:r>
              <w:rPr>
                <w:b w:val="0"/>
                <w:bCs w:val="0"/>
                <w:color w:val="000000"/>
                <w:sz w:val="20"/>
                <w:szCs w:val="20"/>
              </w:rPr>
              <w:t>33.0%</w:t>
            </w:r>
          </w:p>
        </w:tc>
      </w:tr>
      <w:tr w14:paraId="369A1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8C0D3">
            <w:r>
              <w:rPr>
                <w:b w:val="0"/>
                <w:bCs w:val="0"/>
                <w:color w:val="000000"/>
                <w:sz w:val="20"/>
                <w:szCs w:val="20"/>
              </w:rPr>
              <w:t>Normal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DEAAB">
            <w:r>
              <w:rPr>
                <w:b w:val="0"/>
                <w:bCs w:val="0"/>
                <w:color w:val="000000"/>
                <w:sz w:val="20"/>
                <w:szCs w:val="20"/>
              </w:rPr>
              <w:t>997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C323D">
            <w:r>
              <w:rPr>
                <w:b w:val="0"/>
                <w:bCs w:val="0"/>
                <w:color w:val="000000"/>
                <w:sz w:val="20"/>
                <w:szCs w:val="20"/>
              </w:rPr>
              <w:t>246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C8D35">
            <w:r>
              <w:rPr>
                <w:b w:val="0"/>
                <w:bCs w:val="0"/>
                <w:color w:val="000000"/>
                <w:sz w:val="20"/>
                <w:szCs w:val="20"/>
              </w:rPr>
              <w:t>24.7%</w:t>
            </w:r>
          </w:p>
        </w:tc>
      </w:tr>
      <w:tr w14:paraId="18F74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2E8A8">
            <w:r>
              <w:rPr>
                <w:b w:val="0"/>
                <w:bCs w:val="0"/>
                <w:color w:val="000000"/>
                <w:sz w:val="20"/>
                <w:szCs w:val="20"/>
              </w:rPr>
              <w:t>Extreme Temp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ABBC1">
            <w:r>
              <w:rPr>
                <w:b w:val="0"/>
                <w:bCs w:val="0"/>
                <w:color w:val="000000"/>
                <w:sz w:val="20"/>
                <w:szCs w:val="20"/>
              </w:rPr>
              <w:t>168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56B99">
            <w:r>
              <w:rPr>
                <w:b w:val="0"/>
                <w:bCs w:val="0"/>
                <w:color w:val="000000"/>
                <w:sz w:val="20"/>
                <w:szCs w:val="20"/>
              </w:rPr>
              <w:t>35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E913">
            <w:r>
              <w:rPr>
                <w:b w:val="0"/>
                <w:bCs w:val="0"/>
                <w:color w:val="000000"/>
                <w:sz w:val="20"/>
                <w:szCs w:val="20"/>
              </w:rPr>
              <w:t>20.8%</w:t>
            </w:r>
          </w:p>
        </w:tc>
      </w:tr>
    </w:tbl>
    <w:p w14:paraId="2A590B8E">
      <w:pPr>
        <w:spacing w:after="160"/>
        <w:jc w:val="both"/>
      </w:pPr>
      <w:r>
        <w:rPr>
          <w:b w:val="0"/>
          <w:bCs w:val="0"/>
          <w:i w:val="0"/>
          <w:iCs w:val="0"/>
          <w:sz w:val="22"/>
          <w:szCs w:val="22"/>
        </w:rPr>
        <w:t>Overall Goa+Manali (2024) cancellation+no-show rate: 26.6% — notably higher than the platform-wide rate of 22.2% (all cities, all years), meaning these two cities are higher-cancellation markets in general, independent of weather. This raised the question of whether the apparent Heavy Rain effect was real, or driven entirely by one city.</w:t>
      </w:r>
    </w:p>
    <w:p w14:paraId="03E51505">
      <w:pPr>
        <w:pStyle w:val="3"/>
      </w:pPr>
      <w:r>
        <w:t>Step 2 — City-Level Breakdown (the key check)</w:t>
      </w:r>
    </w:p>
    <w:tbl>
      <w:tblPr>
        <w:tblStyle w:val="9"/>
        <w:tblW w:w="8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400"/>
        <w:gridCol w:w="1800"/>
        <w:gridCol w:w="2360"/>
      </w:tblGrid>
      <w:tr w14:paraId="3FD10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49F5">
            <w:r>
              <w:rPr>
                <w:b/>
                <w:bCs/>
                <w:color w:val="FFFFFF"/>
                <w:sz w:val="20"/>
                <w:szCs w:val="20"/>
              </w:rPr>
              <w:t>City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29917">
            <w:r>
              <w:rPr>
                <w:b/>
                <w:bCs/>
                <w:color w:val="FFFFFF"/>
                <w:sz w:val="20"/>
                <w:szCs w:val="20"/>
              </w:rPr>
              <w:t>Weather Bucket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21947">
            <w:r>
              <w:rPr>
                <w:b/>
                <w:bCs/>
                <w:color w:val="FFFFFF"/>
                <w:sz w:val="20"/>
                <w:szCs w:val="20"/>
              </w:rPr>
              <w:t>Bookings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21DAB">
            <w:r>
              <w:rPr>
                <w:b/>
                <w:bCs/>
                <w:color w:val="FFFFFF"/>
                <w:sz w:val="20"/>
                <w:szCs w:val="20"/>
              </w:rPr>
              <w:t>Rate</w:t>
            </w:r>
          </w:p>
        </w:tc>
      </w:tr>
      <w:tr w14:paraId="3436E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4CFB">
            <w:r>
              <w:rPr>
                <w:b w:val="0"/>
                <w:bCs w:val="0"/>
                <w:color w:val="000000"/>
                <w:sz w:val="20"/>
                <w:szCs w:val="20"/>
              </w:rPr>
              <w:t>Goa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07472">
            <w:r>
              <w:rPr>
                <w:b w:val="0"/>
                <w:bCs w:val="0"/>
                <w:color w:val="000000"/>
                <w:sz w:val="20"/>
                <w:szCs w:val="20"/>
              </w:rPr>
              <w:t>Heavy Rain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25316">
            <w:r>
              <w:rPr>
                <w:b w:val="0"/>
                <w:bCs w:val="0"/>
                <w:color w:val="000000"/>
                <w:sz w:val="20"/>
                <w:szCs w:val="20"/>
              </w:rPr>
              <w:t>253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E4BD">
            <w:r>
              <w:rPr>
                <w:b w:val="0"/>
                <w:bCs w:val="0"/>
                <w:color w:val="000000"/>
                <w:sz w:val="20"/>
                <w:szCs w:val="20"/>
              </w:rPr>
              <w:t>39.5%</w:t>
            </w:r>
          </w:p>
        </w:tc>
      </w:tr>
      <w:tr w14:paraId="39031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A3E98">
            <w:r>
              <w:rPr>
                <w:b w:val="0"/>
                <w:bCs w:val="0"/>
                <w:color w:val="000000"/>
                <w:sz w:val="20"/>
                <w:szCs w:val="20"/>
              </w:rPr>
              <w:t>Goa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C627A">
            <w:r>
              <w:rPr>
                <w:b w:val="0"/>
                <w:bCs w:val="0"/>
                <w:color w:val="000000"/>
                <w:sz w:val="20"/>
                <w:szCs w:val="20"/>
              </w:rPr>
              <w:t>Normal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38451">
            <w:r>
              <w:rPr>
                <w:b w:val="0"/>
                <w:bCs w:val="0"/>
                <w:color w:val="000000"/>
                <w:sz w:val="20"/>
                <w:szCs w:val="20"/>
              </w:rPr>
              <w:t>551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12007">
            <w:r>
              <w:rPr>
                <w:b w:val="0"/>
                <w:bCs w:val="0"/>
                <w:color w:val="000000"/>
                <w:sz w:val="20"/>
                <w:szCs w:val="20"/>
              </w:rPr>
              <w:t>25.8%</w:t>
            </w:r>
          </w:p>
        </w:tc>
      </w:tr>
      <w:tr w14:paraId="35C29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A117A">
            <w:r>
              <w:rPr>
                <w:b w:val="0"/>
                <w:bCs w:val="0"/>
                <w:color w:val="000000"/>
                <w:sz w:val="20"/>
                <w:szCs w:val="20"/>
              </w:rPr>
              <w:t>Goa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36D63">
            <w:r>
              <w:rPr>
                <w:b w:val="0"/>
                <w:bCs w:val="0"/>
                <w:color w:val="000000"/>
                <w:sz w:val="20"/>
                <w:szCs w:val="20"/>
              </w:rPr>
              <w:t>Extreme Temp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66D7B">
            <w:r>
              <w:rPr>
                <w:b w:val="0"/>
                <w:bCs w:val="0"/>
                <w:color w:val="000000"/>
                <w:sz w:val="20"/>
                <w:szCs w:val="20"/>
              </w:rPr>
              <w:t>87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D101C">
            <w:r>
              <w:rPr>
                <w:b w:val="0"/>
                <w:bCs w:val="0"/>
                <w:color w:val="000000"/>
                <w:sz w:val="20"/>
                <w:szCs w:val="20"/>
              </w:rPr>
              <w:t>17.2%</w:t>
            </w:r>
          </w:p>
        </w:tc>
      </w:tr>
      <w:tr w14:paraId="21A98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0E7E7">
            <w:r>
              <w:rPr>
                <w:b w:val="0"/>
                <w:bCs w:val="0"/>
                <w:color w:val="000000"/>
                <w:sz w:val="20"/>
                <w:szCs w:val="20"/>
              </w:rPr>
              <w:t>Manali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EF813">
            <w:r>
              <w:rPr>
                <w:b w:val="0"/>
                <w:bCs w:val="0"/>
                <w:color w:val="000000"/>
                <w:sz w:val="20"/>
                <w:szCs w:val="20"/>
              </w:rPr>
              <w:t>Heavy Rain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F629">
            <w:r>
              <w:rPr>
                <w:b w:val="0"/>
                <w:bCs w:val="0"/>
                <w:color w:val="000000"/>
                <w:sz w:val="20"/>
                <w:szCs w:val="20"/>
              </w:rPr>
              <w:t>186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C53EE">
            <w:r>
              <w:rPr>
                <w:b w:val="0"/>
                <w:bCs w:val="0"/>
                <w:color w:val="000000"/>
                <w:sz w:val="20"/>
                <w:szCs w:val="20"/>
              </w:rPr>
              <w:t>24.2%</w:t>
            </w:r>
          </w:p>
        </w:tc>
      </w:tr>
      <w:tr w14:paraId="4B1B5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FEE60">
            <w:r>
              <w:rPr>
                <w:b w:val="0"/>
                <w:bCs w:val="0"/>
                <w:color w:val="000000"/>
                <w:sz w:val="20"/>
                <w:szCs w:val="20"/>
              </w:rPr>
              <w:t>Manali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76CB3">
            <w:r>
              <w:rPr>
                <w:b w:val="0"/>
                <w:bCs w:val="0"/>
                <w:color w:val="000000"/>
                <w:sz w:val="20"/>
                <w:szCs w:val="20"/>
              </w:rPr>
              <w:t>Normal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C75AF">
            <w:r>
              <w:rPr>
                <w:b w:val="0"/>
                <w:bCs w:val="0"/>
                <w:color w:val="000000"/>
                <w:sz w:val="20"/>
                <w:szCs w:val="20"/>
              </w:rPr>
              <w:t>446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C9F23">
            <w:r>
              <w:rPr>
                <w:b w:val="0"/>
                <w:bCs w:val="0"/>
                <w:color w:val="000000"/>
                <w:sz w:val="20"/>
                <w:szCs w:val="20"/>
              </w:rPr>
              <w:t>23.3%</w:t>
            </w:r>
          </w:p>
        </w:tc>
      </w:tr>
      <w:tr w14:paraId="21E95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A383">
            <w:r>
              <w:rPr>
                <w:b w:val="0"/>
                <w:bCs w:val="0"/>
                <w:color w:val="000000"/>
                <w:sz w:val="20"/>
                <w:szCs w:val="20"/>
              </w:rPr>
              <w:t>Manali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28829">
            <w:r>
              <w:rPr>
                <w:b w:val="0"/>
                <w:bCs w:val="0"/>
                <w:color w:val="000000"/>
                <w:sz w:val="20"/>
                <w:szCs w:val="20"/>
              </w:rPr>
              <w:t>Extreme Temp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597FC">
            <w:r>
              <w:rPr>
                <w:b w:val="0"/>
                <w:bCs w:val="0"/>
                <w:color w:val="000000"/>
                <w:sz w:val="20"/>
                <w:szCs w:val="20"/>
              </w:rPr>
              <w:t>81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6D175">
            <w:r>
              <w:rPr>
                <w:b w:val="0"/>
                <w:bCs w:val="0"/>
                <w:color w:val="000000"/>
                <w:sz w:val="20"/>
                <w:szCs w:val="20"/>
              </w:rPr>
              <w:t>24.7%</w:t>
            </w:r>
          </w:p>
        </w:tc>
      </w:tr>
    </w:tbl>
    <w:p w14:paraId="5A0298A3">
      <w:pPr>
        <w:spacing w:before="120" w:after="120"/>
        <w:jc w:val="center"/>
      </w:pPr>
      <w:r>
        <w:drawing>
          <wp:inline distT="0" distB="0" distL="0" distR="0">
            <wp:extent cx="3571875" cy="2381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CD958">
      <w:pPr>
        <w:spacing w:after="160"/>
        <w:jc w:val="both"/>
        <w:rPr>
          <w:b w:val="0"/>
          <w:bCs w:val="0"/>
          <w:i w:val="0"/>
          <w:iCs w:val="0"/>
          <w:sz w:val="22"/>
          <w:szCs w:val="22"/>
        </w:rPr>
      </w:pPr>
      <w:r>
        <w:rPr>
          <w:b w:val="0"/>
          <w:bCs w:val="0"/>
          <w:i w:val="0"/>
          <w:iCs w:val="0"/>
          <w:sz w:val="22"/>
          <w:szCs w:val="22"/>
        </w:rPr>
        <w:t>Splitting by city reveals the combined 33.0% Heavy Rain rate was misleading on its own. In Goa, Heavy Rain days show a real, large jump (39.5% vs 25.8% Normal, +13.7pp). In Manali, Heavy Rain days show almost no difference from Normal days (24.2% vs 23.3%, +0.9pp — noise-level). The effect is Goa-specific, not a general weather-cancellation pattern.</w:t>
      </w:r>
    </w:p>
    <w:p w14:paraId="2DD6922D">
      <w:pPr>
        <w:rPr>
          <w:b w:val="0"/>
          <w:bCs w:val="0"/>
          <w:i w:val="0"/>
          <w:iCs w:val="0"/>
          <w:sz w:val="22"/>
          <w:szCs w:val="22"/>
        </w:rPr>
      </w:pPr>
      <w:r>
        <w:rPr>
          <w:b w:val="0"/>
          <w:bCs w:val="0"/>
          <w:i w:val="0"/>
          <w:iCs w:val="0"/>
          <w:sz w:val="22"/>
          <w:szCs w:val="22"/>
        </w:rPr>
        <w:br w:type="page"/>
      </w:r>
    </w:p>
    <w:p w14:paraId="7E8449FD">
      <w:pPr>
        <w:pStyle w:val="3"/>
      </w:pPr>
      <w:r>
        <w:t>The Quantified Insight</w:t>
      </w:r>
    </w:p>
    <w:p w14:paraId="1412616D">
      <w:pPr>
        <w:spacing w:after="160"/>
        <w:jc w:val="both"/>
        <w:rPr>
          <w:b w:val="0"/>
          <w:bCs w:val="0"/>
          <w:i w:val="0"/>
          <w:iCs w:val="0"/>
          <w:sz w:val="22"/>
          <w:szCs w:val="22"/>
        </w:rPr>
      </w:pPr>
      <w:r>
        <w:rPr>
          <w:b w:val="0"/>
          <w:bCs w:val="0"/>
          <w:i w:val="0"/>
          <w:iCs w:val="0"/>
          <w:sz w:val="22"/>
          <w:szCs w:val="22"/>
        </w:rPr>
        <w:t xml:space="preserve">Heavy rainfall on the check-in date is associated with a substantially elevated cancellation and no-show rate in Goa specifically — 39.5% on Heavy Rain days versus 25.8% on Normal days, a 13.7 percentage point increase — but shows no meaningful effect in Manali (24.2% vs 23.3%, a negligible 0.9pp difference). </w:t>
      </w:r>
    </w:p>
    <w:p w14:paraId="3262A330">
      <w:pPr>
        <w:spacing w:after="160"/>
        <w:jc w:val="both"/>
        <w:rPr>
          <w:b w:val="0"/>
          <w:bCs w:val="0"/>
          <w:i w:val="0"/>
          <w:iCs w:val="0"/>
          <w:sz w:val="22"/>
          <w:szCs w:val="22"/>
        </w:rPr>
      </w:pPr>
      <w:r>
        <w:rPr>
          <w:b w:val="0"/>
          <w:bCs w:val="0"/>
          <w:i w:val="0"/>
          <w:iCs w:val="0"/>
          <w:sz w:val="22"/>
          <w:szCs w:val="22"/>
        </w:rPr>
        <w:t xml:space="preserve">This city-specific pattern would have been invisible without merging live weather data: the dataset alone has no way to distinguish a coincidental cancellation cluster from a genuine weather-driven pattern, let alone reveal that the effect is concentrated in one destination and absent in the other. </w:t>
      </w:r>
    </w:p>
    <w:p w14:paraId="4EC74CB6">
      <w:pPr>
        <w:spacing w:after="160"/>
        <w:jc w:val="both"/>
      </w:pPr>
      <w:bookmarkStart w:id="0" w:name="_GoBack"/>
      <w:bookmarkEnd w:id="0"/>
      <w:r>
        <w:rPr>
          <w:b w:val="0"/>
          <w:bCs w:val="0"/>
          <w:i w:val="0"/>
          <w:iCs w:val="0"/>
          <w:sz w:val="22"/>
          <w:szCs w:val="22"/>
        </w:rPr>
        <w:t>The likely explanation is that Goa's core appeal (beach, water sports, outdoor dining) is directly disrupted by rain, while Manali's appeal (mountains, snow, scenery) is comparatively weather-resilient. This suggests Goa-specific rain-contingent cancellation policies (e.g., flexible rebooking near forecasted heavy rain) would be a more targeted intervention than a platform-wide weather policy.</w:t>
      </w:r>
    </w:p>
    <w:p w14:paraId="5F5C5A1D">
      <w:pPr>
        <w:pStyle w:val="2"/>
      </w:pPr>
      <w:r>
        <w:t>AI Usage Note</w:t>
      </w:r>
    </w:p>
    <w:p w14:paraId="475EDE0E">
      <w:pPr>
        <w:spacing w:after="160"/>
        <w:jc w:val="both"/>
      </w:pPr>
      <w:r>
        <w:rPr>
          <w:b w:val="0"/>
          <w:bCs w:val="0"/>
          <w:i w:val="0"/>
          <w:iCs w:val="0"/>
          <w:sz w:val="22"/>
          <w:szCs w:val="22"/>
        </w:rPr>
        <w:t>Used Claude to draft the initial API error-handling structure (try/except for Timeout, RequestException, and malformed JSON) and the merge logic.</w:t>
      </w:r>
    </w:p>
    <w:p w14:paraId="57535FB8">
      <w:pPr>
        <w:spacing w:after="160"/>
        <w:jc w:val="both"/>
      </w:pPr>
      <w:r>
        <w:rPr>
          <w:b w:val="0"/>
          <w:bCs w:val="0"/>
          <w:i w:val="0"/>
          <w:iCs w:val="0"/>
          <w:sz w:val="22"/>
          <w:szCs w:val="22"/>
        </w:rPr>
        <w:t>Had to FIX: the AI's first draft of the “extreme temperature” bucket used a single fixed threshold (e.g., &gt;35°C) across both cities — this was wrong, since it would mark all of Manali's winter days as extreme without ever flagging Goa's heat. Corrected this to a per-city percentile rank instead.</w:t>
      </w:r>
    </w:p>
    <w:p w14:paraId="26130C3D">
      <w:pPr>
        <w:spacing w:after="160"/>
        <w:jc w:val="both"/>
      </w:pPr>
      <w:r>
        <w:rPr>
          <w:b w:val="0"/>
          <w:bCs w:val="0"/>
          <w:i w:val="0"/>
          <w:iCs w:val="0"/>
          <w:sz w:val="22"/>
          <w:szCs w:val="22"/>
        </w:rPr>
        <w:t>Also had to catch a real analytical error: the AI's first read of the combined Goa+Manali Heavy Rain rate (33.0%) was reported as “weather affects cancellations” without checking whether it held in both cities — only after explicitly requesting a city-level split did it surface that the effect is Goa-specific and absent in Manali, which became the actual reportable insight.</w:t>
      </w:r>
    </w:p>
    <w:sectPr>
      <w:pgSz w:w="12240" w:h="15840"/>
      <w:pgMar w:top="720" w:right="1440" w:bottom="72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25716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pBdr>
        <w:bottom w:val="single" w:color="1F3864" w:sz="8" w:space="4"/>
      </w:pBdr>
      <w:spacing w:before="360" w:after="200"/>
      <w:outlineLvl w:val="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60" w:after="140"/>
      <w:outlineLvl w:val="1"/>
    </w:pPr>
    <w:rPr>
      <w:rFonts w:ascii="Calibri" w:hAnsi="Calibri" w:eastAsia="Calibri" w:cs="Calibri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895</Words>
  <Characters>5217</Characters>
  <TotalTime>2</TotalTime>
  <ScaleCrop>false</ScaleCrop>
  <LinksUpToDate>false</LinksUpToDate>
  <CharactersWithSpaces>6055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2026-06-21T09:24:00Z</dcterms:created>
  <dc:creator>Un-named</dc:creator>
  <cp:lastModifiedBy>NEELKANTH</cp:lastModifiedBy>
  <dcterms:modified xsi:type="dcterms:W3CDTF">2026-06-21T09:34:47Z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eyJoZGlkIjoiZWE2YjEzOWM1YmE0MmQ2MjAyNTZkYzYxMGJkMzNlNGEifQ==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E1928541C65C490A8AB87EDDE1B113CA_12</vt:lpwstr>
  </property>
</Properties>
</file>