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 xml:space="preserve">Md. </w:t>
      </w:r>
      <w:proofErr w:type="spellStart"/>
      <w:r w:rsidRPr="009210D2">
        <w:t>Shawkatul</w:t>
      </w:r>
      <w:proofErr w:type="spellEnd"/>
      <w:r w:rsidRPr="009210D2">
        <w:t xml:space="preserve">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872B9C"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w:t>
      </w:r>
      <w:proofErr w:type="spellStart"/>
      <w:r w:rsidRPr="009210D2">
        <w:rPr>
          <w:highlight w:val="red"/>
        </w:rPr>
        <w:t>Summarise</w:t>
      </w:r>
      <w:proofErr w:type="spellEnd"/>
      <w:r w:rsidRPr="009210D2">
        <w:rPr>
          <w:highlight w:val="red"/>
        </w:rPr>
        <w:t xml:space="preserv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9210D2">
        <w:t>analysed</w:t>
      </w:r>
      <w:proofErr w:type="spellEnd"/>
      <w:r w:rsidRPr="009210D2">
        <w:t xml:space="preserve">,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competition that is embedded in the fictitious scenario of the </w:t>
      </w:r>
      <w:proofErr w:type="spellStart"/>
      <w:r w:rsidRPr="009210D2">
        <w:t>colonisation</w:t>
      </w:r>
      <w:proofErr w:type="spellEnd"/>
      <w:r w:rsidRPr="009210D2">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w:t>
      </w:r>
      <w:proofErr w:type="spellStart"/>
      <w:r w:rsidRPr="009210D2">
        <w:rPr>
          <w:color w:val="202124"/>
          <w:highlight w:val="white"/>
        </w:rPr>
        <w:t>harmonise</w:t>
      </w:r>
      <w:proofErr w:type="spellEnd"/>
      <w:r w:rsidRPr="009210D2">
        <w:rPr>
          <w:color w:val="202124"/>
          <w:highlight w:val="white"/>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rPr>
        <w:t>n_small</w:t>
      </w:r>
      <w:proofErr w:type="spellEnd"/>
      <w:r w:rsidRPr="009210D2">
        <w:rPr>
          <w:color w:val="202124"/>
          <w:highlight w:val="white"/>
        </w:rPr>
        <w:t xml:space="preserve"> = a * </w:t>
      </w:r>
      <w:proofErr w:type="spellStart"/>
      <w:r w:rsidRPr="009210D2">
        <w:rPr>
          <w:color w:val="202124"/>
          <w:highlight w:val="white"/>
        </w:rPr>
        <w:t>n_large</w:t>
      </w:r>
      <w:proofErr w:type="spellEnd"/>
      <w:r w:rsidRPr="009210D2">
        <w:rPr>
          <w:color w:val="202124"/>
          <w:highlight w:val="white"/>
        </w:rPr>
        <w:t xml:space="preserv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 xml:space="preserve">where </w:t>
      </w:r>
      <w:proofErr w:type="spellStart"/>
      <w:r w:rsidRPr="009210D2">
        <w:rPr>
          <w:color w:val="202124"/>
          <w:highlight w:val="white"/>
        </w:rPr>
        <w:t>n_small</w:t>
      </w:r>
      <w:proofErr w:type="spellEnd"/>
      <w:r w:rsidRPr="009210D2">
        <w:rPr>
          <w:color w:val="202124"/>
          <w:highlight w:val="white"/>
        </w:rPr>
        <w:t xml:space="preserve"> is the number of observations associated with the class that originally had less observations and </w:t>
      </w:r>
      <w:proofErr w:type="spellStart"/>
      <w:r w:rsidRPr="009210D2">
        <w:rPr>
          <w:color w:val="202124"/>
          <w:highlight w:val="white"/>
        </w:rPr>
        <w:t>n_large</w:t>
      </w:r>
      <w:proofErr w:type="spellEnd"/>
      <w:r w:rsidRPr="009210D2">
        <w:rPr>
          <w:color w:val="202124"/>
          <w:highlight w:val="white"/>
        </w:rPr>
        <w:t xml:space="preserv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proofErr w:type="spellStart"/>
            <w:r w:rsidRPr="009210D2">
              <w:rPr>
                <w:sz w:val="17"/>
                <w:szCs w:val="17"/>
              </w:rPr>
              <w:t>Citizen_ID</w:t>
            </w:r>
            <w:proofErr w:type="spellEnd"/>
            <w:r w:rsidRPr="009210D2">
              <w:rPr>
                <w:sz w:val="17"/>
                <w:szCs w:val="17"/>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 xml:space="preserve">The software that is used in order to complete the project is Python and more precisely Anaconda and </w:t>
      </w:r>
      <w:proofErr w:type="spellStart"/>
      <w:r w:rsidRPr="009210D2">
        <w:t>Jupyter</w:t>
      </w:r>
      <w:proofErr w:type="spellEnd"/>
      <w:r w:rsidRPr="009210D2">
        <w:t xml:space="preserve">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 xml:space="preserve">In the following part, the steps conducted in our </w:t>
      </w:r>
      <w:proofErr w:type="spellStart"/>
      <w:r w:rsidRPr="009210D2">
        <w:t>Jupyter</w:t>
      </w:r>
      <w:proofErr w:type="spellEnd"/>
      <w:r w:rsidRPr="009210D2">
        <w:t xml:space="preserve">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w:t>
      </w:r>
      <w:proofErr w:type="spellStart"/>
      <w:r w:rsidRPr="009210D2">
        <w:t>os</w:t>
      </w:r>
      <w:proofErr w:type="spellEnd"/>
      <w:r w:rsidRPr="009210D2">
        <w:t>’ and packages from ‘</w:t>
      </w:r>
      <w:proofErr w:type="spellStart"/>
      <w:r w:rsidRPr="009210D2">
        <w:t>sklearn</w:t>
      </w:r>
      <w:proofErr w:type="spellEnd"/>
      <w:r w:rsidRPr="009210D2">
        <w:t>’ which are used for the predictive models but also the library ‘</w:t>
      </w:r>
      <w:proofErr w:type="spellStart"/>
      <w:r w:rsidRPr="009210D2">
        <w:t>xgboost</w:t>
      </w:r>
      <w:proofErr w:type="spellEnd"/>
      <w:r w:rsidRPr="009210D2">
        <w: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 xml:space="preserve">In the next step, the existence of cells containing empty strings, spaces or </w:t>
      </w:r>
      <w:proofErr w:type="spellStart"/>
      <w:r w:rsidRPr="009210D2">
        <w:t>NaN</w:t>
      </w:r>
      <w:proofErr w:type="spellEnd"/>
      <w:r w:rsidRPr="009210D2">
        <w:t xml:space="preserve">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 xml:space="preserve">The following step is the procedure of feature scaling. For this, a standard scaler is used, which </w:t>
      </w:r>
      <w:proofErr w:type="spellStart"/>
      <w:r w:rsidRPr="009210D2">
        <w:t>standardises</w:t>
      </w:r>
      <w:proofErr w:type="spellEnd"/>
      <w:r w:rsidRPr="009210D2">
        <w:t xml:space="preserve">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rPr>
            </w:pPr>
            <w:r>
              <w:rPr>
                <w:sz w:val="17"/>
                <w:szCs w:val="17"/>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rPr>
            </w:pPr>
            <w:proofErr w:type="spellStart"/>
            <w:r w:rsidRPr="007A7E8C">
              <w:rPr>
                <w:sz w:val="17"/>
                <w:szCs w:val="17"/>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rPr>
            </w:pPr>
            <w:r>
              <w:rPr>
                <w:sz w:val="17"/>
                <w:szCs w:val="17"/>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rPr>
            </w:pPr>
            <w:proofErr w:type="spellStart"/>
            <w:r w:rsidRPr="007A7E8C">
              <w:rPr>
                <w:sz w:val="17"/>
                <w:szCs w:val="17"/>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rPr>
            </w:pPr>
            <w:r>
              <w:rPr>
                <w:sz w:val="17"/>
                <w:szCs w:val="17"/>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proofErr w:type="spellStart"/>
            <w:r w:rsidRPr="007A7E8C">
              <w:rPr>
                <w:sz w:val="17"/>
                <w:szCs w:val="17"/>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rPr>
            </w:pPr>
            <w:r>
              <w:rPr>
                <w:sz w:val="17"/>
                <w:szCs w:val="17"/>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proofErr w:type="spellStart"/>
            <w:r w:rsidRPr="000124EC">
              <w:rPr>
                <w:sz w:val="17"/>
                <w:szCs w:val="17"/>
              </w:rPr>
              <w:t>Employment_Sector_Private</w:t>
            </w:r>
            <w:proofErr w:type="spellEnd"/>
            <w:r w:rsidRPr="000124EC">
              <w:rPr>
                <w:sz w:val="17"/>
                <w:szCs w:val="17"/>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w:t>
      </w:r>
      <w:proofErr w:type="spellStart"/>
      <w:r w:rsidRPr="009210D2">
        <w:t>XGBoost</w:t>
      </w:r>
      <w:proofErr w:type="spellEnd"/>
      <w:r w:rsidRPr="009210D2">
        <w:t xml:space="preserve">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proofErr w:type="spellStart"/>
      <w:r w:rsidR="00AF2079" w:rsidRPr="008922C6">
        <w:t>Neighbours</w:t>
      </w:r>
      <w:proofErr w:type="spellEnd"/>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97EE8C3" w:rsidR="003B11D6" w:rsidRDefault="003B11D6" w:rsidP="00C77E58">
      <w:pPr>
        <w:pStyle w:val="ListParagraph"/>
        <w:widowControl w:val="0"/>
        <w:numPr>
          <w:ilvl w:val="0"/>
          <w:numId w:val="7"/>
        </w:numPr>
        <w:ind w:right="30"/>
        <w:jc w:val="both"/>
      </w:pPr>
      <w:r>
        <w:t>Between originally metric features there were no redundancies except for ‘Years of Education’ and ‘</w:t>
      </w:r>
      <w:proofErr w:type="spellStart"/>
      <w:r>
        <w:t>Education_Level_Classified</w:t>
      </w:r>
      <w:proofErr w:type="spellEnd"/>
      <w:r>
        <w:t>’ which was expected.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 xml:space="preserve">After it we advance to a bigger correlation matrix. This one is computed using all the remaining features, both metric and the encoded ones. We used </w:t>
      </w:r>
      <w:proofErr w:type="spellStart"/>
      <w:r>
        <w:t>pearson</w:t>
      </w:r>
      <w:proofErr w:type="spellEnd"/>
      <w:r>
        <w:t xml:space="preserve">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55387582" w:rsidR="00FC319E" w:rsidRDefault="00FC319E" w:rsidP="00C77E58">
      <w:pPr>
        <w:widowControl w:val="0"/>
        <w:ind w:left="1440" w:right="30"/>
        <w:jc w:val="both"/>
      </w:pPr>
      <w: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 xml:space="preserve">Resulting </w:t>
      </w:r>
      <w:proofErr w:type="spellStart"/>
      <w:r>
        <w:t>DataFrame</w:t>
      </w:r>
      <w:proofErr w:type="spellEnd"/>
      <w:r>
        <w:t xml:space="preserv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w:t>
      </w:r>
      <w:proofErr w:type="spellStart"/>
      <w:r>
        <w:t>Marital_Status_Married</w:t>
      </w:r>
      <w:proofErr w:type="spellEnd"/>
      <w:r>
        <w:t xml:space="preserve">’ is the most important according to this </w:t>
      </w:r>
      <w:proofErr w:type="spellStart"/>
      <w:r>
        <w:t>techquine</w:t>
      </w:r>
      <w:proofErr w:type="spellEnd"/>
      <w:r>
        <w:t>, ‘</w:t>
      </w:r>
      <w:proofErr w:type="spellStart"/>
      <w:r>
        <w:t>Role_Management</w:t>
      </w:r>
      <w:proofErr w:type="spellEnd"/>
      <w:r>
        <w:t>’ is also one to take into account as are ‘</w:t>
      </w:r>
      <w:proofErr w:type="spellStart"/>
      <w:r>
        <w:t>Role_Professor</w:t>
      </w:r>
      <w:proofErr w:type="spellEnd"/>
      <w:r>
        <w:t>’ and ‘</w:t>
      </w:r>
      <w:proofErr w:type="spellStart"/>
      <w:r>
        <w:t>Lives_with_Other_Family</w:t>
      </w:r>
      <w:proofErr w:type="spellEnd"/>
      <w:r>
        <w:t>’.</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w:t>
      </w:r>
      <w:proofErr w:type="spellStart"/>
      <w:r>
        <w:t>XGBoost</w:t>
      </w:r>
      <w:proofErr w:type="spellEnd"/>
      <w:r>
        <w:t xml:space="preserve">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 xml:space="preserve">Resulting chart from </w:t>
      </w:r>
      <w:proofErr w:type="spellStart"/>
      <w:r>
        <w:t>XGBoost</w:t>
      </w:r>
      <w:proofErr w:type="spellEnd"/>
      <w:r>
        <w:t xml:space="preserve">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06EB9">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06EB9">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06EB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06EB9">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06EB9">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06EB9">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06EB9">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06EB9">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3A4D8F02"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4D9B73B9" w14:textId="77777777" w:rsidR="00C77E58" w:rsidRPr="00AC1034" w:rsidRDefault="00C77E58"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42017F" w14:textId="77777777" w:rsidR="00D837BF" w:rsidRDefault="00D837BF" w:rsidP="00BB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703BCF5B" w14:textId="77777777" w:rsidR="00BB3785" w:rsidRDefault="00BB3785" w:rsidP="00BB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4">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t xml:space="preserve">[4] </w:t>
      </w:r>
      <w:hyperlink r:id="rId15"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CF2C3" w14:textId="77777777" w:rsidR="00872B9C" w:rsidRDefault="00872B9C">
      <w:r>
        <w:separator/>
      </w:r>
    </w:p>
  </w:endnote>
  <w:endnote w:type="continuationSeparator" w:id="0">
    <w:p w14:paraId="3434FAB6" w14:textId="77777777" w:rsidR="00872B9C" w:rsidRDefault="0087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7ABD9" w14:textId="77777777" w:rsidR="00872B9C" w:rsidRDefault="00872B9C">
      <w:r>
        <w:separator/>
      </w:r>
    </w:p>
  </w:footnote>
  <w:footnote w:type="continuationSeparator" w:id="0">
    <w:p w14:paraId="637C13C7" w14:textId="77777777" w:rsidR="00872B9C" w:rsidRDefault="00872B9C">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color w:val="202124"/>
          <w:sz w:val="24"/>
          <w:szCs w:val="24"/>
          <w:highlight w:val="white"/>
          <w:lang w:val="en-US"/>
        </w:rPr>
        <w:t>Typically,</w:t>
      </w:r>
      <w:r>
        <w:rPr>
          <w:color w:val="202124"/>
          <w:sz w:val="24"/>
          <w:szCs w:val="24"/>
          <w:highlight w:val="white"/>
          <w:lang w:val="en-US"/>
        </w:rPr>
        <w:t xml:space="preserve">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sidR="004369AC">
        <w:rPr>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85C5F"/>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208D1"/>
    <w:rsid w:val="006625FF"/>
    <w:rsid w:val="00662684"/>
    <w:rsid w:val="00670DC9"/>
    <w:rsid w:val="00680EB7"/>
    <w:rsid w:val="00741C7E"/>
    <w:rsid w:val="007A7E8C"/>
    <w:rsid w:val="007C0FDA"/>
    <w:rsid w:val="007C13C7"/>
    <w:rsid w:val="007D4306"/>
    <w:rsid w:val="007D56D3"/>
    <w:rsid w:val="00834959"/>
    <w:rsid w:val="008723CD"/>
    <w:rsid w:val="00872B9C"/>
    <w:rsid w:val="008773AC"/>
    <w:rsid w:val="008922C6"/>
    <w:rsid w:val="008C4213"/>
    <w:rsid w:val="008D6074"/>
    <w:rsid w:val="008E4CB5"/>
    <w:rsid w:val="008F0D54"/>
    <w:rsid w:val="009210D2"/>
    <w:rsid w:val="00964814"/>
    <w:rsid w:val="009864AB"/>
    <w:rsid w:val="00991837"/>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71</cp:revision>
  <dcterms:created xsi:type="dcterms:W3CDTF">2020-12-25T13:34:00Z</dcterms:created>
  <dcterms:modified xsi:type="dcterms:W3CDTF">2020-12-27T15:09:00Z</dcterms:modified>
</cp:coreProperties>
</file>