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77777777" w:rsidR="00B86838" w:rsidRPr="009210D2" w:rsidRDefault="00B86838" w:rsidP="001E0ABD">
      <w:pPr>
        <w:ind w:right="30"/>
        <w:jc w:val="both"/>
        <w:rPr>
          <w:rFonts w:ascii="Times New Roman" w:hAnsi="Times New Roman" w:cs="Times New Roman"/>
          <w:lang w:val="en-GB"/>
        </w:rPr>
      </w:pPr>
    </w:p>
    <w:p w14:paraId="0A5E03A4" w14:textId="77777777" w:rsidR="00B86838" w:rsidRPr="009210D2" w:rsidRDefault="002F6932" w:rsidP="001E0ABD">
      <w:pPr>
        <w:pStyle w:val="Heading2"/>
        <w:keepNext w:val="0"/>
        <w:keepLines w:val="0"/>
        <w:spacing w:before="0" w:after="0"/>
        <w:ind w:right="30"/>
        <w:jc w:val="both"/>
        <w:rPr>
          <w:rFonts w:ascii="Times New Roman" w:hAnsi="Times New Roman" w:cs="Times New Roman"/>
          <w:b/>
          <w:sz w:val="28"/>
          <w:szCs w:val="28"/>
          <w:lang w:val="en-GB"/>
        </w:rPr>
      </w:pPr>
      <w:bookmarkStart w:id="4" w:name="_bp2wsmausol" w:colFirst="0" w:colLast="0"/>
      <w:bookmarkEnd w:id="4"/>
      <w:r w:rsidRPr="009210D2">
        <w:rPr>
          <w:rFonts w:ascii="Times New Roman" w:hAnsi="Times New Roman" w:cs="Times New Roman"/>
          <w:b/>
          <w:sz w:val="28"/>
          <w:szCs w:val="28"/>
          <w:lang w:val="en-GB"/>
        </w:rPr>
        <w:t>Group Information</w:t>
      </w:r>
    </w:p>
    <w:p w14:paraId="53BE7189" w14:textId="77777777" w:rsidR="00B86838" w:rsidRPr="009210D2" w:rsidRDefault="00B86838" w:rsidP="001E0ABD">
      <w:pPr>
        <w:rPr>
          <w:rFonts w:ascii="Times New Roman" w:hAnsi="Times New Roman" w:cs="Times New Roman"/>
          <w:lang w:val="en-GB"/>
        </w:rPr>
      </w:pPr>
    </w:p>
    <w:p w14:paraId="4C166F2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43A4CD7" w:rsidR="00B8683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7BA2BEF3" w14:textId="2D847161" w:rsidR="00BD6AC9" w:rsidRDefault="00BD6AC9" w:rsidP="001E0ABD">
      <w:pPr>
        <w:ind w:right="30"/>
        <w:jc w:val="both"/>
        <w:rPr>
          <w:rFonts w:ascii="Times New Roman" w:hAnsi="Times New Roman" w:cs="Times New Roman"/>
          <w:sz w:val="24"/>
          <w:szCs w:val="24"/>
          <w:lang w:val="en-GB"/>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A671AD" w:rsidP="001E0ABD">
      <w:pPr>
        <w:ind w:right="30"/>
        <w:jc w:val="both"/>
        <w:rPr>
          <w:rFonts w:ascii="Times New Roman" w:hAnsi="Times New Roman" w:cs="Times New Roman"/>
          <w:sz w:val="24"/>
          <w:szCs w:val="24"/>
          <w:lang w:val="en-GB"/>
        </w:rPr>
      </w:pPr>
      <w:hyperlink r:id="rId8" w:history="1">
        <w:r w:rsidRPr="00955DA2">
          <w:rPr>
            <w:rStyle w:val="Hyperlink"/>
            <w:rFonts w:ascii="Times New Roman" w:hAnsi="Times New Roman" w:cs="Times New Roman"/>
            <w:sz w:val="24"/>
            <w:szCs w:val="24"/>
            <w:lang w:val="en-GB"/>
          </w:rPr>
          <w:t>https://github.com/ph1001/Group-Project-Machine-Learning-Group-50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35E68A24"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 xml:space="preserve">In order to complete the task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 original features is selected for further processing. Then, </w:t>
      </w:r>
      <w:r w:rsidRPr="009210D2">
        <w:rPr>
          <w:rFonts w:ascii="Times New Roman" w:hAnsi="Times New Roman" w:cs="Times New Roman"/>
          <w:sz w:val="24"/>
          <w:szCs w:val="24"/>
          <w:highlight w:val="red"/>
          <w:lang w:val="en-GB"/>
        </w:rPr>
        <w:t>((…))</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w:t>
      </w:r>
      <w:r w:rsidRPr="009210D2">
        <w:rPr>
          <w:rFonts w:ascii="Times New Roman" w:eastAsia="Times New Roman" w:hAnsi="Times New Roman" w:cs="Times New Roman"/>
          <w:sz w:val="24"/>
          <w:szCs w:val="24"/>
          <w:lang w:val="en-GB"/>
        </w:rPr>
        <w:lastRenderedPageBreak/>
        <w:t xml:space="preserve">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w:t>
      </w:r>
      <w:r w:rsidR="00382914" w:rsidRPr="009210D2">
        <w:rPr>
          <w:rFonts w:ascii="Times New Roman" w:hAnsi="Times New Roman" w:cs="Times New Roman"/>
          <w:color w:val="202124"/>
          <w:sz w:val="24"/>
          <w:szCs w:val="24"/>
          <w:highlight w:val="white"/>
          <w:lang w:val="en-GB"/>
        </w:rPr>
        <w:lastRenderedPageBreak/>
        <w:t xml:space="preserve">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BD6AC9"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BD6AC9"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BD6AC9"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BD6AC9"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BD6AC9"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BD6AC9"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BD6AC9"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BD6AC9"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BD6AC9"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BD6AC9"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BD6AC9"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BD6AC9"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BD6AC9"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BD6AC9"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lastRenderedPageBreak/>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4C012CBC"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BD6AC9"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BD6AC9"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BD6AC9"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BD6AC9"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BD6AC9"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BD6AC9"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BD6AC9"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BD6AC9"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BD6AC9"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BD6AC9"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BD6AC9"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BD6AC9"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BD6AC9"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BD6AC9"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BD6AC9"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BD6AC9"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6443201A"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424B73F"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was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p>
    <w:p w14:paraId="0BA6E1B9" w14:textId="1C2E3825" w:rsidR="00662684" w:rsidRDefault="00662684" w:rsidP="001E0ABD">
      <w:pPr>
        <w:widowControl w:val="0"/>
        <w:ind w:right="30"/>
        <w:jc w:val="both"/>
        <w:rPr>
          <w:rFonts w:ascii="Times New Roman" w:hAnsi="Times New Roman" w:cs="Times New Roman"/>
          <w:sz w:val="24"/>
          <w:szCs w:val="24"/>
          <w:lang w:val="en-GB"/>
        </w:rPr>
      </w:pPr>
    </w:p>
    <w:p w14:paraId="342CB74A" w14:textId="77777777" w:rsidR="00662684" w:rsidRPr="009210D2" w:rsidRDefault="00662684" w:rsidP="001E0ABD">
      <w:pPr>
        <w:widowControl w:val="0"/>
        <w:ind w:right="30"/>
        <w:jc w:val="both"/>
        <w:rPr>
          <w:rFonts w:ascii="Times New Roman" w:hAnsi="Times New Roman" w:cs="Times New Roman"/>
          <w:sz w:val="24"/>
          <w:szCs w:val="24"/>
          <w:lang w:val="en-GB"/>
        </w:rPr>
      </w:pPr>
    </w:p>
    <w:p w14:paraId="5079C258" w14:textId="576D774A" w:rsidR="00B86838" w:rsidRPr="00662684"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w:t>
      </w:r>
      <w:r w:rsidR="00CD12FE">
        <w:rPr>
          <w:rFonts w:ascii="Times New Roman" w:hAnsi="Times New Roman" w:cs="Times New Roman"/>
          <w:sz w:val="24"/>
          <w:szCs w:val="24"/>
          <w:highlight w:val="red"/>
          <w:lang w:val="en-GB"/>
        </w:rPr>
        <w:t>(still to write</w:t>
      </w:r>
      <w:r w:rsidRPr="00662684">
        <w:rPr>
          <w:rFonts w:ascii="Times New Roman" w:hAnsi="Times New Roman" w:cs="Times New Roman"/>
          <w:sz w:val="24"/>
          <w:szCs w:val="24"/>
          <w:highlight w:val="red"/>
          <w:lang w:val="en-GB"/>
        </w:rPr>
        <w:t>:</w:t>
      </w:r>
      <w:r w:rsidR="00662684">
        <w:rPr>
          <w:rFonts w:ascii="Times New Roman" w:hAnsi="Times New Roman" w:cs="Times New Roman"/>
          <w:sz w:val="24"/>
          <w:szCs w:val="24"/>
          <w:highlight w:val="red"/>
          <w:lang w:val="en-GB"/>
        </w:rPr>
        <w:t xml:space="preserve"> </w:t>
      </w:r>
      <w:r w:rsidR="00C257C2">
        <w:rPr>
          <w:rFonts w:ascii="Times New Roman" w:hAnsi="Times New Roman" w:cs="Times New Roman"/>
          <w:sz w:val="24"/>
          <w:szCs w:val="24"/>
          <w:highlight w:val="red"/>
          <w:lang w:val="en-GB"/>
        </w:rPr>
        <w:t xml:space="preserve">Everything including and </w:t>
      </w:r>
      <w:r w:rsidR="00C257C2" w:rsidRPr="00C257C2">
        <w:rPr>
          <w:rFonts w:ascii="Times New Roman" w:hAnsi="Times New Roman" w:cs="Times New Roman"/>
          <w:sz w:val="24"/>
          <w:szCs w:val="24"/>
          <w:highlight w:val="red"/>
          <w:lang w:val="en-GB"/>
        </w:rPr>
        <w:t>after Model selection</w:t>
      </w:r>
      <w:r w:rsidRPr="00662684">
        <w:rPr>
          <w:rFonts w:ascii="Times New Roman" w:hAnsi="Times New Roman" w:cs="Times New Roman"/>
          <w:sz w:val="24"/>
          <w:szCs w:val="24"/>
          <w:highlight w:val="red"/>
          <w:lang w:val="en-GB"/>
        </w:rPr>
        <w:t>))</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484C4D8" w:rsidR="008D6074" w:rsidRDefault="008D6074" w:rsidP="008D6074">
      <w:pPr>
        <w:widowControl w:val="0"/>
        <w:ind w:right="30"/>
        <w:rPr>
          <w:rFonts w:ascii="Times New Roman" w:eastAsia="Times New Roman" w:hAnsi="Times New Roman" w:cs="Times New Roman"/>
          <w:b/>
          <w:bCs/>
          <w:sz w:val="24"/>
          <w:szCs w:val="24"/>
          <w:lang w:val="en-GB"/>
        </w:rPr>
      </w:pPr>
    </w:p>
    <w:p w14:paraId="24808569" w14:textId="09A3769C" w:rsidR="004A4012" w:rsidRPr="004A4012" w:rsidRDefault="004A4012" w:rsidP="008D6074">
      <w:pPr>
        <w:widowControl w:val="0"/>
        <w:ind w:right="30"/>
        <w:rPr>
          <w:rFonts w:ascii="Times New Roman" w:eastAsia="Times New Roman" w:hAnsi="Times New Roman" w:cs="Times New Roman"/>
          <w:sz w:val="24"/>
          <w:szCs w:val="24"/>
          <w:lang w:val="en-US"/>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Very few observations in the other categories. The variation between the categories is probably random due to the small sample sizes in the low cardinality categories.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9">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lastRenderedPageBreak/>
        <w:t xml:space="preserve">[4] </w:t>
      </w:r>
      <w:hyperlink r:id="rId10"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2CC5D11C" w:rsidR="00DF1507" w:rsidRP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1"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sectPr w:rsidR="00DF1507" w:rsidRPr="00DF1507">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84421" w14:textId="77777777" w:rsidR="00343E9D" w:rsidRDefault="00343E9D">
      <w:pPr>
        <w:spacing w:line="240" w:lineRule="auto"/>
      </w:pPr>
      <w:r>
        <w:separator/>
      </w:r>
    </w:p>
  </w:endnote>
  <w:endnote w:type="continuationSeparator" w:id="0">
    <w:p w14:paraId="4924CE53" w14:textId="77777777" w:rsidR="00343E9D" w:rsidRDefault="00343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357DA" w14:textId="77777777" w:rsidR="00343E9D" w:rsidRDefault="00343E9D">
      <w:pPr>
        <w:spacing w:line="240" w:lineRule="auto"/>
      </w:pPr>
      <w:r>
        <w:separator/>
      </w:r>
    </w:p>
  </w:footnote>
  <w:footnote w:type="continuationSeparator" w:id="0">
    <w:p w14:paraId="293C4956" w14:textId="77777777" w:rsidR="00343E9D" w:rsidRDefault="00343E9D">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724E5"/>
    <w:rsid w:val="001B6869"/>
    <w:rsid w:val="001E0ABD"/>
    <w:rsid w:val="002C12C4"/>
    <w:rsid w:val="002F6932"/>
    <w:rsid w:val="00343E9D"/>
    <w:rsid w:val="00382914"/>
    <w:rsid w:val="00391BDC"/>
    <w:rsid w:val="003D1C33"/>
    <w:rsid w:val="003F5C63"/>
    <w:rsid w:val="004369AC"/>
    <w:rsid w:val="004A4012"/>
    <w:rsid w:val="004D7380"/>
    <w:rsid w:val="00662684"/>
    <w:rsid w:val="007A7E8C"/>
    <w:rsid w:val="007C0FDA"/>
    <w:rsid w:val="007C13C7"/>
    <w:rsid w:val="007D4306"/>
    <w:rsid w:val="008723CD"/>
    <w:rsid w:val="008C4213"/>
    <w:rsid w:val="008D6074"/>
    <w:rsid w:val="008F0D54"/>
    <w:rsid w:val="009210D2"/>
    <w:rsid w:val="00A671AD"/>
    <w:rsid w:val="00A840A9"/>
    <w:rsid w:val="00AE04F3"/>
    <w:rsid w:val="00B80DDC"/>
    <w:rsid w:val="00B86838"/>
    <w:rsid w:val="00B906B9"/>
    <w:rsid w:val="00BD6AC9"/>
    <w:rsid w:val="00C20147"/>
    <w:rsid w:val="00C257C2"/>
    <w:rsid w:val="00C41E6C"/>
    <w:rsid w:val="00CD12FE"/>
    <w:rsid w:val="00D54ABB"/>
    <w:rsid w:val="00DA500A"/>
    <w:rsid w:val="00DE079F"/>
    <w:rsid w:val="00DF1507"/>
    <w:rsid w:val="00E13468"/>
    <w:rsid w:val="00E335E6"/>
    <w:rsid w:val="00F81CD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ensemble.AdaBoostClassifier.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ural_network.MLP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preprocessing.Standard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42</cp:revision>
  <dcterms:created xsi:type="dcterms:W3CDTF">2020-12-25T13:34:00Z</dcterms:created>
  <dcterms:modified xsi:type="dcterms:W3CDTF">2020-12-26T07:16:00Z</dcterms:modified>
</cp:coreProperties>
</file>